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Bdr>
          <w:bottom w:val="single" w:sz="24" w:color="006600" w:space="1"/>
        </w:pBdr>
      </w:pPr>
      <w:r>
        <w:rPr>
          <w:b/>
          <w:i w:val="0"/>
          <w:sz w:val="20"/>
        </w:rPr>
        <w:t>COLLEGE OF COMPUTER STUDIES DEPARTMENT</w:t>
      </w:r>
    </w:p>
    <w:p>
      <w:pPr>
        <w:spacing w:after="0"/>
        <w:jc w:val="center"/>
      </w:pPr>
      <w:r>
        <w:rPr>
          <w:b/>
          <w:i w:val="0"/>
          <w:color w:val="006600"/>
          <w:sz w:val="32"/>
        </w:rPr>
        <w:t>THESIS PROJECT</w:t>
      </w:r>
    </w:p>
    <w:p>
      <w:pPr>
        <w:spacing w:after="0"/>
        <w:jc w:val="center"/>
      </w:pPr>
      <w:r>
        <w:rPr>
          <w:b/>
          <w:i w:val="0"/>
          <w:color w:val="006600"/>
          <w:sz w:val="32"/>
        </w:rPr>
        <w:t>TITLE PROPOSAL</w:t>
      </w:r>
    </w:p>
    <w:p>
      <w:pPr>
        <w:spacing w:after="0"/>
        <w:jc w:val="center"/>
      </w:pPr>
      <w:r>
        <w:rPr>
          <w:b/>
          <w:i w:val="0"/>
          <w:color w:val="006600"/>
          <w:sz w:val="28"/>
        </w:rPr>
        <w:t>(CS0025 – Software Engineering 1)</w:t>
      </w:r>
    </w:p>
    <w:p/>
    <w:tbl>
      <w:tblPr>
        <w:tblW w:type="auto" w:w="0"/>
        <w:tblLook w:firstColumn="1" w:firstRow="1" w:lastColumn="0" w:lastRow="0" w:noHBand="0" w:noVBand="1" w:val="04A0"/>
        <w:tblBorders>
          <w:top w:val="single" w:sz="4" w:color="006600"/>
          <w:left w:val="single" w:sz="4" w:color="006600"/>
          <w:bottom w:val="single" w:sz="4" w:color="006600"/>
          <w:right w:val="single" w:sz="4" w:color="006600"/>
          <w:insideH w:val="single" w:sz="4" w:color="006600"/>
          <w:insideV w:val="single" w:sz="4" w:color="006600"/>
        </w:tblBorders>
      </w:tblPr>
      <w:tblGrid>
        <w:gridCol w:w="3312"/>
        <w:gridCol w:w="3312"/>
        <w:gridCol w:w="3312"/>
      </w:tblGrid>
      <w:tr>
        <w:tc>
          <w:tcPr>
            <w:tcW w:type="dxa" w:w="9936"/>
            <w:gridSpan w:val="3"/>
            <w:shd w:val="clear" w:color="auto" w:fill="00B050"/>
          </w:tcPr>
          <w:p>
            <w:r>
              <w:rPr>
                <w:b w:val="0"/>
                <w:i w:val="0"/>
                <w:sz w:val="8"/>
              </w:rPr>
              <w:t xml:space="preserve"> </w:t>
            </w:r>
          </w:p>
        </w:tc>
      </w:tr>
      <w:tr>
        <w:tc>
          <w:tcPr>
            <w:tcW w:type="dxa" w:w="3312"/>
          </w:tcPr>
          <w:p>
            <w:r>
              <w:rPr>
                <w:b w:val="0"/>
                <w:i w:val="0"/>
              </w:rPr>
              <w:t xml:space="preserve">Group Name: </w:t>
            </w:r>
            <w:r>
              <w:rPr>
                <w:b/>
                <w:i w:val="0"/>
              </w:rPr>
              <w:t>Statisfied</w:t>
            </w:r>
          </w:p>
        </w:tc>
        <w:tc>
          <w:tcPr>
            <w:tcW w:type="dxa" w:w="6624"/>
            <w:gridSpan w:val="2"/>
          </w:tcPr>
          <w:p>
            <w:r>
              <w:rPr>
                <w:b w:val="0"/>
                <w:i w:val="0"/>
              </w:rPr>
              <w:t>Program:</w:t>
            </w:r>
          </w:p>
          <w:p>
            <w:r>
              <w:rPr>
                <w:b/>
                <w:i w:val="0"/>
              </w:rPr>
              <w:t>Bachelor of Science in Computer Science</w:t>
            </w:r>
          </w:p>
          <w:p>
            <w:r>
              <w:rPr>
                <w:b/>
                <w:i w:val="0"/>
              </w:rPr>
              <w:t xml:space="preserve">with specialization in </w:t>
            </w:r>
            <w:r>
              <w:rPr>
                <w:b/>
                <w:i w:val="0"/>
                <w:u w:val="single"/>
              </w:rPr>
              <w:t>Data Science</w:t>
            </w:r>
          </w:p>
        </w:tc>
      </w:tr>
      <w:tr>
        <w:tc>
          <w:tcPr>
            <w:tcW w:type="dxa" w:w="3312"/>
          </w:tcPr>
          <w:p>
            <w:r>
              <w:rPr>
                <w:b w:val="0"/>
                <w:i w:val="0"/>
              </w:rPr>
              <w:t>Member’s Name:</w:t>
            </w:r>
          </w:p>
          <w:p>
            <w:r>
              <w:rPr>
                <w:b w:val="0"/>
                <w:i w:val="0"/>
              </w:rPr>
              <w:t>1.  Dawn Andrei Pamesa (Project Manager)</w:t>
            </w:r>
          </w:p>
          <w:p>
            <w:r>
              <w:rPr>
                <w:b w:val="0"/>
                <w:i w:val="0"/>
              </w:rPr>
              <w:t>2.  Rogelio Porras (Member 1)</w:t>
            </w:r>
          </w:p>
          <w:p>
            <w:r>
              <w:rPr>
                <w:b w:val="0"/>
                <w:i w:val="0"/>
              </w:rPr>
              <w:t>3.  John Ashley Alba (Member 2)</w:t>
            </w:r>
          </w:p>
          <w:p>
            <w:r>
              <w:rPr>
                <w:b w:val="0"/>
                <w:i w:val="0"/>
              </w:rPr>
              <w:t>4.  Ralph Blanco (Member 3)</w:t>
            </w:r>
          </w:p>
        </w:tc>
        <w:tc>
          <w:tcPr>
            <w:tcW w:type="dxa" w:w="3312"/>
          </w:tcPr>
          <w:p>
            <w:r>
              <w:rPr>
                <w:b w:val="0"/>
                <w:i w:val="0"/>
              </w:rPr>
              <w:t>Term:</w:t>
            </w:r>
          </w:p>
          <w:p>
            <w:r>
              <w:rPr>
                <w:b w:val="0"/>
                <w:i w:val="0"/>
              </w:rPr>
              <w:t>[✓] 1st    [   ] 2nd    [   ] 3rd</w:t>
            </w:r>
          </w:p>
        </w:tc>
        <w:tc>
          <w:tcPr>
            <w:tcW w:type="dxa" w:w="3312"/>
          </w:tcPr>
          <w:p>
            <w:r>
              <w:rPr>
                <w:b w:val="0"/>
                <w:i w:val="0"/>
              </w:rPr>
              <w:t>Academic Year:</w:t>
            </w:r>
          </w:p>
          <w:p>
            <w:r>
              <w:rPr>
                <w:b w:val="0"/>
                <w:i w:val="0"/>
              </w:rPr>
              <w:t>2026 - 2027</w:t>
            </w:r>
          </w:p>
        </w:tc>
      </w:tr>
      <w:tr>
        <w:tc>
          <w:tcPr>
            <w:tcW w:type="dxa" w:w="9936"/>
            <w:gridSpan w:val="3"/>
          </w:tcPr>
          <w:p>
            <w:r>
              <w:rPr>
                <w:b/>
                <w:i w:val="0"/>
              </w:rPr>
              <w:t>Proposed Project Title 1:</w:t>
            </w:r>
          </w:p>
          <w:p>
            <w:pPr>
              <w:jc w:val="center"/>
            </w:pPr>
            <w:r>
              <w:rPr>
                <w:b/>
                <w:i w:val="0"/>
              </w:rPr>
              <w:t>Highland Vegetable Price and Supply Glut Forecasting at the Benguet Agri-Pinoy Trading Center Using XGBoost</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1.0</w:t>
              <w:tab/>
              <w:t>Area of Investigation:</w:t>
            </w:r>
          </w:p>
        </w:tc>
      </w:tr>
      <w:tr>
        <w:tc>
          <w:tcPr>
            <w:tcW w:type="dxa" w:w="9936"/>
          </w:tcPr>
          <w:p>
            <w:pPr>
              <w:jc w:val="both"/>
            </w:pPr>
            <w:r>
              <w:rPr>
                <w:b w:val="0"/>
                <w:i/>
              </w:rPr>
              <w:t>This section of the research proposal should give the reader enough information to be able to understand the background information and the importance of the research problem or investigation. It will often include a review of other people’s findings. If written well, this section will explain the motives for undertaking the research project.</w:t>
            </w:r>
          </w:p>
          <w:p>
            <w:pPr>
              <w:jc w:val="both"/>
            </w:pPr>
            <w:r>
              <w:rPr>
                <w:b w:val="0"/>
                <w:i/>
              </w:rPr>
              <w:t>This section should also contain the purpose of the system software, its features, and general description of each of its modules. If it is a game, the mechanics should be described as well.</w:t>
            </w:r>
          </w:p>
          <w:p>
            <w:pPr>
              <w:jc w:val="both"/>
            </w:pPr>
            <w:r>
              <w:rPr>
                <w:b w:val="0"/>
                <w:i w:val="0"/>
              </w:rPr>
              <w:t>The proposed study is situated in agricultural market intelligence, predictive analytics, and decision-support systems for highland vegetables traded through the Benguet Agri-Pinoy Trading Center (BAPTC) in La Trinidad, Benguet. Benguet is the main vegetable-producing province of the Cordillera Administrative Region. In 2023, it accounted for 85.5% of the region's vegetable production, equivalent to 361,311.6 metric tons (Philippine Statistics Authority [PSA], 2024). For 2024, the province produced an estimated 253,543.95 metric tons of high-value vegetables, including cabbage, carrots, cauliflower, broccoli, radish, potatoes, bell pepper, celery, and snap beans (PSA, 2025). These figures show that changes in Benguet's production and marketing conditions can affect a large volume of vegetables entering regional and national supply chains.</w:t>
            </w:r>
          </w:p>
          <w:p>
            <w:pPr>
              <w:jc w:val="both"/>
            </w:pPr>
            <w:r>
              <w:rPr>
                <w:b w:val="0"/>
                <w:i w:val="0"/>
              </w:rPr>
              <w:t>BAPTC is a major consolidation and trading point for these products. The Department of Agriculture reported that the volume traded at the center increased from 269.4 metric tons in 2015 to 169,859.6 metric tons in 2020, while the number of accredited and participating stakeholders grew to more than 40,000 by 2021 (DA Press Office, 2021). The same report described vegetable prices at the center as supply-driven, with prices rising during off-season periods and falling during concentrated harvests. A separate Department of Agriculture report stated that seed capital was provided to purchase unsold vegetables at the end of the trading day to reduce waste and farmer income losses (DA Press Office, 2020). These interventions indicate that unsold produce, sudden price declines, and mismatches between arrivals and market demand are recurring operational concerns rather than isolated events.</w:t>
            </w:r>
          </w:p>
          <w:p>
            <w:pPr>
              <w:jc w:val="both"/>
            </w:pPr>
            <w:r>
              <w:rPr>
                <w:b w:val="0"/>
                <w:i w:val="0"/>
              </w:rPr>
              <w:t>The problem investigated by the study is the absence of a consolidated, forward-looking signal that can warn users of short-term price declines and possible supply-glut conditions before the effects are fully observed in the market. A supply glut may occur when large quantities of the same commodity reach the market within a short period while demand does not rise at the same rate. Because fresh vegetables are perishable, farmers and traders have limited time to delay selling, move produce to another market, or wait for a better price. The resulting losses can affect farm income, trading decisions, and the amount of food that is sold, processed, or discarded.</w:t>
            </w:r>
          </w:p>
          <w:p>
            <w:pPr>
              <w:jc w:val="both"/>
            </w:pPr>
            <w:r>
              <w:rPr>
                <w:b w:val="0"/>
                <w:i w:val="0"/>
              </w:rPr>
              <w:t>Relevant public data already exist, but they are maintained for different purposes and are not presented as one forecasting dataset. The Department of Agriculture publishes daily and weekly retail-price monitoring files for agricultural commodities (Department of Agriculture, n.d.). The PSA OpenSTAT platform provides farmgate-price data by commodity, period, and geographic level, with provincial averages calculated from weighted survey observations (PSA, 2026). The Philippine Atmospheric, Geophysical and Astronomical Services Administration (PAGASA) publishes agro-climatic information that can describe rainfall, temperature, and weather disturbances affecting agricultural conditions; for example, its August 2026 review recorded 383.9 millimeters of rainfall at the BSU La Trinidad Benguet Agromet Station (PAGASA, 2026). These sources can provide price, production, seasonal, and weather variables, but they do not by themselves provide a single BAPTC-specific view of wholesale prices, market arrivals, and short-term glut risk.</w:t>
            </w:r>
          </w:p>
          <w:p>
            <w:pPr>
              <w:jc w:val="both"/>
            </w:pPr>
            <w:r>
              <w:rPr>
                <w:b w:val="0"/>
                <w:i w:val="0"/>
              </w:rPr>
              <w:t>The institutional setting also supports the investigation. Republic Act No. 8435 requires agricultural information and marketing services to include supply data, demand data, prices, and price trends, and it calls for market information that can help match supply with demand (Republic of the Philippines, 1997). The Department of Agriculture - Cordillera Administrative Region (DA-CAR) has also announced plans for digital trading and profiling at BAPTC, including the use of historical and real-time data for price and demand forecasting and dashboards for market managers and government units (Gasingan, 2025). The proposed study responds to the same need at a thesis-project scale by testing whether existing public records, supplemented by BAPTC data when available, can be transformed into a usable early-warning tool.</w:t>
            </w:r>
          </w:p>
          <w:p>
            <w:pPr>
              <w:jc w:val="both"/>
            </w:pPr>
            <w:r>
              <w:rPr>
                <w:b w:val="0"/>
                <w:i w:val="0"/>
              </w:rPr>
              <w:t>The proposed software will collect and organize historical observations by commodity and date, create forecasting features, estimate short-term price movement, and assign a risk level for possible supply-glut conditions. Its major components will be: (1) a data-ingestion module for DA Bantay Presyo, PSA, PAGASA, and optional BAPTC records; (2) a cleaning and feature-engineering module that standardizes commodity names, units, dates, missing values, lags, rolling statistics, seasonal indicators, production measures, and weather variables; (3) an XGBoost forecasting and glut-risk module; (4) an evaluation module that compares predictions with observed outcomes; and (5) a dashboard and reporting module that displays historical trends, forecasts, risk levels, model-update dates, and downloadable summaries.</w:t>
            </w:r>
          </w:p>
          <w:p>
            <w:pPr>
              <w:jc w:val="both"/>
            </w:pPr>
            <w:r>
              <w:rPr>
                <w:b w:val="0"/>
                <w:i w:val="0"/>
              </w:rPr>
              <w:t>XGBoost is considered because agricultural prices can respond to nonlinear combinations of seasonality, recent price changes, production patterns, and weather conditions. Recent research has demonstrated the use of XGBoost within agricultural price forecasting and has evaluated performance through error measures such as mean absolute error, root mean squared error, and mean absolute percentage error (Zhao, Chen, Suraphee, Phoophiwfa, &amp; Busababodhin, 2025).</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2.0</w:t>
              <w:tab/>
              <w:t>Background and Rationale of the Project/System:</w:t>
            </w:r>
          </w:p>
        </w:tc>
      </w:tr>
      <w:tr>
        <w:tc>
          <w:tcPr>
            <w:tcW w:type="dxa" w:w="9936"/>
          </w:tcPr>
          <w:p>
            <w:pPr>
              <w:jc w:val="both"/>
            </w:pPr>
            <w:r>
              <w:rPr>
                <w:b w:val="0"/>
                <w:i/>
              </w:rPr>
              <w:t>This section should explain the key characteristics of the software project and explain why it will be developed. It contains the formal description of what is to be expected on the software project, what are the requirements, focus, and the desired outcome.</w:t>
            </w:r>
          </w:p>
          <w:p>
            <w:pPr>
              <w:jc w:val="both"/>
            </w:pPr>
            <w:r>
              <w:rPr>
                <w:b w:val="0"/>
                <w:i w:val="0"/>
              </w:rPr>
              <w:t>Highland vegetable production is economically important to Benguet, but the timing and concentration of harvests can create unstable market conditions. Production differs by crop and season, and PSA data show substantial year-to-year changes among individual high-value vegetables (PSA, 2025). Weather adds another source of variation because rainfall, temperature, and extreme events affect crop growth, harvest timing, transport, and market arrivals (PAGASA, 2026). When many producers harvest the same commodity within the same period, the additional supply can place downward pressure on prices. At present, the information needed to anticipate that condition is distributed across separate government publications and, when accessible, BAPTC operational records.</w:t>
            </w:r>
          </w:p>
          <w:p>
            <w:pPr>
              <w:jc w:val="both"/>
            </w:pPr>
            <w:r>
              <w:rPr>
                <w:b w:val="0"/>
                <w:i w:val="0"/>
              </w:rPr>
              <w:t>Public price sources are useful but describe different points in the supply chain. DA Bantay Presyo mainly reports prevailing retail prices in monitored markets, while PSA OpenSTAT provides farmgate-price statistics compiled from agricultural surveys (Department of Agriculture, n.d.; PSA, 2026). BAPTC, by contrast, is a wholesale trading environment where arrivals, traded volumes, and prices may reflect conditions before produce reaches retail markets. For this reason, the proposed system will use the public datasets as its dependable starting point and treat BAPTC records as an additional source rather than a condition for beginning the project. This design allows development and initial evaluation to proceed even if access to BAPTC data is delayed, restricted, incomplete, or provided only for a limited period.</w:t>
            </w:r>
          </w:p>
          <w:p>
            <w:pPr>
              <w:jc w:val="both"/>
            </w:pPr>
            <w:r>
              <w:rPr>
                <w:b w:val="0"/>
                <w:i w:val="0"/>
              </w:rPr>
              <w:t>The project should be developed because the available sources are mainly descriptive and retrospective. They allow users to inspect recorded prices or production, but they do not automatically combine recent observations, seasonal patterns, production data, and weather indicators to estimate what may happen next. Farmers and cooperatives need advance information when deciding on harvest timing and market destinations. Traders and BAPTC personnel need a clearer view of expected price movement and commodity risk when planning procurement, handling, storage, and distribution. DA-CAR and local agriculture offices can also use a consistent analytical summary when coordinating market information and farmer advisories. The system is intended to support these decisions, not to guarantee prices or replace the judgment of market participants.</w:t>
            </w:r>
          </w:p>
          <w:p>
            <w:pPr>
              <w:jc w:val="both"/>
            </w:pPr>
            <w:r>
              <w:rPr>
                <w:b w:val="0"/>
                <w:i w:val="0"/>
              </w:rPr>
              <w:t>The proposed project will be a browser-based predictive analytics system centered on selected highland vegetables for which sufficiently consistent historical data can be assembled. Its input requirements include dated price observations, standardized commodity and unit labels, PSA production or farmgate series, PAGASA weather variables, and optional BAPTC wholesale-price or volume records. The system must preserve the source and retrieval date of each dataset, detect missing or duplicated observations, prevent future information from entering model-training features, and retain the chronological order required for time-series evaluation. It must also show the period covered by each forecast and distinguish observed values from predicted values.</w:t>
            </w:r>
          </w:p>
          <w:p>
            <w:pPr>
              <w:jc w:val="both"/>
            </w:pPr>
            <w:r>
              <w:rPr>
                <w:b w:val="0"/>
                <w:i w:val="0"/>
              </w:rPr>
              <w:t>The research focus is short-term commodity-level forecasting. XGBoost will estimate future price movement and a glut-risk indicator derived from defined price-decline and supply-related conditions. The model will use engineered variables such as lagged prices, rolling averages, recent rate of change, month or season, production indicators, and weather measurements. Where BAPTC volume data are available, volume lags and arrival trends may be added. Where they are unavailable, the system must label the output as a public-data-based risk estimate and avoid presenting it as a direct measurement of actual BAPTC supply. This distinction is necessary because retail prices, farmgate prices, production statistics, weather observations, and wholesale trading records represent related but different processes.</w:t>
            </w:r>
          </w:p>
          <w:p>
            <w:pPr>
              <w:jc w:val="both"/>
            </w:pPr>
            <w:r>
              <w:rPr>
                <w:b w:val="0"/>
                <w:i w:val="0"/>
              </w:rPr>
              <w:t>The desired outcome is a tested prototype that converts fragmented historical records into a reproducible forecast and an interpretable warning display. Users should be able to select a commodity, inspect historical trends, view the forecast horizon and estimated glut-risk level, identify the data period used, and export a summary for planning or discussion. The dashboard should also display prediction errors and clear limitations so that users can judge whether the signal is reliable enough for a particular commodity and period. By grounding the system in public data while allowing BAPTC records to improve local relevance, the project remains feasible and directly aligned with the center's role in highland vegetable trading and DA-CAR's stated direction toward digital market management (DA Press Office, 2021; Gasingan, 2025).</w:t>
            </w:r>
          </w:p>
          <w:p>
            <w:r>
              <w:rPr>
                <w:b/>
                <w:i w:val="0"/>
              </w:rPr>
              <w:t>Algorithm/Technique Justification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68"/>
              <w:gridCol w:w="4968"/>
            </w:tblGrid>
            <w:tr>
              <w:tc>
                <w:tcPr>
                  <w:tcW w:type="dxa" w:w="2736"/>
                </w:tcPr>
                <w:p>
                  <w:r>
                    <w:rPr>
                      <w:b/>
                      <w:i w:val="0"/>
                      <w:sz w:val="20"/>
                    </w:rPr>
                    <w:t>Identified Problem</w:t>
                  </w:r>
                </w:p>
              </w:tc>
              <w:tc>
                <w:tcPr>
                  <w:tcW w:type="dxa" w:w="6912"/>
                </w:tcPr>
                <w:p>
                  <w:pPr>
                    <w:jc w:val="both"/>
                  </w:pPr>
                  <w:r>
                    <w:rPr>
                      <w:b w:val="0"/>
                      <w:i w:val="0"/>
                      <w:sz w:val="20"/>
                    </w:rPr>
                    <w:t>Farmers, traders, and BAPTC personnel have no consolidated, forward-looking signal that warns them of short-term price declines and possible supply gluts for highland vegetables. Harvest and delivery decisions are made on current or past prices, so oversupply is recognized only after prices have already fallen and produce remains unsold.</w:t>
                  </w:r>
                </w:p>
              </w:tc>
            </w:tr>
            <w:tr>
              <w:tc>
                <w:tcPr>
                  <w:tcW w:type="dxa" w:w="2736"/>
                </w:tcPr>
                <w:p>
                  <w:r>
                    <w:rPr>
                      <w:b/>
                      <w:i w:val="0"/>
                      <w:sz w:val="20"/>
                    </w:rPr>
                    <w:t>Computational Task</w:t>
                  </w:r>
                </w:p>
              </w:tc>
              <w:tc>
                <w:tcPr>
                  <w:tcW w:type="dxa" w:w="6912"/>
                </w:tcPr>
                <w:p>
                  <w:pPr>
                    <w:jc w:val="both"/>
                  </w:pPr>
                  <w:r>
                    <w:rPr>
                      <w:b w:val="0"/>
                      <w:i w:val="0"/>
                      <w:sz w:val="20"/>
                    </w:rPr>
                    <w:t>The task has two parts. The first is regression: forecasting the weekly price of each selected vegetable one to four weeks ahead. The second is binary classification: labelling each commodity-week as at risk or not at risk of a supply glut.</w:t>
                  </w:r>
                </w:p>
                <w:p>
                  <w:pPr>
                    <w:jc w:val="both"/>
                  </w:pPr>
                  <w:r>
                    <w:rPr>
                      <w:b w:val="0"/>
                      <w:i w:val="0"/>
                      <w:sz w:val="20"/>
                    </w:rPr>
                    <w:t>A commodity-week is labelled a supply glut when its average price falls below the 20th percentile of that commodity's prices for the same calendar month in previous years. The definition is based on price so that it can be applied even if trading-volume records are not obtained. If BAPTC or local trading-post volume data become available, a second condition is added: weekly volume above the 80th percentile for that commodity and month. The results will also be checked at the 10th and 30th percentiles to show how sensitive they are to this choice.</w:t>
                  </w:r>
                </w:p>
              </w:tc>
            </w:tr>
            <w:tr>
              <w:tc>
                <w:tcPr>
                  <w:tcW w:type="dxa" w:w="2736"/>
                </w:tcPr>
                <w:p>
                  <w:r>
                    <w:rPr>
                      <w:b/>
                      <w:i w:val="0"/>
                      <w:sz w:val="20"/>
                    </w:rPr>
                    <w:t>Proposed Algorithm/Technique</w:t>
                  </w:r>
                </w:p>
              </w:tc>
              <w:tc>
                <w:tcPr>
                  <w:tcW w:type="dxa" w:w="6912"/>
                </w:tcPr>
                <w:p>
                  <w:pPr>
                    <w:jc w:val="both"/>
                  </w:pPr>
                  <w:r>
                    <w:rPr>
                      <w:b w:val="0"/>
                      <w:i w:val="0"/>
                      <w:sz w:val="20"/>
                    </w:rPr>
                    <w:t>XGBoost (Extreme Gradient Boosting), under Predictive Analytics. XGBoost builds an ensemble of decision trees in sequence, with each new tree fitted to the errors left by the trees before it (Chen &amp; Guestrin, 2016). The same method is used for both the price forecast and the glut-risk classification.</w:t>
                  </w:r>
                </w:p>
              </w:tc>
            </w:tr>
            <w:tr>
              <w:tc>
                <w:tcPr>
                  <w:tcW w:type="dxa" w:w="2736"/>
                </w:tcPr>
                <w:p>
                  <w:r>
                    <w:rPr>
                      <w:b/>
                      <w:i w:val="0"/>
                      <w:sz w:val="20"/>
                    </w:rPr>
                    <w:t>Reason for Selection</w:t>
                  </w:r>
                </w:p>
              </w:tc>
              <w:tc>
                <w:tcPr>
                  <w:tcW w:type="dxa" w:w="6912"/>
                </w:tcPr>
                <w:p>
                  <w:pPr>
                    <w:jc w:val="both"/>
                  </w:pPr>
                  <w:r>
                    <w:rPr>
                      <w:b w:val="0"/>
                      <w:i w:val="0"/>
                      <w:sz w:val="20"/>
                    </w:rPr>
                    <w:t>Three properties of XGBoost suit this study. First, it handles missing values directly by learning a default direction for them at each split, which matters because public price series have gaps on holidays, unmonitored days, and typhoon weeks. Second, it includes regularization that penalizes overly complex trees, which reduces overfitting when each commodity has only a few years of weekly observations. Third, it reports feature importance, which shows farmers, BAPTC personnel, and DA-CAR staff which factors most influence a forecast price drop, supporting the interpretable warning display of the system. XGBoost has also been applied to agricultural market price forecasting in recent research (Zhao et al., 2025).</w:t>
                  </w:r>
                </w:p>
              </w:tc>
            </w:tr>
            <w:tr>
              <w:tc>
                <w:tcPr>
                  <w:tcW w:type="dxa" w:w="2736"/>
                </w:tcPr>
                <w:p>
                  <w:r>
                    <w:rPr>
                      <w:b/>
                      <w:i w:val="0"/>
                      <w:sz w:val="20"/>
                    </w:rPr>
                    <w:t>Required Input/Data</w:t>
                  </w:r>
                </w:p>
              </w:tc>
              <w:tc>
                <w:tcPr>
                  <w:tcW w:type="dxa" w:w="6912"/>
                </w:tcPr>
                <w:p>
                  <w:pPr>
                    <w:jc w:val="both"/>
                  </w:pPr>
                  <w:r>
                    <w:rPr>
                      <w:b w:val="0"/>
                      <w:i w:val="0"/>
                      <w:sz w:val="20"/>
                    </w:rPr>
                    <w:t>Daily, market-level retail prices from DA Bantay Presyo, farmgate prices and production statistics from the PSA, and rainfall, temperature, and typhoon information from PAGASA. BAPTC wholesale prices and trading volume are added only if released. The daily records are counted toward the 10,000-record minimum and then aggregated into a weekly series for each commodity.</w:t>
                  </w:r>
                </w:p>
                <w:p>
                  <w:pPr>
                    <w:jc w:val="both"/>
                  </w:pPr>
                  <w:r>
                    <w:rPr>
                      <w:b w:val="0"/>
                      <w:i w:val="0"/>
                      <w:sz w:val="20"/>
                    </w:rPr>
                    <w:t>The model inputs are lagged prices from one, two, and four weeks earlier; four-week and eight-week rolling averages; calendar indicators for the month and for holiday weeks such as the Christmas season, when demand rises; rainfall and temperature from the PAGASA station nearest La Trinidad, together with a flag for typhoon weeks; and weekly trading volume where it is available.</w:t>
                  </w:r>
                </w:p>
              </w:tc>
            </w:tr>
            <w:tr>
              <w:tc>
                <w:tcPr>
                  <w:tcW w:type="dxa" w:w="2736"/>
                </w:tcPr>
                <w:p>
                  <w:r>
                    <w:rPr>
                      <w:b/>
                      <w:i w:val="0"/>
                      <w:sz w:val="20"/>
                    </w:rPr>
                    <w:t>Expected Output</w:t>
                  </w:r>
                </w:p>
              </w:tc>
              <w:tc>
                <w:tcPr>
                  <w:tcW w:type="dxa" w:w="6912"/>
                </w:tcPr>
                <w:p>
                  <w:pPr>
                    <w:jc w:val="both"/>
                  </w:pPr>
                  <w:r>
                    <w:rPr>
                      <w:b w:val="0"/>
                      <w:i w:val="0"/>
                      <w:sz w:val="20"/>
                    </w:rPr>
                    <w:t>A weekly price forecast one to four weeks ahead for each selected vegetable, a glut-risk label for each commodity-week, and a ranking of the factors that most influenced each forecast. These are presented on a web dashboard together with each model's measured accuracy.</w:t>
                  </w:r>
                </w:p>
              </w:tc>
            </w:tr>
            <w:tr>
              <w:tc>
                <w:tcPr>
                  <w:tcW w:type="dxa" w:w="2736"/>
                </w:tcPr>
                <w:p>
                  <w:r>
                    <w:rPr>
                      <w:b/>
                      <w:i w:val="0"/>
                      <w:sz w:val="20"/>
                    </w:rPr>
                    <w:t>Alternative Algorithm</w:t>
                  </w:r>
                </w:p>
              </w:tc>
              <w:tc>
                <w:tcPr>
                  <w:tcW w:type="dxa" w:w="6912"/>
                </w:tcPr>
                <w:p>
                  <w:pPr>
                    <w:jc w:val="both"/>
                  </w:pPr>
                  <w:r>
                    <w:rPr>
                      <w:b w:val="0"/>
                      <w:i w:val="0"/>
                      <w:sz w:val="20"/>
                    </w:rPr>
                    <w:t>Three baselines are compared, and each answers a separate question. Seasonal naive forecasting, which predicts that a price will repeat its value from the same week of the previous year, asks whether machine learning does better than simply assuming that last season repeats (Hyndman &amp; Athanasopoulos, 2021).</w:t>
                  </w:r>
                </w:p>
                <w:p>
                  <w:pPr>
                    <w:jc w:val="both"/>
                  </w:pPr>
                  <w:r>
                    <w:rPr>
                      <w:b w:val="0"/>
                      <w:i w:val="0"/>
                      <w:sz w:val="20"/>
                    </w:rPr>
                    <w:t>SARIMA (Seasonal Autoregressive Integrated Moving Average) is the standard statistical method for seasonal time series and asks whether XGBoost improves on classical forecasting (Hyndman &amp; Athanasopoulos, 2021). SARIMA models a single series from its own past values, so it cannot directly use volume, weather, or calendar inputs.</w:t>
                  </w:r>
                </w:p>
                <w:p>
                  <w:pPr>
                    <w:jc w:val="both"/>
                  </w:pPr>
                  <w:r>
                    <w:rPr>
                      <w:b w:val="0"/>
                      <w:i w:val="0"/>
                      <w:sz w:val="20"/>
                    </w:rPr>
                    <w:t>Random Forest asks whether boosting performs better than bagging. Random Forest builds many independent trees on resampled data and averages their outputs (Breiman, 2001), while XGBoost builds trees one after another, each correcting the errors of the previous ones. Because both use the same inputs, the comparison isolates the effect of the boosting approach.</w:t>
                  </w:r>
                </w:p>
              </w:tc>
            </w:tr>
            <w:tr>
              <w:tc>
                <w:tcPr>
                  <w:tcW w:type="dxa" w:w="2736"/>
                </w:tcPr>
                <w:p>
                  <w:r>
                    <w:rPr>
                      <w:b/>
                      <w:i w:val="0"/>
                      <w:sz w:val="20"/>
                    </w:rPr>
                    <w:t>Evaluation Method</w:t>
                  </w:r>
                </w:p>
              </w:tc>
              <w:tc>
                <w:tcPr>
                  <w:tcW w:type="dxa" w:w="6912"/>
                </w:tcPr>
                <w:p>
                  <w:pPr>
                    <w:jc w:val="both"/>
                  </w:pPr>
                  <w:r>
                    <w:rPr>
                      <w:b w:val="0"/>
                      <w:i w:val="0"/>
                      <w:sz w:val="20"/>
                    </w:rPr>
                    <w:t>Rolling-origin validation: each model is trained on all weeks up to a cutoff and tested on the one to four weeks that follow, after which the cutoff moves forward, so no future information is used to predict the past (Hyndman &amp; Athanasopoulos, 2021).</w:t>
                  </w:r>
                </w:p>
                <w:p>
                  <w:pPr>
                    <w:jc w:val="both"/>
                  </w:pPr>
                  <w:r>
                    <w:rPr>
                      <w:b w:val="0"/>
                      <w:i w:val="0"/>
                      <w:sz w:val="20"/>
                    </w:rPr>
                    <w:t>Price forecasts are measured by Mean Absolute Error (MAE), Root Mean Square Error (RMSE), and Mean Absolute Percentage Error (MAPE). Glut-risk classification is measured by precision, recall, F1-score, and the area under the precision-recall curve (PR-AUC), which is included because glut weeks are rare and overall accuracy would be misleading.</w:t>
                  </w:r>
                </w:p>
                <w:p>
                  <w:pPr>
                    <w:jc w:val="both"/>
                  </w:pPr>
                  <w:r>
                    <w:rPr>
                      <w:b w:val="0"/>
                      <w:i w:val="0"/>
                      <w:sz w:val="20"/>
                    </w:rPr>
                    <w:t>XGBoost is accepted for a commodity only where its MAE is lower than that of the seasonal naive baseline. Commodities where it does not beat that baseline are reported as such rather than omitted.</w:t>
                  </w:r>
                </w:p>
              </w:tc>
            </w:tr>
          </w:tbl>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3.0</w:t>
              <w:tab/>
              <w:t>Statement of Objectives:</w:t>
            </w:r>
          </w:p>
        </w:tc>
      </w:tr>
      <w:tr>
        <w:tc>
          <w:tcPr>
            <w:tcW w:type="dxa" w:w="9936"/>
          </w:tcPr>
          <w:p>
            <w:pPr>
              <w:jc w:val="both"/>
            </w:pPr>
            <w:r>
              <w:rPr>
                <w:b w:val="0"/>
                <w:i/>
              </w:rPr>
              <w:t>This section states the research objectives (that may become or be part of your Statement of the Problem later) that will help you achieve your desired output. This should help identify clearly the variables to be measured. It is a clear and concise statement that provides direction to the investigation of the problem. In other words, it should be SMART: S-pecific, M-easurable, A-ttainable, R-ealistic, and T-ime Bound.</w:t>
            </w:r>
          </w:p>
          <w:p>
            <w:r>
              <w:rPr>
                <w:b/>
                <w:i w:val="0"/>
              </w:rPr>
              <w:t>General Objective</w:t>
            </w:r>
          </w:p>
          <w:p>
            <w:pPr>
              <w:jc w:val="both"/>
            </w:pPr>
            <w:r>
              <w:rPr>
                <w:b w:val="0"/>
                <w:i w:val="0"/>
              </w:rPr>
              <w:t>To develop and evaluate, within an 18-week development schedule, a predictive analytics system that uses XGBoost to forecast short-term prices and flag supply-glut risk for selected highland vegetables traded at the Benguet Agri-Pinoy Trading Center (BAPTC), using public retail and farmgate price data and BAPTC wholesale records where these are released.</w:t>
            </w:r>
          </w:p>
          <w:p>
            <w:r>
              <w:rPr>
                <w:b/>
                <w:i w:val="0"/>
              </w:rPr>
              <w:t>Specific Objectives</w:t>
            </w:r>
          </w:p>
          <w:p>
            <w:pPr>
              <w:pStyle w:val="ListNumber"/>
              <w:jc w:val="both"/>
            </w:pPr>
            <w:r>
              <w:rPr>
                <w:b w:val="0"/>
                <w:i w:val="0"/>
              </w:rPr>
              <w:t>To build a cleaned and consolidated historical dataset of at least 10,000 dated price records for at least five highland vegetables, such as cabbage, carrots, potatoes, Baguio beans, and Chinese cabbage, combining DA Bantay Presyo retail prices and Philippine Statistics Authority farmgate prices with PAGASA weather records, and adding BAPTC wholesale prices and trading volume if they are released, by Week 4.</w:t>
            </w:r>
          </w:p>
          <w:p>
            <w:pPr>
              <w:pStyle w:val="ListNumber"/>
              <w:jc w:val="both"/>
            </w:pPr>
            <w:r>
              <w:rPr>
                <w:b w:val="0"/>
                <w:i w:val="0"/>
              </w:rPr>
              <w:t>To engineer and visualize forecasting features, including lagged prices, rolling averages, seasonal and calendar indicators, weather variables, and trading volume where available, by Week 6.</w:t>
            </w:r>
          </w:p>
          <w:p>
            <w:pPr>
              <w:pStyle w:val="ListNumber"/>
              <w:jc w:val="both"/>
            </w:pPr>
            <w:r>
              <w:rPr>
                <w:b w:val="0"/>
                <w:i w:val="0"/>
              </w:rPr>
              <w:t>To train XGBoost models that forecast weekly commodity prices one to four weeks ahead and classify each commodity-week as at risk or not at risk of a supply glut, using an explicitly stated glut threshold, by Week 11.</w:t>
            </w:r>
          </w:p>
          <w:p>
            <w:pPr>
              <w:pStyle w:val="ListNumber"/>
              <w:jc w:val="both"/>
            </w:pPr>
            <w:r>
              <w:rPr>
                <w:b w:val="0"/>
                <w:i w:val="0"/>
              </w:rPr>
              <w:t>To evaluate the XGBoost models against seasonal naive, SARIMA, and random forest baselines using rolling-origin validation, measuring price accuracy by Mean Absolute Error (MAE), Root Mean Square Error (RMSE), and Mean Absolute Percentage Error (MAPE), and glut-risk detection by precision, recall, F1-score, and the area under the precision-recall curve (PR-AUC), accepting XGBoost for a commodity only where it records a lower MAE than the seasonal naive baseline, by Week 13.</w:t>
            </w:r>
          </w:p>
          <w:p>
            <w:pPr>
              <w:pStyle w:val="ListNumber"/>
              <w:jc w:val="both"/>
            </w:pPr>
            <w:r>
              <w:rPr>
                <w:b w:val="0"/>
                <w:i w:val="0"/>
              </w:rPr>
              <w:t>To develop a web dashboard that presents price forecasts, glut-risk alerts, model performance, and downloadable commodity summaries, by Week 16.</w:t>
            </w:r>
          </w:p>
          <w:p>
            <w:pPr>
              <w:pStyle w:val="ListNumber"/>
              <w:jc w:val="both"/>
            </w:pPr>
            <w:r>
              <w:rPr>
                <w:b w:val="0"/>
                <w:i w:val="0"/>
              </w:rPr>
              <w:t>To assess the dashboard’s usability with at least five target users, drawn from BAPTC or DA-CAR staff where available and from agricultural market users otherwise, using the System Usability Scale (SUS) with a target average score of at least 68, by Week 18.</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4.0</w:t>
              <w:tab/>
              <w:t>Scope and Limitations of the Study:</w:t>
            </w:r>
          </w:p>
        </w:tc>
      </w:tr>
      <w:tr>
        <w:tc>
          <w:tcPr>
            <w:tcW w:type="dxa" w:w="9936"/>
          </w:tcPr>
          <w:p>
            <w:pPr>
              <w:jc w:val="both"/>
            </w:pPr>
            <w:r>
              <w:rPr>
                <w:b w:val="0"/>
                <w:i/>
              </w:rPr>
              <w:t>This section states the extent to which the research area will be explored and specifies all parameters within the study. In other words, you are to define the coverage of the study and its focus, and also the areas that it will not cover.</w:t>
            </w:r>
          </w:p>
          <w:p>
            <w:r>
              <w:rPr>
                <w:b/>
                <w:i w:val="0"/>
              </w:rPr>
              <w:t>Scope</w:t>
            </w:r>
          </w:p>
          <w:p>
            <w:pPr>
              <w:jc w:val="both"/>
            </w:pPr>
            <w:r>
              <w:rPr>
                <w:b w:val="0"/>
                <w:i w:val="0"/>
              </w:rPr>
              <w:t>The study covers the forecasting of weekly prices and supply-glut risk for five highland vegetables traded at the Benguet Agri-Pinoy Trading Center in La Trinidad, Benguet: cabbage, carrots, potatoes, Baguio beans, and Chinese cabbage. Forecasts are made one to four weeks ahead. The system is developed and evaluated within an 18-week schedule and uses at least three consecutive years of historical records.</w:t>
            </w:r>
          </w:p>
          <w:p>
            <w:pPr>
              <w:jc w:val="both"/>
            </w:pPr>
            <w:r>
              <w:rPr>
                <w:b w:val="0"/>
                <w:i w:val="0"/>
              </w:rPr>
              <w:t>The study relies first on public data. DA Bantay Presyo supplies retail prices from monitored markets (Department of Agriculture, n.d.), the PSA supplies farmgate prices and production statistics (PSA, 2025, 2026), and PAGASA supplies rainfall, temperature, and typhoon information (Philippine Atmospheric, Geophysical and Astronomical Services Administration [PAGASA], 2026). BAPTC wholesale prices and trading volume are added only if BAPTC releases them, and the study does not depend on them.</w:t>
            </w:r>
          </w:p>
          <w:p>
            <w:pPr>
              <w:jc w:val="both"/>
            </w:pPr>
            <w:r>
              <w:rPr>
                <w:b w:val="0"/>
                <w:i w:val="0"/>
              </w:rPr>
              <w:t>Price records are collected at the daily, market level, and this is the unit counted toward the 10,000-record minimum. The records are then aggregated into a weekly series for each commodity for modelling.</w:t>
            </w:r>
          </w:p>
          <w:p>
            <w:pPr>
              <w:jc w:val="both"/>
            </w:pPr>
            <w:r>
              <w:rPr>
                <w:b w:val="0"/>
                <w:i w:val="0"/>
              </w:rPr>
              <w:t>The proposed system provides weekly price forecasts, supply-glut risk alerts, a comparison of XGBoost against the three baseline models, and a web dashboard of price trends, forecasts, and model performance.</w:t>
            </w:r>
          </w:p>
          <w:p>
            <w:r>
              <w:rPr>
                <w:b/>
                <w:i w:val="0"/>
              </w:rPr>
              <w:t>Delimitations</w:t>
            </w:r>
          </w:p>
          <w:p>
            <w:pPr>
              <w:jc w:val="both"/>
            </w:pPr>
            <w:r>
              <w:rPr>
                <w:b w:val="0"/>
                <w:i w:val="0"/>
              </w:rPr>
              <w:t>The study does not cover retail or consumer demand forecasting, vegetables outside the five selected commodities, or markets in other provinces. The system will not be deployed for live operational use during the study; it will be handed over as a finished prototype to interested partner offices. The study uses only commodity-level prices, volumes, and weather data, and it does not collect or process any personal information about farmers, traders, or buyers.</w:t>
            </w:r>
          </w:p>
          <w:p>
            <w:r>
              <w:rPr>
                <w:b/>
                <w:i w:val="0"/>
              </w:rPr>
              <w:t>Limitations</w:t>
            </w:r>
          </w:p>
          <w:p>
            <w:pPr>
              <w:jc w:val="both"/>
            </w:pPr>
            <w:r>
              <w:rPr>
                <w:b w:val="0"/>
                <w:i w:val="0"/>
              </w:rPr>
              <w:t>First, the public price sources are retail and farmgate prices, not the wholesale prices recorded at BAPTC. They are used as a stand-in for trading-center prices and may not move in exactly the same way, so the forecasts describe price conditions around the trading center rather than its exact wholesale price.</w:t>
            </w:r>
          </w:p>
          <w:p>
            <w:pPr>
              <w:jc w:val="both"/>
            </w:pPr>
            <w:r>
              <w:rPr>
                <w:b w:val="0"/>
                <w:i w:val="0"/>
              </w:rPr>
              <w:t>Second, trading-volume records may not be available for all commodities and periods. Without them, the glut label relies on price alone, which reflects supply conditions only indirectly.</w:t>
            </w:r>
          </w:p>
          <w:p>
            <w:pPr>
              <w:jc w:val="both"/>
            </w:pPr>
            <w:r>
              <w:rPr>
                <w:b w:val="0"/>
                <w:i w:val="0"/>
              </w:rPr>
              <w:t>Third, extreme events such as typhoons, transport disruptions, and sudden policy changes are rare in the historical data, so the forecasts are expected to be least reliable in exactly those weeks.</w:t>
            </w:r>
          </w:p>
          <w:p>
            <w:pPr>
              <w:jc w:val="both"/>
            </w:pPr>
            <w:r>
              <w:rPr>
                <w:b w:val="0"/>
                <w:i w:val="0"/>
              </w:rPr>
              <w:t>Fourth, the models are trained on Benguet highland vegetable data, and the results may not carry over to other commodities or regions.</w:t>
            </w:r>
          </w:p>
          <w:p>
            <w:pPr>
              <w:jc w:val="both"/>
            </w:pPr>
            <w:r>
              <w:rPr>
                <w:b w:val="0"/>
                <w:i w:val="0"/>
              </w:rPr>
              <w:t>Finally, the system provides data-based estimates only. It does not guarantee future prices and does not replace the decisions of farmers, traders, or government agencies.</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5.0</w:t>
              <w:tab/>
              <w:t>Target Beneficiaries:</w:t>
            </w:r>
          </w:p>
        </w:tc>
      </w:tr>
      <w:tr>
        <w:tc>
          <w:tcPr>
            <w:tcW w:type="dxa" w:w="9936"/>
          </w:tcPr>
          <w:p>
            <w:pPr>
              <w:jc w:val="both"/>
            </w:pPr>
            <w:r>
              <w:rPr>
                <w:b w:val="0"/>
                <w:i/>
              </w:rPr>
              <w:t>This section identifies the group or groups that will benefit from your project. These are usually the people that will be indirectly or directly be affected by the project proposal. You need to describe their position in work, and how they will benefit from the project.</w:t>
            </w:r>
          </w:p>
          <w:p>
            <w:pPr>
              <w:jc w:val="both"/>
            </w:pPr>
            <w:r>
              <w:rPr>
                <w:b w:val="0"/>
                <w:i w:val="0"/>
              </w:rPr>
              <w:t>The primary beneficiaries are highland vegetable farmers in Benguet and nearby Cordillera areas. They may use early price and supply information when deciding whether to harvest, bring produce to the trading center, or seek alternative buyers. BAPTC personnel and traders are also direct beneficiaries because price and supply forecasts can support market monitoring, buyer coordination, and planning for possible oversupply.</w:t>
            </w:r>
          </w:p>
          <w:p>
            <w:pPr>
              <w:jc w:val="both"/>
            </w:pPr>
            <w:r>
              <w:rPr>
                <w:b w:val="0"/>
                <w:i w:val="0"/>
              </w:rPr>
              <w:t>Local market vendors, agricultural planners, and market analysts are secondary beneficiaries. They may use reliable commodity price and volume trends to anticipate supply conditions and make distribution or procurement decisions. According to the Department of Agriculture - Cordillera Administrative Region (2026), unsold carrots required market facilitation at BAPTC, showing that farmer income and produce quality can be affected when vegetables remain unsold.</w:t>
            </w:r>
          </w:p>
        </w:tc>
      </w:tr>
    </w:tbl>
    <w:p/>
    <w:p>
      <w:r>
        <w:br w:type="page"/>
      </w:r>
    </w:p>
    <w:tbl>
      <w:tblPr>
        <w:tblW w:type="auto" w:w="0"/>
        <w:tblLook w:firstColumn="1" w:firstRow="1" w:lastColumn="0" w:lastRow="0" w:noHBand="0" w:noVBand="1" w:val="04A0"/>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6.0</w:t>
              <w:tab/>
              <w:t>SDG Category Number:</w:t>
            </w:r>
          </w:p>
        </w:tc>
      </w:tr>
      <w:tr>
        <w:tc>
          <w:tcPr>
            <w:tcW w:type="dxa" w:w="9936"/>
          </w:tcPr>
          <w:p>
            <w:pPr>
              <w:jc w:val="center"/>
            </w:pPr>
            <w:r>
              <w:drawing>
                <wp:inline xmlns:a="http://schemas.openxmlformats.org/drawingml/2006/main" xmlns:pic="http://schemas.openxmlformats.org/drawingml/2006/picture">
                  <wp:extent cx="3840480" cy="3772265"/>
                  <wp:docPr id="1" name="Picture 1"/>
                  <wp:cNvGraphicFramePr>
                    <a:graphicFrameLocks noChangeAspect="1"/>
                  </wp:cNvGraphicFramePr>
                  <a:graphic>
                    <a:graphicData uri="http://schemas.openxmlformats.org/drawingml/2006/picture">
                      <pic:pic>
                        <pic:nvPicPr>
                          <pic:cNvPr id="0" name="sdg.png"/>
                          <pic:cNvPicPr/>
                        </pic:nvPicPr>
                        <pic:blipFill>
                          <a:blip r:embed="rId9"/>
                          <a:stretch>
                            <a:fillRect/>
                          </a:stretch>
                        </pic:blipFill>
                        <pic:spPr>
                          <a:xfrm>
                            <a:off x="0" y="0"/>
                            <a:ext cx="3840480" cy="3772265"/>
                          </a:xfrm>
                          <a:prstGeom prst="rect"/>
                        </pic:spPr>
                      </pic:pic>
                    </a:graphicData>
                  </a:graphic>
                </wp:inline>
              </w:drawing>
            </w:r>
          </w:p>
          <w:p>
            <w:r>
              <w:rPr>
                <w:b/>
                <w:i w:val="0"/>
              </w:rPr>
              <w:t xml:space="preserve">SDG Number: </w:t>
            </w:r>
            <w:r>
              <w:rPr>
                <w:b w:val="0"/>
                <w:i w:val="0"/>
              </w:rPr>
              <w:t>2 and 8</w:t>
            </w:r>
          </w:p>
          <w:p>
            <w:r>
              <w:rPr>
                <w:b/>
                <w:i w:val="0"/>
              </w:rPr>
              <w:t xml:space="preserve">SDG Title: </w:t>
            </w:r>
            <w:r>
              <w:rPr>
                <w:b w:val="0"/>
                <w:i w:val="0"/>
              </w:rPr>
              <w:t>Zero Hunger; Decent Work and Economic Growth</w:t>
            </w:r>
          </w:p>
          <w:p>
            <w:r>
              <w:rPr>
                <w:b/>
                <w:i w:val="0"/>
              </w:rPr>
              <w:t>Justification:</w:t>
            </w:r>
          </w:p>
          <w:p>
            <w:r>
              <w:rPr>
                <w:b/>
                <w:i w:val="0"/>
              </w:rPr>
              <w:t>Connection to SDG 2 Zero Hunger</w:t>
            </w:r>
          </w:p>
          <w:p>
            <w:pPr>
              <w:jc w:val="both"/>
            </w:pPr>
            <w:r>
              <w:rPr>
                <w:b w:val="0"/>
                <w:i w:val="0"/>
              </w:rPr>
              <w:t>The study supports SDG 2 by helping stakeholders identify possible vegetable oversupply before substantial quantities become unsold or spoiled. Based on Antolin, Flores, Neric, Estigoy, and Estimada (2024), carrot losses in Benguet increase when the commodity remains in the marketing chain for several days. Earlier supply-glut signals may help BAPTC personnel, farmers, and traders coordinate buyers, distribution, or alternative selling channels while vegetables are still marketable.</w:t>
            </w:r>
          </w:p>
          <w:p>
            <w:pPr>
              <w:jc w:val="both"/>
            </w:pPr>
            <w:r>
              <w:rPr>
                <w:b w:val="0"/>
                <w:i w:val="0"/>
              </w:rPr>
              <w:t>Aquino, Delos Reyes, and Catelo (2025) found that transportation difficulties, postharvest losses, unstable prices, and limited market access affect farmer profitability and consumer affordability in the Benguet vegetable value chain. Therefore, a forecasting framework may contribute to more informed supply management and support the availability of vegetables for consumers.</w:t>
            </w:r>
          </w:p>
          <w:p>
            <w:r>
              <w:rPr>
                <w:b/>
                <w:i w:val="0"/>
              </w:rPr>
              <w:t>Connection to SDG 8 Decent Work and Economic Growth</w:t>
            </w:r>
          </w:p>
          <w:p>
            <w:pPr>
              <w:jc w:val="both"/>
            </w:pPr>
            <w:r>
              <w:rPr>
                <w:b w:val="0"/>
                <w:i w:val="0"/>
              </w:rPr>
              <w:t>The study supports SDG 8 because it may help protect agricultural livelihoods through better market decisions. Based on price and supply forecasts, farmers may be better able to avoid selling large volumes during periods of probable oversupply and unusually low prices. BAPTC personnel and traders may also use the information to coordinate market interventions and reduce preventable losses.</w:t>
            </w:r>
          </w:p>
          <w:p>
            <w:pPr>
              <w:jc w:val="both"/>
            </w:pPr>
            <w:r>
              <w:rPr>
                <w:b w:val="0"/>
                <w:i w:val="0"/>
              </w:rPr>
              <w:t>According to Aquino et al. (2025), price fluctuations and market-access constraints threaten the profitability of Benguet vegetable farmers. The DA-CAR case of unsold carrots further illustrates that vegetable marketing problems can result in lost income for farmers. The proposed system does not guarantee higher prices or income; however, it can provide timely evidence that supports more informed harvesting, trading, and distribution decisions.</w:t>
            </w:r>
          </w:p>
          <w:p>
            <w:r>
              <w:rPr>
                <w:b/>
                <w:i w:val="0"/>
              </w:rPr>
              <w:t>Summary of Beneficiaries and SDG Contribution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2"/>
              <w:gridCol w:w="3312"/>
              <w:gridCol w:w="3312"/>
            </w:tblGrid>
            <w:tr>
              <w:tc>
                <w:tcPr>
                  <w:tcW w:type="dxa" w:w="2592"/>
                  <w:shd w:val="clear" w:color="auto" w:fill="D9EAD3"/>
                </w:tcPr>
                <w:p>
                  <w:r>
                    <w:rPr>
                      <w:b/>
                      <w:i w:val="0"/>
                      <w:sz w:val="20"/>
                    </w:rPr>
                    <w:t>Beneficiary</w:t>
                  </w:r>
                </w:p>
              </w:tc>
              <w:tc>
                <w:tcPr>
                  <w:tcW w:type="dxa" w:w="3744"/>
                  <w:shd w:val="clear" w:color="auto" w:fill="D9EAD3"/>
                </w:tcPr>
                <w:p>
                  <w:r>
                    <w:rPr>
                      <w:b/>
                      <w:i w:val="0"/>
                      <w:sz w:val="20"/>
                    </w:rPr>
                    <w:t>Possible Benefit</w:t>
                  </w:r>
                </w:p>
              </w:tc>
              <w:tc>
                <w:tcPr>
                  <w:tcW w:type="dxa" w:w="3312"/>
                  <w:shd w:val="clear" w:color="auto" w:fill="D9EAD3"/>
                </w:tcPr>
                <w:p>
                  <w:r>
                    <w:rPr>
                      <w:b/>
                      <w:i w:val="0"/>
                      <w:sz w:val="20"/>
                    </w:rPr>
                    <w:t>SDG Connection</w:t>
                  </w:r>
                </w:p>
              </w:tc>
            </w:tr>
            <w:tr>
              <w:tc>
                <w:tcPr>
                  <w:tcW w:type="dxa" w:w="2592"/>
                </w:tcPr>
                <w:p>
                  <w:r>
                    <w:rPr>
                      <w:b w:val="0"/>
                      <w:i w:val="0"/>
                      <w:sz w:val="20"/>
                    </w:rPr>
                    <w:t>Highland vegetable farmers</w:t>
                  </w:r>
                </w:p>
              </w:tc>
              <w:tc>
                <w:tcPr>
                  <w:tcW w:type="dxa" w:w="3744"/>
                </w:tcPr>
                <w:p>
                  <w:r>
                    <w:rPr>
                      <w:b w:val="0"/>
                      <w:i w:val="0"/>
                      <w:sz w:val="20"/>
                    </w:rPr>
                    <w:t>Earlier awareness of possible price drops and supply gluts before selling harvests.</w:t>
                  </w:r>
                </w:p>
              </w:tc>
              <w:tc>
                <w:tcPr>
                  <w:tcW w:type="dxa" w:w="3312"/>
                </w:tcPr>
                <w:p>
                  <w:r>
                    <w:rPr>
                      <w:b w:val="0"/>
                      <w:i w:val="0"/>
                      <w:sz w:val="20"/>
                    </w:rPr>
                    <w:t>SDG 8: Supports informed decisions that may reduce avoidable income losses.</w:t>
                  </w:r>
                </w:p>
              </w:tc>
            </w:tr>
            <w:tr>
              <w:tc>
                <w:tcPr>
                  <w:tcW w:type="dxa" w:w="2592"/>
                </w:tcPr>
                <w:p>
                  <w:r>
                    <w:rPr>
                      <w:b w:val="0"/>
                      <w:i w:val="0"/>
                      <w:sz w:val="20"/>
                    </w:rPr>
                    <w:t>BAPTC personnel and traders</w:t>
                  </w:r>
                </w:p>
              </w:tc>
              <w:tc>
                <w:tcPr>
                  <w:tcW w:type="dxa" w:w="3744"/>
                </w:tcPr>
                <w:p>
                  <w:r>
                    <w:rPr>
                      <w:b w:val="0"/>
                      <w:i w:val="0"/>
                      <w:sz w:val="20"/>
                    </w:rPr>
                    <w:t>Improved market monitoring, buyer coordination, and planning for possible unsold produce.</w:t>
                  </w:r>
                </w:p>
              </w:tc>
              <w:tc>
                <w:tcPr>
                  <w:tcW w:type="dxa" w:w="3312"/>
                </w:tcPr>
                <w:p>
                  <w:r>
                    <w:rPr>
                      <w:b w:val="0"/>
                      <w:i w:val="0"/>
                      <w:sz w:val="20"/>
                    </w:rPr>
                    <w:t>SDG 2 and SDG 8: Supports vegetable distribution and market efficiency.</w:t>
                  </w:r>
                </w:p>
              </w:tc>
            </w:tr>
            <w:tr>
              <w:tc>
                <w:tcPr>
                  <w:tcW w:type="dxa" w:w="2592"/>
                </w:tcPr>
                <w:p>
                  <w:r>
                    <w:rPr>
                      <w:b w:val="0"/>
                      <w:i w:val="0"/>
                      <w:sz w:val="20"/>
                    </w:rPr>
                    <w:t>Market vendors and consumers</w:t>
                  </w:r>
                </w:p>
              </w:tc>
              <w:tc>
                <w:tcPr>
                  <w:tcW w:type="dxa" w:w="3744"/>
                </w:tcPr>
                <w:p>
                  <w:r>
                    <w:rPr>
                      <w:b w:val="0"/>
                      <w:i w:val="0"/>
                      <w:sz w:val="20"/>
                    </w:rPr>
                    <w:t>More dependable information on vegetable supply conditions and possible price changes.</w:t>
                  </w:r>
                </w:p>
              </w:tc>
              <w:tc>
                <w:tcPr>
                  <w:tcW w:type="dxa" w:w="3312"/>
                </w:tcPr>
                <w:p>
                  <w:r>
                    <w:rPr>
                      <w:b w:val="0"/>
                      <w:i w:val="0"/>
                      <w:sz w:val="20"/>
                    </w:rPr>
                    <w:t>SDG 2: Supports the movement and availability of vegetables.</w:t>
                  </w:r>
                </w:p>
              </w:tc>
            </w:tr>
            <w:tr>
              <w:tc>
                <w:tcPr>
                  <w:tcW w:type="dxa" w:w="2592"/>
                </w:tcPr>
                <w:p>
                  <w:r>
                    <w:rPr>
                      <w:b w:val="0"/>
                      <w:i w:val="0"/>
                      <w:sz w:val="20"/>
                    </w:rPr>
                    <w:t>Agricultural planners and market analysts</w:t>
                  </w:r>
                </w:p>
              </w:tc>
              <w:tc>
                <w:tcPr>
                  <w:tcW w:type="dxa" w:w="3744"/>
                </w:tcPr>
                <w:p>
                  <w:r>
                    <w:rPr>
                      <w:b w:val="0"/>
                      <w:i w:val="0"/>
                      <w:sz w:val="20"/>
                    </w:rPr>
                    <w:t>Commodity price and volume trends for planning and market analysis.</w:t>
                  </w:r>
                </w:p>
              </w:tc>
              <w:tc>
                <w:tcPr>
                  <w:tcW w:type="dxa" w:w="3312"/>
                </w:tcPr>
                <w:p>
                  <w:r>
                    <w:rPr>
                      <w:b w:val="0"/>
                      <w:i w:val="0"/>
                      <w:sz w:val="20"/>
                    </w:rPr>
                    <w:t>SDG 2 and SDG 8: Supports data-informed agricultural market decisions.</w:t>
                  </w:r>
                </w:p>
              </w:tc>
            </w:tr>
          </w:tbl>
          <w:p/>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7.0</w:t>
              <w:tab/>
              <w:t>References:</w:t>
            </w:r>
          </w:p>
        </w:tc>
      </w:tr>
      <w:tr>
        <w:tc>
          <w:tcPr>
            <w:tcW w:type="dxa" w:w="9936"/>
          </w:tcPr>
          <w:p>
            <w:pPr>
              <w:jc w:val="both"/>
            </w:pPr>
            <w:r>
              <w:rPr>
                <w:b w:val="0"/>
                <w:i/>
              </w:rPr>
              <w:t>References should be written APA 6th edition format. These include online articles, books, published research (thesis and dissertation) and other published materials. As a rule, you cannot include an article or publication if the author is unknown, and you need to include as well the year. For your proposal, provide at least twenty (20) references.</w:t>
            </w:r>
          </w:p>
          <w:p>
            <w:pPr>
              <w:ind w:left="720" w:hanging="720"/>
            </w:pPr>
            <w:r>
              <w:rPr>
                <w:b w:val="0"/>
                <w:i w:val="0"/>
              </w:rPr>
              <w:t>Antolin, M. C. R., Flores, E. D., Neric, C. F., Estigoy, K. D. S., &amp; Estimada, M. S. (2024). Postharvest loss of carrots: The case of Benguet, Philippines. International Journal of Multidisciplinary Research and Publications, 6(11), 140-144. Retrieved from https://ijmrap.com/wp-content/uploads/2024/05/IJMRAP-V6N11P42Y24.pdf</w:t>
            </w:r>
          </w:p>
          <w:p>
            <w:pPr>
              <w:ind w:left="720" w:hanging="720"/>
            </w:pPr>
            <w:r>
              <w:rPr>
                <w:b w:val="0"/>
                <w:i w:val="0"/>
              </w:rPr>
              <w:t>Aquino, L. L. M., Delos Reyes, J. A., &amp; Catelo, M. A. O. (2025). Mapping and understanding food value chain networks of Benguet-sourced vegetables: The lens of the households (CIDS-DP-25-009). Quezon City, Philippines: UP Center for Integrative and Development Studies. Retrieved from https://serp-p.pids.gov.ph/publication/public/view?slug=mapping-and-understanding-food-value-chain-networks-of-benguet-sourced-vegetables-the-lens-of-the-h</w:t>
            </w:r>
          </w:p>
          <w:p>
            <w:pPr>
              <w:ind w:left="720" w:hanging="720"/>
            </w:pPr>
            <w:r>
              <w:rPr>
                <w:b w:val="0"/>
                <w:i w:val="0"/>
              </w:rPr>
              <w:t>Breiman, L. (2001). Random forests. Machine Learning, 45(1), 5-32. doi:10.1023/A:1010933404324</w:t>
            </w:r>
          </w:p>
          <w:p>
            <w:pPr>
              <w:ind w:left="720" w:hanging="720"/>
            </w:pPr>
            <w:r>
              <w:rPr>
                <w:b w:val="0"/>
                <w:i w:val="0"/>
              </w:rPr>
              <w:t>Chen, T., &amp; Guestrin, C. (2016). XGBoost: A scalable tree boosting system. In Proceedings of the 22nd ACM SIGKDD International Conference on Knowledge Discovery and Data Mining (pp. 785-794). doi:10.1145/2939672.2939785</w:t>
            </w:r>
          </w:p>
          <w:p>
            <w:pPr>
              <w:ind w:left="720" w:hanging="720"/>
            </w:pPr>
            <w:r>
              <w:rPr>
                <w:b w:val="0"/>
                <w:i w:val="0"/>
              </w:rPr>
              <w:t>DA Press Office. (2020, December 23). Vegetable processing facility at BAPTC soon to rise. Retrieved from https://www.da.gov.ph/vegetable-processing-facility-at-baptc-soon-to-rise/</w:t>
            </w:r>
          </w:p>
          <w:p>
            <w:pPr>
              <w:ind w:left="720" w:hanging="720"/>
            </w:pPr>
            <w:r>
              <w:rPr>
                <w:b w:val="0"/>
                <w:i w:val="0"/>
              </w:rPr>
              <w:t>DA Press Office. (2021, June 16). BAPTC to spin into corporation to provide farmers, traders more services, bigger income. Retrieved from https://www.da.gov.ph/baptc-to-spin-into-corporation-to-provide-farmers-traders-more-services-bigger-income/</w:t>
            </w:r>
          </w:p>
          <w:p>
            <w:pPr>
              <w:ind w:left="720" w:hanging="720"/>
            </w:pPr>
            <w:r>
              <w:rPr>
                <w:b w:val="0"/>
                <w:i w:val="0"/>
              </w:rPr>
              <w:t>Department of Agriculture. (n.d.). Price monitoring. Retrieved September 28, 2026, from https://www.da.gov.ph/price-monitoring/</w:t>
            </w:r>
          </w:p>
          <w:p>
            <w:pPr>
              <w:ind w:left="720" w:hanging="720"/>
            </w:pPr>
            <w:r>
              <w:rPr>
                <w:b w:val="0"/>
                <w:i w:val="0"/>
              </w:rPr>
              <w:t>Department of Agriculture - Cordillera Administrative Region. (2026, September 4). DA-CAR, BAPTC facilitate selling of over 1.2 tons unsold carrots. Retrieved from https://car.da.gov.ph/?p=9386</w:t>
            </w:r>
          </w:p>
          <w:p>
            <w:pPr>
              <w:ind w:left="720" w:hanging="720"/>
            </w:pPr>
            <w:r>
              <w:rPr>
                <w:b w:val="0"/>
                <w:i w:val="0"/>
              </w:rPr>
              <w:t>Gasingan, D. (2025, August 27). DA eyes digital trading, profiling at Benguet trade center. Philippine Information Agency. Retrieved from https://pia.gov.ph/news/da-eyes-digital-trading-profiling-at-benguet-trade-center/</w:t>
            </w:r>
          </w:p>
          <w:p>
            <w:pPr>
              <w:ind w:left="720" w:hanging="720"/>
            </w:pPr>
            <w:r>
              <w:rPr>
                <w:b w:val="0"/>
                <w:i w:val="0"/>
              </w:rPr>
              <w:t>Hyndman, R. J., &amp; Athanasopoulos, G. (2021). Forecasting: Principles and practice (3rd ed.). Melbourne, Australia: OTexts. Retrieved from https://otexts.com/fpp3/</w:t>
            </w:r>
          </w:p>
          <w:p>
            <w:pPr>
              <w:ind w:left="720" w:hanging="720"/>
            </w:pPr>
            <w:r>
              <w:rPr>
                <w:b w:val="0"/>
                <w:i w:val="0"/>
              </w:rPr>
              <w:t>Philippine Atmospheric, Geophysical and Astronomical Services Administration. (2026, August). Monthly Philippine agro-climatic review and outlook. Retrieved from https://pagasa.dost.gov.ph/agri-weather/monthly-agroclimatic-review-and-outlook</w:t>
            </w:r>
          </w:p>
          <w:p>
            <w:pPr>
              <w:ind w:left="720" w:hanging="720"/>
            </w:pPr>
            <w:r>
              <w:rPr>
                <w:b w:val="0"/>
                <w:i w:val="0"/>
              </w:rPr>
              <w:t>Philippine Statistics Authority. (2019, September 19). PSA approves the conduct of the 2019 survey on highland vegetable value chain analysis for use in policy formulation and future impact evaluation of agricultural trading centers. Retrieved from https://psa.gov.ph/content/psa-approves-conduct-2019-survey-highland-vegetable-value-chain-analysis-use-policy</w:t>
            </w:r>
          </w:p>
          <w:p>
            <w:pPr>
              <w:ind w:left="720" w:hanging="720"/>
            </w:pPr>
            <w:r>
              <w:rPr>
                <w:b w:val="0"/>
                <w:i w:val="0"/>
              </w:rPr>
              <w:t>Philippine Statistics Authority. (2024). CY 2023 Cordillera vegetables situationer. Retrieved from https://rssocar.psa.gov.ph/content/cy-2023-cordillera-vegetables-situationer</w:t>
            </w:r>
          </w:p>
          <w:p>
            <w:pPr>
              <w:ind w:left="720" w:hanging="720"/>
            </w:pPr>
            <w:r>
              <w:rPr>
                <w:b w:val="0"/>
                <w:i w:val="0"/>
              </w:rPr>
              <w:t>Philippine Statistics Authority. (2025, May 26). Situation of selected high value vegetable crops in Benguet, 2024. Retrieved from https://rssocar.psa.gov.ph/content/situation-selected-high-value-vegetable-crops-benguet-2024</w:t>
            </w:r>
          </w:p>
          <w:p>
            <w:pPr>
              <w:ind w:left="720" w:hanging="720"/>
            </w:pPr>
            <w:r>
              <w:rPr>
                <w:b w:val="0"/>
                <w:i w:val="0"/>
              </w:rPr>
              <w:t>Philippine Statistics Authority. (2026). Fruit vegetables: Farmgate prices by geolocation, commodity, year and period [Data set]. Retrieved September 28, 2026, from https://openstat.psa.gov.ph/PXWeb/pxweb/en/DB/DB__2M__NFG/0032M4AFN05.px/</w:t>
            </w:r>
          </w:p>
          <w:p>
            <w:pPr>
              <w:ind w:left="720" w:hanging="720"/>
            </w:pPr>
            <w:r>
              <w:rPr>
                <w:b w:val="0"/>
                <w:i w:val="0"/>
              </w:rPr>
              <w:t>Republic of the Philippines. (1997). Republic Act No. 8435: Agriculture and Fisheries Modernization Act of 1997. Retrieved from https://www.nta.da.gov.ph/laws_ra8435.html</w:t>
            </w:r>
          </w:p>
          <w:p>
            <w:pPr>
              <w:ind w:left="720" w:hanging="720"/>
            </w:pPr>
            <w:r>
              <w:rPr>
                <w:b w:val="0"/>
                <w:i w:val="0"/>
              </w:rPr>
              <w:t>Zhao, T., Chen, G., Suraphee, S., Phoophiwfa, T., &amp; Busababodhin, P. (2025). A hybrid TCN-XGBoost model for agricultural product market price forecasting. PLOS ONE, 20(5), e0322496. doi:10.1371/journal.pone.0322496</w:t>
            </w:r>
          </w:p>
        </w:tc>
      </w:tr>
    </w:tbl>
    <w:p/>
    <w:p/>
    <w:p>
      <w:r>
        <w:rPr>
          <w:b/>
          <w:i w:val="0"/>
        </w:rPr>
        <w:t>Approved by:</w:t>
      </w:r>
    </w:p>
    <w:p/>
    <w:p>
      <w:r>
        <w:rPr>
          <w:b w:val="0"/>
          <w:i w:val="0"/>
        </w:rPr>
        <w:t>______________________</w:t>
      </w:r>
    </w:p>
    <w:p>
      <w:r>
        <w:rPr>
          <w:b/>
          <w:i w:val="0"/>
        </w:rPr>
        <w:t>Panel Member 1 / Date</w:t>
      </w:r>
    </w:p>
    <w:p/>
    <w:p>
      <w:r>
        <w:rPr>
          <w:b w:val="0"/>
          <w:i w:val="0"/>
        </w:rPr>
        <w:t>______________________</w:t>
      </w:r>
    </w:p>
    <w:p>
      <w:r>
        <w:rPr>
          <w:b/>
          <w:i w:val="0"/>
        </w:rPr>
        <w:t>Panel Member 2 / Date</w:t>
      </w:r>
    </w:p>
    <w:p/>
    <w:p>
      <w:r>
        <w:rPr>
          <w:b/>
          <w:i w:val="0"/>
        </w:rPr>
        <w:t>Noted by:</w:t>
      </w:r>
    </w:p>
    <w:p/>
    <w:p>
      <w:r>
        <w:rPr>
          <w:b w:val="0"/>
          <w:i w:val="0"/>
        </w:rPr>
        <w:t>__________________________</w:t>
      </w:r>
    </w:p>
    <w:p>
      <w:r>
        <w:rPr>
          <w:b/>
          <w:i w:val="0"/>
        </w:rPr>
        <w:t>Thesis 1 Course Adviser / Date</w:t>
      </w:r>
    </w:p>
    <w:p>
      <w:r>
        <w:br w:type="page"/>
      </w:r>
    </w:p>
    <w:p>
      <w:r>
        <w:rPr>
          <w:b/>
          <w:i w:val="0"/>
        </w:rPr>
        <w:t>1. AI Interaction Log (if applicable)</w:t>
      </w:r>
    </w:p>
    <w:p>
      <w:pPr>
        <w:jc w:val="both"/>
      </w:pPr>
      <w:r>
        <w:rPr>
          <w:b w:val="0"/>
          <w:i/>
        </w:rPr>
        <w:t>If your group used any Generative AI tool while completing the assessment, document how the tool was used. The log should demonstrate that AI supported the group’s work rather than replacing the group’s research, analysis, and decision-making.</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7"/>
        <w:gridCol w:w="1987"/>
        <w:gridCol w:w="1987"/>
        <w:gridCol w:w="1987"/>
        <w:gridCol w:w="1987"/>
      </w:tblGrid>
      <w:tr>
        <w:tc>
          <w:tcPr>
            <w:tcW w:type="dxa" w:w="1872"/>
            <w:shd w:val="clear" w:color="auto" w:fill="D9EAD3"/>
          </w:tcPr>
          <w:p>
            <w:r>
              <w:rPr>
                <w:b/>
                <w:i w:val="0"/>
                <w:sz w:val="20"/>
              </w:rPr>
              <w:t>Group Member</w:t>
            </w:r>
          </w:p>
        </w:tc>
        <w:tc>
          <w:tcPr>
            <w:tcW w:type="dxa" w:w="1152"/>
            <w:shd w:val="clear" w:color="auto" w:fill="D9EAD3"/>
          </w:tcPr>
          <w:p>
            <w:r>
              <w:rPr>
                <w:b/>
                <w:i w:val="0"/>
                <w:sz w:val="20"/>
              </w:rPr>
              <w:t>AI Tool Used</w:t>
            </w:r>
          </w:p>
        </w:tc>
        <w:tc>
          <w:tcPr>
            <w:tcW w:type="dxa" w:w="2448"/>
            <w:shd w:val="clear" w:color="auto" w:fill="D9EAD3"/>
          </w:tcPr>
          <w:p>
            <w:r>
              <w:rPr>
                <w:b/>
                <w:i w:val="0"/>
                <w:sz w:val="20"/>
              </w:rPr>
              <w:t>Prompt / Purpose</w:t>
            </w:r>
          </w:p>
        </w:tc>
        <w:tc>
          <w:tcPr>
            <w:tcW w:type="dxa" w:w="1872"/>
            <w:shd w:val="clear" w:color="auto" w:fill="D9EAD3"/>
          </w:tcPr>
          <w:p>
            <w:r>
              <w:rPr>
                <w:b/>
                <w:i w:val="0"/>
                <w:sz w:val="20"/>
              </w:rPr>
              <w:t>AI Output Used For</w:t>
            </w:r>
          </w:p>
        </w:tc>
        <w:tc>
          <w:tcPr>
            <w:tcW w:type="dxa" w:w="2448"/>
            <w:shd w:val="clear" w:color="auto" w:fill="D9EAD3"/>
          </w:tcPr>
          <w:p>
            <w:r>
              <w:rPr>
                <w:b/>
                <w:i w:val="0"/>
                <w:sz w:val="20"/>
              </w:rPr>
              <w:t>How the Output Was Verified or Modified</w:t>
            </w:r>
          </w:p>
        </w:tc>
      </w:tr>
      <w:tr>
        <w:tc>
          <w:tcPr>
            <w:tcW w:type="dxa" w:w="1872"/>
          </w:tcPr>
          <w:p>
            <w:r>
              <w:rPr>
                <w:b/>
                <w:i w:val="0"/>
                <w:sz w:val="20"/>
              </w:rPr>
              <w:t>Dawn Andrei Pamesa</w:t>
            </w:r>
          </w:p>
        </w:tc>
        <w:tc>
          <w:tcPr>
            <w:tcW w:type="dxa" w:w="1152"/>
          </w:tcPr>
          <w:p>
            <w:r>
              <w:rPr>
                <w:b w:val="0"/>
                <w:i w:val="0"/>
                <w:sz w:val="20"/>
              </w:rPr>
              <w:t>Claude</w:t>
            </w:r>
          </w:p>
        </w:tc>
        <w:tc>
          <w:tcPr>
            <w:tcW w:type="dxa" w:w="2448"/>
          </w:tcPr>
          <w:p>
            <w:r>
              <w:rPr>
                <w:b w:val="0"/>
                <w:i w:val="0"/>
                <w:sz w:val="20"/>
              </w:rPr>
              <w:t>Helped draft the Statement of Objectives, check members' references against their original sources, copy-edit members' sections, and arrange the group's sections in the official template</w:t>
            </w:r>
          </w:p>
        </w:tc>
        <w:tc>
          <w:tcPr>
            <w:tcW w:type="dxa" w:w="1872"/>
          </w:tcPr>
          <w:p>
            <w:r>
              <w:rPr>
                <w:b w:val="0"/>
                <w:i w:val="0"/>
                <w:sz w:val="20"/>
              </w:rPr>
              <w:t>Drafting assistance, reference checking, and document formatting</w:t>
            </w:r>
          </w:p>
        </w:tc>
        <w:tc>
          <w:tcPr>
            <w:tcW w:type="dxa" w:w="2448"/>
          </w:tcPr>
          <w:p>
            <w:r>
              <w:rPr>
                <w:b w:val="0"/>
                <w:i w:val="0"/>
                <w:sz w:val="20"/>
              </w:rPr>
              <w:t>The objectives were checked against the project brief and revised by the group leader; every reference was checked against its original source</w:t>
            </w:r>
          </w:p>
        </w:tc>
      </w:tr>
      <w:tr>
        <w:tc>
          <w:tcPr>
            <w:tcW w:type="dxa" w:w="1872"/>
          </w:tcPr>
          <w:p>
            <w:r>
              <w:rPr>
                <w:b/>
                <w:i w:val="0"/>
                <w:sz w:val="20"/>
              </w:rPr>
              <w:t>Rogelio Porras</w:t>
            </w:r>
          </w:p>
        </w:tc>
        <w:tc>
          <w:tcPr>
            <w:tcW w:type="dxa" w:w="1152"/>
          </w:tcPr>
          <w:p>
            <w:r>
              <w:rPr>
                <w:b w:val="0"/>
                <w:i w:val="0"/>
                <w:sz w:val="20"/>
              </w:rPr>
              <w:t>Codex</w:t>
            </w:r>
          </w:p>
        </w:tc>
        <w:tc>
          <w:tcPr>
            <w:tcW w:type="dxa" w:w="2448"/>
          </w:tcPr>
          <w:p>
            <w:r>
              <w:rPr>
                <w:b w:val="0"/>
                <w:i w:val="0"/>
                <w:sz w:val="20"/>
                <w:highlight w:val="yellow"/>
              </w:rPr>
              <w:t>[Joboy's actual prompts]</w:t>
            </w:r>
          </w:p>
        </w:tc>
        <w:tc>
          <w:tcPr>
            <w:tcW w:type="dxa" w:w="1872"/>
          </w:tcPr>
          <w:p>
            <w:r>
              <w:rPr>
                <w:b w:val="0"/>
                <w:i w:val="0"/>
                <w:sz w:val="20"/>
              </w:rPr>
              <w:t>Drafting assistance for the Area of Investigation and the Background and Rationale</w:t>
            </w:r>
          </w:p>
        </w:tc>
        <w:tc>
          <w:tcPr>
            <w:tcW w:type="dxa" w:w="2448"/>
          </w:tcPr>
          <w:p>
            <w:r>
              <w:rPr>
                <w:b w:val="0"/>
                <w:i w:val="0"/>
                <w:sz w:val="20"/>
              </w:rPr>
              <w:t>Every reference was checked against its original source; two duplicate entries were replaced with two cited sources missing from the list, and wording and typographical errors were corrected</w:t>
            </w:r>
          </w:p>
        </w:tc>
      </w:tr>
      <w:tr>
        <w:tc>
          <w:tcPr>
            <w:tcW w:type="dxa" w:w="1872"/>
          </w:tcPr>
          <w:p>
            <w:r>
              <w:rPr>
                <w:b/>
                <w:i w:val="0"/>
                <w:sz w:val="20"/>
              </w:rPr>
              <w:t>John Ashley Alba</w:t>
            </w:r>
          </w:p>
        </w:tc>
        <w:tc>
          <w:tcPr>
            <w:tcW w:type="dxa" w:w="1152"/>
          </w:tcPr>
          <w:p>
            <w:r>
              <w:rPr>
                <w:b w:val="0"/>
                <w:i w:val="0"/>
                <w:sz w:val="20"/>
                <w:highlight w:val="yellow"/>
              </w:rPr>
              <w:t>[tool]</w:t>
            </w:r>
          </w:p>
        </w:tc>
        <w:tc>
          <w:tcPr>
            <w:tcW w:type="dxa" w:w="2448"/>
          </w:tcPr>
          <w:p>
            <w:r>
              <w:rPr>
                <w:b w:val="0"/>
                <w:i w:val="0"/>
                <w:sz w:val="20"/>
                <w:highlight w:val="yellow"/>
              </w:rPr>
              <w:t>[waiting for Ashley's prompts]</w:t>
            </w:r>
          </w:p>
        </w:tc>
        <w:tc>
          <w:tcPr>
            <w:tcW w:type="dxa" w:w="1872"/>
          </w:tcPr>
          <w:p>
            <w:r>
              <w:rPr>
                <w:b w:val="0"/>
                <w:i w:val="0"/>
                <w:sz w:val="20"/>
                <w:highlight w:val="yellow"/>
              </w:rPr>
              <w:t>[ ]</w:t>
            </w:r>
          </w:p>
        </w:tc>
        <w:tc>
          <w:tcPr>
            <w:tcW w:type="dxa" w:w="2448"/>
          </w:tcPr>
          <w:p>
            <w:r>
              <w:rPr>
                <w:b w:val="0"/>
                <w:i w:val="0"/>
                <w:sz w:val="20"/>
                <w:highlight w:val="yellow"/>
              </w:rPr>
              <w:t>[ ]</w:t>
            </w:r>
          </w:p>
        </w:tc>
      </w:tr>
      <w:tr>
        <w:tc>
          <w:tcPr>
            <w:tcW w:type="dxa" w:w="1872"/>
          </w:tcPr>
          <w:p>
            <w:r>
              <w:rPr>
                <w:b/>
                <w:i w:val="0"/>
                <w:sz w:val="20"/>
              </w:rPr>
              <w:t>Ralph Blanco</w:t>
            </w:r>
          </w:p>
        </w:tc>
        <w:tc>
          <w:tcPr>
            <w:tcW w:type="dxa" w:w="1152"/>
          </w:tcPr>
          <w:p>
            <w:r>
              <w:rPr>
                <w:b w:val="0"/>
                <w:i w:val="0"/>
                <w:sz w:val="20"/>
                <w:highlight w:val="yellow"/>
              </w:rPr>
              <w:t>[tool]</w:t>
            </w:r>
          </w:p>
        </w:tc>
        <w:tc>
          <w:tcPr>
            <w:tcW w:type="dxa" w:w="2448"/>
          </w:tcPr>
          <w:p>
            <w:r>
              <w:rPr>
                <w:b w:val="0"/>
                <w:i w:val="0"/>
                <w:sz w:val="20"/>
                <w:highlight w:val="yellow"/>
              </w:rPr>
              <w:t>[waiting for Ralph's prompts]</w:t>
            </w:r>
          </w:p>
        </w:tc>
        <w:tc>
          <w:tcPr>
            <w:tcW w:type="dxa" w:w="1872"/>
          </w:tcPr>
          <w:p>
            <w:r>
              <w:rPr>
                <w:b w:val="0"/>
                <w:i w:val="0"/>
                <w:sz w:val="20"/>
                <w:highlight w:val="yellow"/>
              </w:rPr>
              <w:t>[ ]</w:t>
            </w:r>
          </w:p>
        </w:tc>
        <w:tc>
          <w:tcPr>
            <w:tcW w:type="dxa" w:w="2448"/>
          </w:tcPr>
          <w:p>
            <w:r>
              <w:rPr>
                <w:b w:val="0"/>
                <w:i w:val="0"/>
                <w:sz w:val="20"/>
                <w:highlight w:val="yellow"/>
              </w:rPr>
              <w:t>[ ]</w:t>
            </w:r>
          </w:p>
        </w:tc>
      </w:tr>
    </w:tbl>
    <w:p/>
    <w:p>
      <w:r>
        <w:rPr>
          <w:b/>
          <w:i w:val="0"/>
        </w:rPr>
        <w:t>2. AI Usage Declaration</w:t>
      </w:r>
    </w:p>
    <w:p>
      <w:pPr>
        <w:jc w:val="both"/>
      </w:pPr>
      <w:r>
        <w:rPr>
          <w:b w:val="0"/>
          <w:i w:val="0"/>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pPr>
        <w:jc w:val="both"/>
      </w:pPr>
      <w:r>
        <w:rPr>
          <w:b w:val="0"/>
          <w:i w:val="0"/>
        </w:rPr>
        <w:t>We confirm that the final title proposal, objectives, scope, algorithm justification, and research outputs reflect our group’s understanding and decisions. All literature, studies, and other external sources used have been properly cited and verified.</w:t>
      </w:r>
    </w:p>
    <w:p>
      <w:r>
        <w:rPr>
          <w:b/>
          <w:i w:val="0"/>
        </w:rPr>
        <w:t xml:space="preserve">Group Name: </w:t>
      </w:r>
      <w:r>
        <w:rPr>
          <w:b w:val="0"/>
          <w:i w:val="0"/>
        </w:rPr>
        <w:t>Statisfied</w:t>
      </w:r>
    </w:p>
    <w:p>
      <w:r>
        <w:rPr>
          <w:b/>
          <w:i w:val="0"/>
        </w:rPr>
        <w:t xml:space="preserve">Date: </w:t>
      </w:r>
      <w:r>
        <w:rPr>
          <w:b w:val="0"/>
          <w:i w:val="0"/>
        </w:rPr>
        <w:t>September 27, 2026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68"/>
        <w:gridCol w:w="4968"/>
      </w:tblGrid>
      <w:tr>
        <w:tc>
          <w:tcPr>
            <w:tcW w:type="dxa" w:w="3600"/>
            <w:shd w:val="clear" w:color="auto" w:fill="D9EAD3"/>
          </w:tcPr>
          <w:p>
            <w:r>
              <w:rPr>
                <w:b/>
                <w:i w:val="0"/>
                <w:sz w:val="20"/>
              </w:rPr>
              <w:t>Group Member</w:t>
            </w:r>
          </w:p>
        </w:tc>
        <w:tc>
          <w:tcPr>
            <w:tcW w:type="dxa" w:w="6048"/>
            <w:shd w:val="clear" w:color="auto" w:fill="D9EAD3"/>
          </w:tcPr>
          <w:p>
            <w:r>
              <w:rPr>
                <w:b/>
                <w:i w:val="0"/>
                <w:sz w:val="20"/>
              </w:rPr>
              <w:t>Signature</w:t>
            </w:r>
          </w:p>
        </w:tc>
      </w:tr>
      <w:tr>
        <w:tc>
          <w:tcPr>
            <w:tcW w:type="dxa" w:w="3600"/>
          </w:tcPr>
          <w:p>
            <w:r>
              <w:rPr>
                <w:b w:val="0"/>
                <w:i w:val="0"/>
                <w:sz w:val="20"/>
              </w:rPr>
              <w:t>Dawn Andrei Pamesa</w:t>
            </w:r>
          </w:p>
        </w:tc>
        <w:tc>
          <w:tcPr>
            <w:tcW w:type="dxa" w:w="6048"/>
          </w:tcPr>
          <w:p>
            <w:r>
              <w:rPr>
                <w:b w:val="0"/>
                <w:i w:val="0"/>
                <w:sz w:val="20"/>
              </w:rPr>
            </w:r>
          </w:p>
        </w:tc>
      </w:tr>
      <w:tr>
        <w:tc>
          <w:tcPr>
            <w:tcW w:type="dxa" w:w="3600"/>
          </w:tcPr>
          <w:p>
            <w:r>
              <w:rPr>
                <w:b w:val="0"/>
                <w:i w:val="0"/>
                <w:sz w:val="20"/>
              </w:rPr>
              <w:t>Rogelio Porras</w:t>
            </w:r>
          </w:p>
        </w:tc>
        <w:tc>
          <w:tcPr>
            <w:tcW w:type="dxa" w:w="6048"/>
          </w:tcPr>
          <w:p>
            <w:r>
              <w:rPr>
                <w:b w:val="0"/>
                <w:i w:val="0"/>
                <w:sz w:val="20"/>
              </w:rPr>
            </w:r>
          </w:p>
        </w:tc>
      </w:tr>
      <w:tr>
        <w:tc>
          <w:tcPr>
            <w:tcW w:type="dxa" w:w="3600"/>
          </w:tcPr>
          <w:p>
            <w:r>
              <w:rPr>
                <w:b w:val="0"/>
                <w:i w:val="0"/>
                <w:sz w:val="20"/>
              </w:rPr>
              <w:t>John Ashley Alba</w:t>
            </w:r>
          </w:p>
        </w:tc>
        <w:tc>
          <w:tcPr>
            <w:tcW w:type="dxa" w:w="6048"/>
          </w:tcPr>
          <w:p>
            <w:r>
              <w:rPr>
                <w:b w:val="0"/>
                <w:i w:val="0"/>
                <w:sz w:val="20"/>
              </w:rPr>
            </w:r>
          </w:p>
        </w:tc>
      </w:tr>
      <w:tr>
        <w:tc>
          <w:tcPr>
            <w:tcW w:type="dxa" w:w="3600"/>
          </w:tcPr>
          <w:p>
            <w:r>
              <w:rPr>
                <w:b w:val="0"/>
                <w:i w:val="0"/>
                <w:sz w:val="20"/>
              </w:rPr>
              <w:t>Ralph Blanco</w:t>
            </w:r>
          </w:p>
        </w:tc>
        <w:tc>
          <w:tcPr>
            <w:tcW w:type="dxa" w:w="6048"/>
          </w:tcPr>
          <w:p>
            <w:r>
              <w:rPr>
                <w:b w:val="0"/>
                <w:i w:val="0"/>
                <w:sz w:val="20"/>
              </w:rPr>
            </w:r>
          </w:p>
        </w:tc>
      </w:tr>
    </w:tbl>
    <w:p/>
    <w:p>
      <w:r>
        <w:br w:type="page"/>
      </w:r>
    </w:p>
    <w:p>
      <w:r>
        <w:rPr>
          <w:b/>
          <w:i w:val="0"/>
        </w:rPr>
        <w:t>3. Team Contribution Matrix</w:t>
      </w:r>
    </w:p>
    <w:p>
      <w:r>
        <w:rPr>
          <w:b w:val="0"/>
          <w:i/>
        </w:rPr>
        <w:t>The total contribution percentage must equal 100%.</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484"/>
        <w:gridCol w:w="2484"/>
        <w:gridCol w:w="2484"/>
        <w:gridCol w:w="2484"/>
      </w:tblGrid>
      <w:tr>
        <w:tc>
          <w:tcPr>
            <w:tcW w:type="dxa" w:w="2016"/>
            <w:shd w:val="clear" w:color="auto" w:fill="D9EAD3"/>
          </w:tcPr>
          <w:p>
            <w:r>
              <w:rPr>
                <w:b/>
                <w:i w:val="0"/>
                <w:sz w:val="20"/>
              </w:rPr>
              <w:t>Group Member</w:t>
            </w:r>
          </w:p>
        </w:tc>
        <w:tc>
          <w:tcPr>
            <w:tcW w:type="dxa" w:w="2736"/>
            <w:shd w:val="clear" w:color="auto" w:fill="D9EAD3"/>
          </w:tcPr>
          <w:p>
            <w:r>
              <w:rPr>
                <w:b/>
                <w:i w:val="0"/>
                <w:sz w:val="20"/>
              </w:rPr>
              <w:t>Assigned Task/Responsibility</w:t>
            </w:r>
          </w:p>
        </w:tc>
        <w:tc>
          <w:tcPr>
            <w:tcW w:type="dxa" w:w="3744"/>
            <w:shd w:val="clear" w:color="auto" w:fill="D9EAD3"/>
          </w:tcPr>
          <w:p>
            <w:r>
              <w:rPr>
                <w:b/>
                <w:i w:val="0"/>
                <w:sz w:val="20"/>
              </w:rPr>
              <w:t>Specific Contribution/Output</w:t>
            </w:r>
          </w:p>
        </w:tc>
        <w:tc>
          <w:tcPr>
            <w:tcW w:type="dxa" w:w="1152"/>
            <w:shd w:val="clear" w:color="auto" w:fill="D9EAD3"/>
          </w:tcPr>
          <w:p>
            <w:r>
              <w:rPr>
                <w:b/>
                <w:i w:val="0"/>
                <w:sz w:val="20"/>
              </w:rPr>
              <w:t>Contribution (%)</w:t>
            </w:r>
          </w:p>
        </w:tc>
      </w:tr>
      <w:tr>
        <w:tc>
          <w:tcPr>
            <w:tcW w:type="dxa" w:w="2016"/>
          </w:tcPr>
          <w:p>
            <w:r>
              <w:rPr>
                <w:b/>
                <w:i w:val="0"/>
                <w:sz w:val="20"/>
              </w:rPr>
              <w:t>Dawn Andrei Pamesa</w:t>
            </w:r>
          </w:p>
        </w:tc>
        <w:tc>
          <w:tcPr>
            <w:tcW w:type="dxa" w:w="2736"/>
          </w:tcPr>
          <w:p>
            <w:r>
              <w:rPr>
                <w:b w:val="0"/>
                <w:i w:val="0"/>
                <w:sz w:val="20"/>
              </w:rPr>
              <w:t>Project Manager; Statement of Objectives; group information; quality check</w:t>
            </w:r>
          </w:p>
        </w:tc>
        <w:tc>
          <w:tcPr>
            <w:tcW w:type="dxa" w:w="3744"/>
          </w:tcPr>
          <w:p>
            <w:r>
              <w:rPr>
                <w:b w:val="0"/>
                <w:i w:val="0"/>
                <w:sz w:val="20"/>
              </w:rPr>
              <w:t>Wrote the Statement of Objectives; checked all sections and references; prepared the AI documentation and contribution matrix; assembled, exported, and submitted the proposal</w:t>
            </w:r>
          </w:p>
        </w:tc>
        <w:tc>
          <w:tcPr>
            <w:tcW w:type="dxa" w:w="1152"/>
          </w:tcPr>
          <w:p>
            <w:r>
              <w:rPr>
                <w:b w:val="0"/>
                <w:i w:val="0"/>
                <w:sz w:val="20"/>
                <w:highlight w:val="yellow"/>
              </w:rPr>
              <w:t>[%]</w:t>
            </w:r>
          </w:p>
        </w:tc>
      </w:tr>
      <w:tr>
        <w:tc>
          <w:tcPr>
            <w:tcW w:type="dxa" w:w="2016"/>
          </w:tcPr>
          <w:p>
            <w:r>
              <w:rPr>
                <w:b/>
                <w:i w:val="0"/>
                <w:sz w:val="20"/>
              </w:rPr>
              <w:t>Rogelio Porras</w:t>
            </w:r>
          </w:p>
        </w:tc>
        <w:tc>
          <w:tcPr>
            <w:tcW w:type="dxa" w:w="2736"/>
          </w:tcPr>
          <w:p>
            <w:r>
              <w:rPr>
                <w:b w:val="0"/>
                <w:i w:val="0"/>
                <w:sz w:val="20"/>
              </w:rPr>
              <w:t>Area of Investigation; Background and Rationale</w:t>
            </w:r>
          </w:p>
        </w:tc>
        <w:tc>
          <w:tcPr>
            <w:tcW w:type="dxa" w:w="3744"/>
          </w:tcPr>
          <w:p>
            <w:r>
              <w:rPr>
                <w:b w:val="0"/>
                <w:i w:val="0"/>
                <w:sz w:val="20"/>
              </w:rPr>
              <w:t>Wrote the Area of Investigation and the Background and Rationale with their references</w:t>
            </w:r>
          </w:p>
        </w:tc>
        <w:tc>
          <w:tcPr>
            <w:tcW w:type="dxa" w:w="1152"/>
          </w:tcPr>
          <w:p>
            <w:r>
              <w:rPr>
                <w:b w:val="0"/>
                <w:i w:val="0"/>
                <w:sz w:val="20"/>
                <w:highlight w:val="yellow"/>
              </w:rPr>
              <w:t>[%]</w:t>
            </w:r>
          </w:p>
        </w:tc>
      </w:tr>
      <w:tr>
        <w:tc>
          <w:tcPr>
            <w:tcW w:type="dxa" w:w="2016"/>
          </w:tcPr>
          <w:p>
            <w:r>
              <w:rPr>
                <w:b/>
                <w:i w:val="0"/>
                <w:sz w:val="20"/>
              </w:rPr>
              <w:t>John Ashley Alba</w:t>
            </w:r>
          </w:p>
        </w:tc>
        <w:tc>
          <w:tcPr>
            <w:tcW w:type="dxa" w:w="2736"/>
          </w:tcPr>
          <w:p>
            <w:r>
              <w:rPr>
                <w:b w:val="0"/>
                <w:i w:val="0"/>
                <w:sz w:val="20"/>
              </w:rPr>
              <w:t>Target Beneficiaries; SDG Category</w:t>
            </w:r>
          </w:p>
        </w:tc>
        <w:tc>
          <w:tcPr>
            <w:tcW w:type="dxa" w:w="3744"/>
          </w:tcPr>
          <w:p>
            <w:r>
              <w:rPr>
                <w:b w:val="0"/>
                <w:i w:val="0"/>
                <w:sz w:val="20"/>
              </w:rPr>
              <w:t>Wrote the Target Beneficiaries and the SDG justification with their references</w:t>
            </w:r>
          </w:p>
        </w:tc>
        <w:tc>
          <w:tcPr>
            <w:tcW w:type="dxa" w:w="1152"/>
          </w:tcPr>
          <w:p>
            <w:r>
              <w:rPr>
                <w:b w:val="0"/>
                <w:i w:val="0"/>
                <w:sz w:val="20"/>
                <w:highlight w:val="yellow"/>
              </w:rPr>
              <w:t>[%]</w:t>
            </w:r>
          </w:p>
        </w:tc>
      </w:tr>
      <w:tr>
        <w:tc>
          <w:tcPr>
            <w:tcW w:type="dxa" w:w="2016"/>
          </w:tcPr>
          <w:p>
            <w:r>
              <w:rPr>
                <w:b/>
                <w:i w:val="0"/>
                <w:sz w:val="20"/>
              </w:rPr>
              <w:t>Ralph Blanco</w:t>
            </w:r>
          </w:p>
        </w:tc>
        <w:tc>
          <w:tcPr>
            <w:tcW w:type="dxa" w:w="2736"/>
          </w:tcPr>
          <w:p>
            <w:r>
              <w:rPr>
                <w:b w:val="0"/>
                <w:i w:val="0"/>
                <w:sz w:val="20"/>
              </w:rPr>
              <w:t>Algorithm/Technique Justification; Scope and Limitations</w:t>
            </w:r>
          </w:p>
        </w:tc>
        <w:tc>
          <w:tcPr>
            <w:tcW w:type="dxa" w:w="3744"/>
          </w:tcPr>
          <w:p>
            <w:r>
              <w:rPr>
                <w:b w:val="0"/>
                <w:i w:val="0"/>
                <w:sz w:val="20"/>
              </w:rPr>
              <w:t>Wrote the algorithm justification and the Scope and Limitations with their references</w:t>
            </w:r>
          </w:p>
        </w:tc>
        <w:tc>
          <w:tcPr>
            <w:tcW w:type="dxa" w:w="1152"/>
          </w:tcPr>
          <w:p>
            <w:r>
              <w:rPr>
                <w:b w:val="0"/>
                <w:i w:val="0"/>
                <w:sz w:val="20"/>
                <w:highlight w:val="yellow"/>
              </w:rPr>
              <w:t>[%]</w:t>
            </w:r>
          </w:p>
        </w:tc>
      </w:tr>
      <w:tr>
        <w:tc>
          <w:tcPr>
            <w:tcW w:type="dxa" w:w="2016"/>
          </w:tcPr>
          <w:p>
            <w:r>
              <w:rPr>
                <w:b/>
                <w:i w:val="0"/>
                <w:sz w:val="20"/>
              </w:rPr>
            </w:r>
          </w:p>
        </w:tc>
        <w:tc>
          <w:tcPr>
            <w:tcW w:type="dxa" w:w="2736"/>
          </w:tcPr>
          <w:p>
            <w:r>
              <w:rPr>
                <w:b w:val="0"/>
                <w:i w:val="0"/>
                <w:sz w:val="20"/>
              </w:rPr>
            </w:r>
          </w:p>
        </w:tc>
        <w:tc>
          <w:tcPr>
            <w:tcW w:type="dxa" w:w="3744"/>
          </w:tcPr>
          <w:p>
            <w:r>
              <w:rPr>
                <w:b w:val="0"/>
                <w:i w:val="0"/>
                <w:sz w:val="20"/>
              </w:rPr>
              <w:t>Total</w:t>
            </w:r>
          </w:p>
        </w:tc>
        <w:tc>
          <w:tcPr>
            <w:tcW w:type="dxa" w:w="1152"/>
          </w:tcPr>
          <w:p>
            <w:r>
              <w:rPr>
                <w:b w:val="0"/>
                <w:i w:val="0"/>
                <w:sz w:val="20"/>
              </w:rPr>
              <w:t>100%</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