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IV — FROM RAG TO AGENTIC RAG</w:t>
      </w:r>
    </w:p>
    <w:p>
      <w:pPr>
        <w:spacing w:after="200"/>
        <w:jc w:val="center"/>
      </w:pPr>
      <w:r>
        <w:rPr>
          <w:rFonts w:ascii="Times New Roman" w:hAnsi="Times New Roman"/>
          <w:b/>
          <w:i w:val="0"/>
          <w:color w:val="2E74B5"/>
          <w:sz w:val="36"/>
        </w:rPr>
        <w:t>Chapter 17</w:t>
      </w:r>
    </w:p>
    <w:p>
      <w:pPr>
        <w:spacing w:after="520"/>
        <w:jc w:val="center"/>
      </w:pPr>
      <w:r>
        <w:rPr>
          <w:rFonts w:ascii="Times New Roman" w:hAnsi="Times New Roman"/>
          <w:b/>
          <w:i w:val="0"/>
          <w:color w:val="000000"/>
          <w:sz w:val="30"/>
        </w:rPr>
        <w:t>Tool Use and Function Calling</w:t>
      </w:r>
    </w:p>
    <w:p>
      <w:pPr>
        <w:ind w:left="864" w:right="864"/>
        <w:jc w:val="center"/>
      </w:pPr>
      <w:r>
        <w:rPr>
          <w:rFonts w:ascii="Times New Roman" w:hAnsi="Times New Roman"/>
          <w:b w:val="0"/>
          <w:i/>
          <w:color w:val="555555"/>
          <w:sz w:val="22"/>
        </w:rPr>
        <w:t>“A useful agent does not merely reason about the world; it acts through contracts.”</w:t>
      </w:r>
    </w:p>
    <w:p>
      <w:r>
        <w:br w:type="page"/>
      </w:r>
    </w:p>
    <w:p>
      <w:pPr>
        <w:spacing w:after="160"/>
      </w:pPr>
      <w:r>
        <w:rPr>
          <w:rFonts w:ascii="Times New Roman" w:hAnsi="Times New Roman"/>
          <w:b/>
          <w:i w:val="0"/>
          <w:color w:val="1A3A5C"/>
          <w:sz w:val="32"/>
        </w:rPr>
        <w:t>Chapter 17 — Tool Use and Function Calling</w:t>
      </w:r>
    </w:p>
    <w:p>
      <w:pPr>
        <w:spacing w:after="120" w:line="240" w:lineRule="auto"/>
        <w:jc w:val="both"/>
      </w:pPr>
      <w:r>
        <w:rPr>
          <w:rFonts w:ascii="Times New Roman" w:hAnsi="Times New Roman"/>
          <w:b w:val="0"/>
          <w:i w:val="0"/>
          <w:color w:val="000000"/>
          <w:sz w:val="22"/>
        </w:rPr>
        <w:t>The loop in Chapter 16 can choose an action, but choice becomes useful only when the application can execute it safely. Tool-calling is the bridge between model output and program behavior. The model emits a structured request; the orchestrator validates it; an ordinary function performs the operation; and the result returns to the model under the identifier of the original call.</w:t>
      </w:r>
    </w:p>
    <w:p>
      <w:pPr>
        <w:spacing w:after="120" w:line="240" w:lineRule="auto"/>
        <w:jc w:val="both"/>
      </w:pPr>
      <w:r>
        <w:rPr>
          <w:rFonts w:ascii="Times New Roman" w:hAnsi="Times New Roman"/>
          <w:b w:val="0"/>
          <w:i w:val="0"/>
          <w:color w:val="000000"/>
          <w:sz w:val="22"/>
        </w:rPr>
        <w:t>Memora’s history shows why this boundary deserves its own chapter. Tool schemas enabled iterative retrieval, but early designs exposed procedural choices that belonged in configuration, allowed incompatible actions in the same phase, and encountered provider-specific failures such as `tool_use_failed` and malformed `function.arguments`. The fixes were architectural: minimize the schema, inject server context privately, validate before execution, preserve call/result pairing, and move quality judging out of the model-visible tool set. By the end, you will be able to design a tool that is useful, narrow, testable, and safe.</w:t>
      </w:r>
    </w:p>
    <w:p>
      <w:pPr>
        <w:pStyle w:val="Heading1"/>
      </w:pPr>
      <w:r>
        <w:t>17.1 What a tool is from the LLM’s perspective</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Tool</w:t>
            </w:r>
          </w:p>
          <w:p>
            <w:pPr>
              <w:spacing w:line="276" w:lineRule="auto"/>
              <w:jc w:val="both"/>
            </w:pPr>
            <w:r>
              <w:rPr>
                <w:rFonts w:ascii="Times New Roman" w:hAnsi="Times New Roman"/>
                <w:b w:val="0"/>
                <w:i w:val="0"/>
                <w:color w:val="000000"/>
                <w:sz w:val="22"/>
              </w:rPr>
              <w:t>An application-provided operation described to the model by a name, purpose, and argument schema. The model may request the operation, but the application retains authority to validate, execute, reject, or defer it.</w:t>
            </w:r>
          </w:p>
        </w:tc>
      </w:tr>
    </w:tbl>
    <w:p>
      <w:pPr>
        <w:spacing w:after="0"/>
      </w:pPr>
    </w:p>
    <w:p>
      <w:pPr>
        <w:spacing w:after="120" w:line="240" w:lineRule="auto"/>
        <w:jc w:val="both"/>
      </w:pPr>
      <w:r>
        <w:rPr>
          <w:rFonts w:ascii="Times New Roman" w:hAnsi="Times New Roman"/>
          <w:b w:val="0"/>
          <w:i w:val="0"/>
          <w:color w:val="000000"/>
          <w:sz w:val="22"/>
        </w:rPr>
        <w:t>From the model’s perspective, a tool is not a Python function object. It is text plus structure: a name such as `retrieve_documents`, a description of when to use it, and a JSON-style schema describing permitted arguments. The model’s response contains a call record rather than the tool’s actual result. Only the host program can cross from that request into code execution.</w:t>
      </w:r>
    </w:p>
    <w:p>
      <w:pPr>
        <w:spacing w:after="40"/>
        <w:jc w:val="center"/>
      </w:pPr>
      <w:r>
        <w:drawing>
          <wp:inline xmlns:a="http://schemas.openxmlformats.org/drawingml/2006/main" xmlns:pic="http://schemas.openxmlformats.org/drawingml/2006/picture">
            <wp:extent cx="4462272" cy="2454250"/>
            <wp:docPr id="1" name="Picture 1" descr="Figure 17.1 — The orchestrator mediates every transition from model intent to executable code." title="The orchestrator mediates every transition from model intent to executable code"/>
            <wp:cNvGraphicFramePr>
              <a:graphicFrameLocks noChangeAspect="1"/>
            </wp:cNvGraphicFramePr>
            <a:graphic>
              <a:graphicData uri="http://schemas.openxmlformats.org/drawingml/2006/picture">
                <pic:pic>
                  <pic:nvPicPr>
                    <pic:cNvPr id="0" name="chapter17_tool_boundary.png"/>
                    <pic:cNvPicPr/>
                  </pic:nvPicPr>
                  <pic:blipFill>
                    <a:blip r:embed="rId11"/>
                    <a:stretch>
                      <a:fillRect/>
                    </a:stretch>
                  </pic:blipFill>
                  <pic:spPr>
                    <a:xfrm>
                      <a:off x="0" y="0"/>
                      <a:ext cx="4462272" cy="2454250"/>
                    </a:xfrm>
                    <a:prstGeom prst="rect"/>
                  </pic:spPr>
                </pic:pic>
              </a:graphicData>
            </a:graphic>
          </wp:inline>
        </w:drawing>
      </w:r>
    </w:p>
    <w:p>
      <w:pPr>
        <w:spacing w:after="160"/>
        <w:jc w:val="center"/>
      </w:pPr>
      <w:r>
        <w:rPr>
          <w:rFonts w:ascii="Times New Roman" w:hAnsi="Times New Roman"/>
          <w:b w:val="0"/>
          <w:i/>
          <w:color w:val="555555"/>
          <w:sz w:val="20"/>
        </w:rPr>
        <w:t>Figure 17.1 — The orchestrator mediates every transition from model intent to executable code.</w:t>
      </w:r>
    </w:p>
    <w:p>
      <w:pPr>
        <w:spacing w:after="120" w:line="240" w:lineRule="auto"/>
        <w:jc w:val="both"/>
      </w:pPr>
      <w:r>
        <w:rPr>
          <w:rFonts w:ascii="Times New Roman" w:hAnsi="Times New Roman"/>
          <w:b w:val="0"/>
          <w:i w:val="0"/>
          <w:color w:val="000000"/>
          <w:sz w:val="22"/>
        </w:rPr>
        <w:t>As Figure 17.1 emphasizes, neither a plausible name nor schema-shaped arguments grant authority. The request crosses the boundary only after application policy has approved the operation and supplied trusted context.</w:t>
      </w:r>
    </w:p>
    <w:p>
      <w:pPr>
        <w:spacing w:after="120" w:line="240" w:lineRule="auto"/>
        <w:jc w:val="both"/>
      </w:pPr>
      <w:r>
        <w:rPr>
          <w:rFonts w:ascii="Times New Roman" w:hAnsi="Times New Roman"/>
          <w:b w:val="0"/>
          <w:i w:val="0"/>
          <w:color w:val="000000"/>
          <w:sz w:val="22"/>
        </w:rPr>
        <w:t>This separation matters because the model is probabilistic and the function is operational. The model can misspell a field, invent an argument, request a forbidden path, or call the right tool at the wrong phase. The orchestrator converts a suggestion into a controlled action. It also supplies dependencies the model should never see: retriever objects, database clients, credentials, collection handles, and authorization rules.</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restaurant order ticket</w:t>
            </w:r>
          </w:p>
          <w:p>
            <w:pPr>
              <w:spacing w:line="276" w:lineRule="auto"/>
              <w:jc w:val="both"/>
            </w:pPr>
            <w:r>
              <w:rPr>
                <w:rFonts w:ascii="Times New Roman" w:hAnsi="Times New Roman"/>
                <w:b w:val="0"/>
                <w:i w:val="0"/>
                <w:color w:val="000000"/>
                <w:sz w:val="22"/>
              </w:rPr>
              <w:t>A diner chooses from the menu and states preferences. They do not enter the kitchen, operate the stove, or choose the supplier account. The waiter checks the order, the kitchen performs an approved operation, and the completed dish returns with the ticket that identifies who requested it.</w:t>
            </w:r>
          </w:p>
        </w:tc>
      </w:tr>
    </w:tbl>
    <w:p>
      <w:pPr>
        <w:spacing w:after="0"/>
      </w:pPr>
    </w:p>
    <w:p>
      <w:pPr>
        <w:pStyle w:val="Heading1"/>
      </w:pPr>
      <w:r>
        <w:t>17.2 Writing tool schemas in JSON Schema style</w:t>
      </w:r>
    </w:p>
    <w:p>
      <w:pPr>
        <w:spacing w:after="120" w:line="240" w:lineRule="auto"/>
        <w:jc w:val="both"/>
      </w:pPr>
      <w:r>
        <w:rPr>
          <w:rFonts w:ascii="Times New Roman" w:hAnsi="Times New Roman"/>
          <w:b w:val="0"/>
          <w:i w:val="0"/>
          <w:color w:val="000000"/>
          <w:sz w:val="22"/>
        </w:rPr>
        <w:t>A strong schema makes valid requests easy and invalid requests obvious. Keep the name action-oriented, write a description that states when the tool should and should not be used, define the smallest argument set, forbid extra properties, and constrain strings or enumerations where possible. Descriptions should explain semantics; the schema should enforce shape.</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RETRIEVE_SCHEMA = {</w:t>
            </w:r>
          </w:p>
          <w:p>
            <w:pPr>
              <w:spacing w:after="0" w:line="300" w:lineRule="auto"/>
            </w:pPr>
            <w:r>
              <w:rPr>
                <w:rFonts w:ascii="Courier New" w:hAnsi="Courier New"/>
                <w:b w:val="0"/>
                <w:i w:val="0"/>
                <w:color w:val="000000"/>
                <w:sz w:val="20"/>
              </w:rPr>
              <w:t xml:space="preserve">    "type": "function",</w:t>
            </w:r>
          </w:p>
          <w:p>
            <w:pPr>
              <w:spacing w:after="0" w:line="300" w:lineRule="auto"/>
            </w:pPr>
            <w:r>
              <w:rPr>
                <w:rFonts w:ascii="Courier New" w:hAnsi="Courier New"/>
                <w:b w:val="0"/>
                <w:i w:val="0"/>
                <w:color w:val="000000"/>
                <w:sz w:val="20"/>
              </w:rPr>
              <w:t xml:space="preserve">    "function": {</w:t>
            </w:r>
          </w:p>
          <w:p>
            <w:pPr>
              <w:spacing w:after="0" w:line="300" w:lineRule="auto"/>
            </w:pPr>
            <w:r>
              <w:rPr>
                <w:rFonts w:ascii="Courier New" w:hAnsi="Courier New"/>
                <w:b w:val="0"/>
                <w:i w:val="0"/>
                <w:color w:val="000000"/>
                <w:sz w:val="20"/>
              </w:rPr>
              <w:t xml:space="preserve">        "name": "retrieve_documents",</w:t>
            </w:r>
          </w:p>
          <w:p>
            <w:pPr>
              <w:spacing w:after="0" w:line="300" w:lineRule="auto"/>
            </w:pPr>
            <w:r>
              <w:rPr>
                <w:rFonts w:ascii="Courier New" w:hAnsi="Courier New"/>
                <w:b w:val="0"/>
                <w:i w:val="0"/>
                <w:color w:val="000000"/>
                <w:sz w:val="20"/>
              </w:rPr>
              <w:t xml:space="preserve">        "description": (</w:t>
            </w:r>
          </w:p>
          <w:p>
            <w:pPr>
              <w:spacing w:after="0" w:line="300" w:lineRule="auto"/>
            </w:pPr>
            <w:r>
              <w:rPr>
                <w:rFonts w:ascii="Courier New" w:hAnsi="Courier New"/>
                <w:b w:val="0"/>
                <w:i w:val="0"/>
                <w:color w:val="000000"/>
                <w:sz w:val="20"/>
              </w:rPr>
              <w:t xml:space="preserve">            "Search approved document and learned-QA sources. "</w:t>
            </w:r>
          </w:p>
          <w:p>
            <w:pPr>
              <w:spacing w:after="0" w:line="300" w:lineRule="auto"/>
            </w:pPr>
            <w:r>
              <w:rPr>
                <w:rFonts w:ascii="Courier New" w:hAnsi="Courier New"/>
                <w:b w:val="0"/>
                <w:i w:val="0"/>
                <w:color w:val="000000"/>
                <w:sz w:val="20"/>
              </w:rPr>
              <w:t xml:space="preserve">            "Use a focused query that names the missing concept."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"parameters": {</w:t>
            </w:r>
          </w:p>
          <w:p>
            <w:pPr>
              <w:spacing w:after="0" w:line="300" w:lineRule="auto"/>
            </w:pPr>
            <w:r>
              <w:rPr>
                <w:rFonts w:ascii="Courier New" w:hAnsi="Courier New"/>
                <w:b w:val="0"/>
                <w:i w:val="0"/>
                <w:color w:val="000000"/>
                <w:sz w:val="20"/>
              </w:rPr>
              <w:t xml:space="preserve">            "type": "object",</w:t>
            </w:r>
          </w:p>
          <w:p>
            <w:pPr>
              <w:spacing w:after="0" w:line="300" w:lineRule="auto"/>
            </w:pPr>
            <w:r>
              <w:rPr>
                <w:rFonts w:ascii="Courier New" w:hAnsi="Courier New"/>
                <w:b w:val="0"/>
                <w:i w:val="0"/>
                <w:color w:val="000000"/>
                <w:sz w:val="20"/>
              </w:rPr>
              <w:t xml:space="preserve">            "properties": {</w:t>
            </w:r>
          </w:p>
          <w:p>
            <w:pPr>
              <w:spacing w:after="0" w:line="300" w:lineRule="auto"/>
            </w:pPr>
            <w:r>
              <w:rPr>
                <w:rFonts w:ascii="Courier New" w:hAnsi="Courier New"/>
                <w:b w:val="0"/>
                <w:i w:val="0"/>
                <w:color w:val="000000"/>
                <w:sz w:val="20"/>
              </w:rPr>
              <w:t xml:space="preserve">                "query": {</w:t>
            </w:r>
          </w:p>
          <w:p>
            <w:pPr>
              <w:spacing w:after="0" w:line="300" w:lineRule="auto"/>
            </w:pPr>
            <w:r>
              <w:rPr>
                <w:rFonts w:ascii="Courier New" w:hAnsi="Courier New"/>
                <w:b w:val="0"/>
                <w:i w:val="0"/>
                <w:color w:val="000000"/>
                <w:sz w:val="20"/>
              </w:rPr>
              <w:t xml:space="preserve">                    "type": "string",</w:t>
            </w:r>
          </w:p>
          <w:p>
            <w:pPr>
              <w:spacing w:after="0" w:line="300" w:lineRule="auto"/>
            </w:pPr>
            <w:r>
              <w:rPr>
                <w:rFonts w:ascii="Courier New" w:hAnsi="Courier New"/>
                <w:b w:val="0"/>
                <w:i w:val="0"/>
                <w:color w:val="000000"/>
                <w:sz w:val="20"/>
              </w:rPr>
              <w:t xml:space="preserve">                    "minLength": 3,</w:t>
            </w:r>
          </w:p>
          <w:p>
            <w:pPr>
              <w:spacing w:after="0" w:line="300" w:lineRule="auto"/>
            </w:pPr>
            <w:r>
              <w:rPr>
                <w:rFonts w:ascii="Courier New" w:hAnsi="Courier New"/>
                <w:b w:val="0"/>
                <w:i w:val="0"/>
                <w:color w:val="000000"/>
                <w:sz w:val="20"/>
              </w:rPr>
              <w:t xml:space="preserve">                    "maxLength": 500,</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"required": ["query"],</w:t>
            </w:r>
          </w:p>
          <w:p>
            <w:pPr>
              <w:spacing w:after="0" w:line="300" w:lineRule="auto"/>
            </w:pPr>
            <w:r>
              <w:rPr>
                <w:rFonts w:ascii="Courier New" w:hAnsi="Courier New"/>
                <w:b w:val="0"/>
                <w:i w:val="0"/>
                <w:color w:val="000000"/>
                <w:sz w:val="20"/>
              </w:rPr>
              <w:t xml:space="preserve">            "additionalProperties": False,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w:t>
            </w:r>
          </w:p>
        </w:tc>
      </w:tr>
    </w:tbl>
    <w:p>
      <w:pPr>
        <w:spacing w:after="0"/>
      </w:pP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Schema choice</w:t>
            </w:r>
          </w:p>
        </w:tc>
        <w:tc>
          <w:tcPr>
            <w:tcW w:type="dxa" w:w="345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Why it matters</w:t>
            </w:r>
          </w:p>
        </w:tc>
        <w:tc>
          <w:tcPr>
            <w:tcW w:type="dxa" w:w="35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Weak alternative</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focused verb</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Reduces tool-selection ambiguity</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`do_rag_stuff`</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Behavioral description</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Teaches appropriate use</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Repeating only the function name</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Minimal arguments</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Shrinks the model’s error surface</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Exposing every internal option</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Required fields</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Rejects incomplete calls early</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Guessing missing values</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 extra properties</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Blocks invented knobs</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Silently accepting unknown fields</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Length / enum constraints</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Bounds payloads and choices</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Unrestricted free-form objects</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Treating the description as enforcement</w:t>
            </w:r>
          </w:p>
          <w:p>
            <w:pPr>
              <w:spacing w:line="276" w:lineRule="auto"/>
              <w:jc w:val="both"/>
            </w:pPr>
            <w:r>
              <w:rPr>
                <w:rFonts w:ascii="Times New Roman" w:hAnsi="Times New Roman"/>
                <w:b w:val="0"/>
                <w:i w:val="0"/>
                <w:color w:val="000000"/>
                <w:sz w:val="22"/>
              </w:rPr>
              <w:t>A sentence such as “call this exactly once” may guide the model, but it cannot guarantee behavior. Enforce phase, count, and ordering in code. Natural-language instructions are hints; program checks are contracts.</w:t>
            </w:r>
          </w:p>
        </w:tc>
      </w:tr>
    </w:tbl>
    <w:p>
      <w:pPr>
        <w:spacing w:after="0"/>
      </w:pPr>
    </w:p>
    <w:p>
      <w:pPr>
        <w:pStyle w:val="Heading2"/>
      </w:pPr>
      <w:r>
        <w:t>17.2.1 Worked example: from model request to tool result</w:t>
      </w:r>
    </w:p>
    <w:p>
      <w:pPr>
        <w:spacing w:after="120" w:line="240" w:lineRule="auto"/>
        <w:jc w:val="both"/>
      </w:pPr>
      <w:r>
        <w:rPr>
          <w:rFonts w:ascii="Times New Roman" w:hAnsi="Times New Roman"/>
          <w:b w:val="0"/>
          <w:i w:val="0"/>
          <w:color w:val="000000"/>
          <w:sz w:val="22"/>
        </w:rPr>
        <w:t>Suppose the user asks why an acronym has two meanings. The model decides that its current evidence is insufficient and emits a call rather than prose. The assistant message carries a generated call ID, the registered tool name, and arguments that satisfy the public schema. Nothing has executed yet. The orchestrator now owns the transition from probabilistic intent to deterministic work.</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 Assistant message proposed by the model</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"role": "assistant",</w:t>
            </w:r>
          </w:p>
          <w:p>
            <w:pPr>
              <w:spacing w:after="0" w:line="300" w:lineRule="auto"/>
            </w:pPr>
            <w:r>
              <w:rPr>
                <w:rFonts w:ascii="Courier New" w:hAnsi="Courier New"/>
                <w:b w:val="0"/>
                <w:i w:val="0"/>
                <w:color w:val="000000"/>
                <w:sz w:val="20"/>
              </w:rPr>
              <w:t xml:space="preserve">  "tool_calls": [{</w:t>
            </w:r>
          </w:p>
          <w:p>
            <w:pPr>
              <w:spacing w:after="0" w:line="300" w:lineRule="auto"/>
            </w:pPr>
            <w:r>
              <w:rPr>
                <w:rFonts w:ascii="Courier New" w:hAnsi="Courier New"/>
                <w:b w:val="0"/>
                <w:i w:val="0"/>
                <w:color w:val="000000"/>
                <w:sz w:val="20"/>
              </w:rPr>
              <w:t xml:space="preserve">    "id": "call_7f2",</w:t>
            </w:r>
          </w:p>
          <w:p>
            <w:pPr>
              <w:spacing w:after="0" w:line="300" w:lineRule="auto"/>
            </w:pPr>
            <w:r>
              <w:rPr>
                <w:rFonts w:ascii="Courier New" w:hAnsi="Courier New"/>
                <w:b w:val="0"/>
                <w:i w:val="0"/>
                <w:color w:val="000000"/>
                <w:sz w:val="20"/>
              </w:rPr>
              <w:t xml:space="preserve">    "function": {</w:t>
            </w:r>
          </w:p>
          <w:p>
            <w:pPr>
              <w:spacing w:after="0" w:line="300" w:lineRule="auto"/>
            </w:pPr>
            <w:r>
              <w:rPr>
                <w:rFonts w:ascii="Courier New" w:hAnsi="Courier New"/>
                <w:b w:val="0"/>
                <w:i w:val="0"/>
                <w:color w:val="000000"/>
                <w:sz w:val="20"/>
              </w:rPr>
              <w:t xml:space="preserve">      "name": "retrieve_documents",</w:t>
            </w:r>
          </w:p>
          <w:p>
            <w:pPr>
              <w:spacing w:after="0" w:line="300" w:lineRule="auto"/>
            </w:pPr>
            <w:r>
              <w:rPr>
                <w:rFonts w:ascii="Courier New" w:hAnsi="Courier New"/>
                <w:b w:val="0"/>
                <w:i w:val="0"/>
                <w:color w:val="000000"/>
                <w:sz w:val="20"/>
              </w:rPr>
              <w:t xml:space="preserve">      "arguments": "{\"query\":\"ASD acronym clinical software\"}"</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Result appended by the orchestrator after validation and execution</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"role": "tool",</w:t>
            </w:r>
          </w:p>
          <w:p>
            <w:pPr>
              <w:spacing w:after="0" w:line="300" w:lineRule="auto"/>
            </w:pPr>
            <w:r>
              <w:rPr>
                <w:rFonts w:ascii="Courier New" w:hAnsi="Courier New"/>
                <w:b w:val="0"/>
                <w:i w:val="0"/>
                <w:color w:val="000000"/>
                <w:sz w:val="20"/>
              </w:rPr>
              <w:t xml:space="preserve">  "tool_call_id": "call_7f2",</w:t>
            </w:r>
          </w:p>
          <w:p>
            <w:pPr>
              <w:spacing w:after="0" w:line="300" w:lineRule="auto"/>
            </w:pPr>
            <w:r>
              <w:rPr>
                <w:rFonts w:ascii="Courier New" w:hAnsi="Courier New"/>
                <w:b w:val="0"/>
                <w:i w:val="0"/>
                <w:color w:val="000000"/>
                <w:sz w:val="20"/>
              </w:rPr>
              <w:t xml:space="preserve">  "content": "DOCUMENTS: ...\nLEARNED QA: ..."</w:t>
            </w:r>
          </w:p>
          <w:p>
            <w:pPr>
              <w:spacing w:after="0" w:line="300" w:lineRule="auto"/>
            </w:pPr>
            <w:r>
              <w:rPr>
                <w:rFonts w:ascii="Courier New" w:hAnsi="Courier New"/>
                <w:b w:val="0"/>
                <w:i w:val="0"/>
                <w:color w:val="000000"/>
                <w:sz w:val="20"/>
              </w:rPr>
              <w:t>}</w:t>
            </w:r>
          </w:p>
        </w:tc>
      </w:tr>
    </w:tbl>
    <w:p>
      <w:pPr>
        <w:spacing w:after="0"/>
      </w:pPr>
    </w:p>
    <w:p>
      <w:pPr>
        <w:spacing w:after="120" w:line="240" w:lineRule="auto"/>
        <w:jc w:val="both"/>
      </w:pPr>
      <w:r>
        <w:rPr>
          <w:rFonts w:ascii="Times New Roman" w:hAnsi="Times New Roman"/>
          <w:b w:val="0"/>
          <w:i w:val="0"/>
          <w:color w:val="000000"/>
          <w:sz w:val="22"/>
        </w:rPr>
        <w:t>The orchestrator parses the argument string, rejects unknown fields, checks that retrieval is allowed in the current phase, injects the authenticated tenant and configured depth limits, executes the registered function, bounds the returned text, and appends a tool message with the same `call_7f2` identifier. The next model invocation can now reason over the result. If validation fails, the application still appends a paired rejection record; it never silently executes a guessed correction.</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Airport baggage handling</w:t>
            </w:r>
          </w:p>
          <w:p>
            <w:pPr>
              <w:spacing w:line="276" w:lineRule="auto"/>
              <w:jc w:val="both"/>
            </w:pPr>
            <w:r>
              <w:rPr>
                <w:rFonts w:ascii="Times New Roman" w:hAnsi="Times New Roman"/>
                <w:b w:val="0"/>
                <w:i w:val="0"/>
                <w:color w:val="000000"/>
                <w:sz w:val="22"/>
              </w:rPr>
              <w:t>A baggage tag does not move a suitcase by itself. It provides a checked identifier that every conveyor and handler uses until the bag reaches the correct flight. A tool-call ID plays the same accounting role across model request, execution, and returned result.</w:t>
            </w:r>
          </w:p>
        </w:tc>
      </w:tr>
    </w:tbl>
    <w:p>
      <w:pPr>
        <w:spacing w:after="0"/>
      </w:pPr>
    </w:p>
    <w:p>
      <w:pPr>
        <w:pStyle w:val="Heading1"/>
      </w:pPr>
      <w:r>
        <w:t>17.3 Hiding server-side parameters with context injection</w:t>
      </w:r>
    </w:p>
    <w:p>
      <w:pPr>
        <w:spacing w:after="120" w:line="240" w:lineRule="auto"/>
        <w:jc w:val="both"/>
      </w:pPr>
      <w:r>
        <w:rPr>
          <w:rFonts w:ascii="Times New Roman" w:hAnsi="Times New Roman"/>
          <w:b w:val="0"/>
          <w:i w:val="0"/>
          <w:color w:val="000000"/>
          <w:sz w:val="22"/>
        </w:rPr>
        <w:t>A tool often needs more information than the model should control. Retrieval requires a retriever instance, configured collection handles, score thresholds, and result limits. These are server-side context. Bind them when the tool is created or inject them through the orchestrator; do not publish them as model-editable arguments.</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make_retrieve_tool(retriever, *, top_k, top_l):</w:t>
            </w:r>
          </w:p>
          <w:p>
            <w:pPr>
              <w:spacing w:after="0" w:line="300" w:lineRule="auto"/>
            </w:pPr>
            <w:r>
              <w:rPr>
                <w:rFonts w:ascii="Courier New" w:hAnsi="Courier New"/>
                <w:b w:val="0"/>
                <w:i w:val="0"/>
                <w:color w:val="000000"/>
                <w:sz w:val="20"/>
              </w:rPr>
              <w:t xml:space="preserve">    # retriever and depth limits are trusted server context</w:t>
            </w:r>
          </w:p>
          <w:p>
            <w:pPr>
              <w:spacing w:after="0" w:line="300" w:lineRule="auto"/>
            </w:pPr>
            <w:r>
              <w:rPr>
                <w:rFonts w:ascii="Courier New" w:hAnsi="Courier New"/>
                <w:b w:val="0"/>
                <w:i w:val="0"/>
                <w:color w:val="000000"/>
                <w:sz w:val="20"/>
              </w:rPr>
              <w:t xml:space="preserve">    def retrieve_documents(query: str) -&gt; str:</w:t>
            </w:r>
          </w:p>
          <w:p>
            <w:pPr>
              <w:spacing w:after="0" w:line="300" w:lineRule="auto"/>
            </w:pPr>
            <w:r>
              <w:rPr>
                <w:rFonts w:ascii="Courier New" w:hAnsi="Courier New"/>
                <w:b w:val="0"/>
                <w:i w:val="0"/>
                <w:color w:val="000000"/>
                <w:sz w:val="20"/>
              </w:rPr>
              <w:t xml:space="preserve">        safe_query = validate_query(query)</w:t>
            </w:r>
          </w:p>
          <w:p>
            <w:pPr>
              <w:spacing w:after="0" w:line="300" w:lineRule="auto"/>
            </w:pPr>
            <w:r>
              <w:rPr>
                <w:rFonts w:ascii="Courier New" w:hAnsi="Courier New"/>
                <w:b w:val="0"/>
                <w:i w:val="0"/>
                <w:color w:val="000000"/>
                <w:sz w:val="20"/>
              </w:rPr>
              <w:t xml:space="preserve">        result = retriever.retrieve_separate(</w:t>
            </w:r>
          </w:p>
          <w:p>
            <w:pPr>
              <w:spacing w:after="0" w:line="300" w:lineRule="auto"/>
            </w:pPr>
            <w:r>
              <w:rPr>
                <w:rFonts w:ascii="Courier New" w:hAnsi="Courier New"/>
                <w:b w:val="0"/>
                <w:i w:val="0"/>
                <w:color w:val="000000"/>
                <w:sz w:val="20"/>
              </w:rPr>
              <w:t xml:space="preserve">            safe_query, top_k=top_k, top_l=top_l</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return serialize_bounded_result(result)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return retrieve_documents</w:t>
            </w:r>
          </w:p>
        </w:tc>
      </w:tr>
    </w:tbl>
    <w:p>
      <w:pPr>
        <w:spacing w:after="0"/>
      </w:pPr>
    </w:p>
    <w:p>
      <w:pPr>
        <w:spacing w:after="120" w:line="240" w:lineRule="auto"/>
        <w:jc w:val="both"/>
      </w:pPr>
      <w:r>
        <w:rPr>
          <w:rFonts w:ascii="Times New Roman" w:hAnsi="Times New Roman"/>
          <w:b w:val="0"/>
          <w:i w:val="0"/>
          <w:color w:val="000000"/>
          <w:sz w:val="22"/>
        </w:rPr>
        <w:t>Memora originally exposed retrieval depth to the LLM. Dry runs showed inconsistent values—sometimes too small for coverage, sometimes large enough to inflate context dramatically. The project removed `top_k` from the schema and introduced separate `RETRIEVAL_TOP_K` and `RETRIEVAL_TOP_L` configuration values for documents and learned Q&amp;A. The model still chooses the semantic query, while operations owns capacity.</w:t>
      </w:r>
    </w:p>
    <w:p>
      <w:pPr>
        <w:pStyle w:val="ListBullet"/>
        <w:spacing w:after="80"/>
        <w:ind w:left="720" w:hanging="360"/>
      </w:pPr>
      <w:r>
        <w:rPr>
          <w:rFonts w:ascii="Times New Roman" w:hAnsi="Times New Roman"/>
          <w:b w:val="0"/>
          <w:i w:val="0"/>
          <w:color w:val="000000"/>
          <w:sz w:val="22"/>
        </w:rPr>
        <w:t>Inject database clients, credentials, and file-system roots outside the schema.</w:t>
      </w:r>
    </w:p>
    <w:p>
      <w:pPr>
        <w:pStyle w:val="ListBullet"/>
        <w:spacing w:after="80"/>
        <w:ind w:left="720" w:hanging="360"/>
      </w:pPr>
      <w:r>
        <w:rPr>
          <w:rFonts w:ascii="Times New Roman" w:hAnsi="Times New Roman"/>
          <w:b w:val="0"/>
          <w:i w:val="0"/>
          <w:color w:val="000000"/>
          <w:sz w:val="22"/>
        </w:rPr>
        <w:t>Resolve user identity and permissions from the authenticated request, never from a model argument.</w:t>
      </w:r>
    </w:p>
    <w:p>
      <w:pPr>
        <w:pStyle w:val="ListBullet"/>
        <w:spacing w:after="80"/>
        <w:ind w:left="720" w:hanging="360"/>
      </w:pPr>
      <w:r>
        <w:rPr>
          <w:rFonts w:ascii="Times New Roman" w:hAnsi="Times New Roman"/>
          <w:b w:val="0"/>
          <w:i w:val="0"/>
          <w:color w:val="000000"/>
          <w:sz w:val="22"/>
        </w:rPr>
        <w:t>Keep timeout, retry, and result-size limits in configuration.</w:t>
      </w:r>
    </w:p>
    <w:p>
      <w:pPr>
        <w:pStyle w:val="ListBullet"/>
        <w:spacing w:after="80"/>
        <w:ind w:left="720" w:hanging="360"/>
      </w:pPr>
      <w:r>
        <w:rPr>
          <w:rFonts w:ascii="Times New Roman" w:hAnsi="Times New Roman"/>
          <w:b w:val="0"/>
          <w:i w:val="0"/>
          <w:color w:val="000000"/>
          <w:sz w:val="22"/>
        </w:rPr>
        <w:t>Pass only serializable, bounded results back into model context.</w:t>
      </w:r>
    </w:p>
    <w:p>
      <w:pPr>
        <w:pStyle w:val="Heading1"/>
      </w:pPr>
      <w:r>
        <w:t>17.4 Why exposing context can cause `tool_use_failed` errors</w:t>
      </w:r>
    </w:p>
    <w:p>
      <w:pPr>
        <w:spacing w:after="120" w:line="240" w:lineRule="auto"/>
        <w:jc w:val="both"/>
      </w:pPr>
      <w:r>
        <w:rPr>
          <w:rFonts w:ascii="Times New Roman" w:hAnsi="Times New Roman"/>
          <w:b w:val="0"/>
          <w:i w:val="0"/>
          <w:color w:val="000000"/>
          <w:sz w:val="22"/>
        </w:rPr>
        <w:t>Providers validate tool requests against the declared schema and their own protocol rules. When a schema exposes complex objects, optional internal fields, or contradictory instructions, the model is more likely to produce a call the provider rejects. Groq surfaced such failures as HTTP 400 `tool_use_failed`; local TGI testing also returned `function.arguments` as a dictionary even though the OpenAI-compatible protocol expected a JSON-encoded string.</w:t>
      </w:r>
    </w:p>
    <w:p>
      <w:pPr>
        <w:spacing w:after="120" w:line="240" w:lineRule="auto"/>
        <w:jc w:val="both"/>
      </w:pPr>
      <w:r>
        <w:rPr>
          <w:rFonts w:ascii="Times New Roman" w:hAnsi="Times New Roman"/>
          <w:b w:val="0"/>
          <w:i w:val="0"/>
          <w:color w:val="000000"/>
          <w:sz w:val="22"/>
        </w:rPr>
        <w:t>The robust response is layered. First, simplify the schema. Second, normalize provider responses before framework parsing where necessary. Third, classify errors so transient provider failures can retry while genuine bad requests fail quickly. Fourth, keep a graceful path that preserves the run’s prior evidence rather than discarding the entire interaction.</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normalize_arguments(raw):</w:t>
            </w:r>
          </w:p>
          <w:p>
            <w:pPr>
              <w:spacing w:after="0" w:line="300" w:lineRule="auto"/>
            </w:pPr>
            <w:r>
              <w:rPr>
                <w:rFonts w:ascii="Courier New" w:hAnsi="Courier New"/>
                <w:b w:val="0"/>
                <w:i w:val="0"/>
                <w:color w:val="000000"/>
                <w:sz w:val="20"/>
              </w:rPr>
              <w:t xml:space="preserve">    if isinstance(raw, dict):</w:t>
            </w:r>
          </w:p>
          <w:p>
            <w:pPr>
              <w:spacing w:after="0" w:line="300" w:lineRule="auto"/>
            </w:pPr>
            <w:r>
              <w:rPr>
                <w:rFonts w:ascii="Courier New" w:hAnsi="Courier New"/>
                <w:b w:val="0"/>
                <w:i w:val="0"/>
                <w:color w:val="000000"/>
                <w:sz w:val="20"/>
              </w:rPr>
              <w:t xml:space="preserve">        return raw</w:t>
            </w:r>
          </w:p>
          <w:p>
            <w:pPr>
              <w:spacing w:after="0" w:line="300" w:lineRule="auto"/>
            </w:pPr>
            <w:r>
              <w:rPr>
                <w:rFonts w:ascii="Courier New" w:hAnsi="Courier New"/>
                <w:b w:val="0"/>
                <w:i w:val="0"/>
                <w:color w:val="000000"/>
                <w:sz w:val="20"/>
              </w:rPr>
              <w:t xml:space="preserve">    if isinstance(raw, str):</w:t>
            </w:r>
          </w:p>
          <w:p>
            <w:pPr>
              <w:spacing w:after="0" w:line="300" w:lineRule="auto"/>
            </w:pPr>
            <w:r>
              <w:rPr>
                <w:rFonts w:ascii="Courier New" w:hAnsi="Courier New"/>
                <w:b w:val="0"/>
                <w:i w:val="0"/>
                <w:color w:val="000000"/>
                <w:sz w:val="20"/>
              </w:rPr>
              <w:t xml:space="preserve">        return json.loads(raw)</w:t>
            </w:r>
          </w:p>
          <w:p>
            <w:pPr>
              <w:spacing w:after="0" w:line="300" w:lineRule="auto"/>
            </w:pPr>
            <w:r>
              <w:rPr>
                <w:rFonts w:ascii="Courier New" w:hAnsi="Courier New"/>
                <w:b w:val="0"/>
                <w:i w:val="0"/>
                <w:color w:val="000000"/>
                <w:sz w:val="20"/>
              </w:rPr>
              <w:t xml:space="preserve">    raise ToolProtocolError("arguments must be object or JSON string")</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Retrying every bad request</w:t>
            </w:r>
          </w:p>
          <w:p>
            <w:pPr>
              <w:spacing w:line="276" w:lineRule="auto"/>
              <w:jc w:val="both"/>
            </w:pPr>
            <w:r>
              <w:rPr>
                <w:rFonts w:ascii="Times New Roman" w:hAnsi="Times New Roman"/>
                <w:b w:val="0"/>
                <w:i w:val="0"/>
                <w:color w:val="000000"/>
                <w:sz w:val="22"/>
              </w:rPr>
              <w:t>A malformed schema or forbidden argument will not improve after exponential backoff. Retry connection, timeout, rate-limit, and selected server failures. Fail fast—or ask the model for a corrected call—when validation proves the request itself is invalid.</w:t>
            </w:r>
          </w:p>
        </w:tc>
      </w:tr>
    </w:tbl>
    <w:p>
      <w:pPr>
        <w:spacing w:after="0"/>
      </w:pPr>
    </w:p>
    <w:p>
      <w:pPr>
        <w:pStyle w:val="Heading1"/>
      </w:pPr>
      <w:r>
        <w:t>17.5 Building `tools.py`: retrieval and quality checking</w:t>
      </w:r>
    </w:p>
    <w:p>
      <w:pPr>
        <w:spacing w:after="120" w:line="240" w:lineRule="auto"/>
        <w:jc w:val="both"/>
      </w:pPr>
      <w:r>
        <w:rPr>
          <w:rFonts w:ascii="Times New Roman" w:hAnsi="Times New Roman"/>
          <w:b w:val="0"/>
          <w:i w:val="0"/>
          <w:color w:val="000000"/>
          <w:sz w:val="22"/>
        </w:rPr>
        <w:t>Memora’s `tools.py` captures an important evolution. The agent-callable surface contains retrieval and context-compression operations. `retrieve_documents(query)` queries document and learned-QA collections separately, labels their outputs, and returns a bounded string. `compress_context()` consumes state accumulated by earlier retrievals. The quality judge exists in the same module family but is deliberately returned as a direct Python callable, not shown to the agent as a tool.</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7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Operation</w:t>
            </w:r>
          </w:p>
        </w:tc>
        <w:tc>
          <w:tcPr>
            <w:tcW w:type="dxa" w:w="295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Who invokes it</w:t>
            </w:r>
          </w:p>
        </w:tc>
        <w:tc>
          <w:tcPr>
            <w:tcW w:type="dxa" w:w="374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Reason</w:t>
            </w:r>
          </w:p>
        </w:tc>
      </w:tr>
      <w:tr>
        <w:tc>
          <w:tcPr>
            <w:tcW w:type="dxa" w:w="23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`retrieve_documents`</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through tool call</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Query wording benefits from semantic choice</w:t>
            </w:r>
          </w:p>
        </w:tc>
      </w:tr>
      <w:tr>
        <w:tc>
          <w:tcPr>
            <w:tcW w:type="dxa" w:w="237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`compress_context`</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in the earlier loop; later enforced by phase</w:t>
            </w:r>
          </w:p>
        </w:tc>
        <w:tc>
          <w:tcPr>
            <w:tcW w:type="dxa" w:w="37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Transforms accumulated evidence after retrieval</w:t>
            </w:r>
          </w:p>
        </w:tc>
      </w:tr>
      <w:tr>
        <w:tc>
          <w:tcPr>
            <w:tcW w:type="dxa" w:w="237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`check_answer_quality`</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Orchestrator directly</w:t>
            </w:r>
          </w:p>
        </w:tc>
        <w:tc>
          <w:tcPr>
            <w:tcW w:type="dxa" w:w="37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 mandatory gate should not depend on the model choosing to call it</w:t>
            </w:r>
          </w:p>
        </w:tc>
      </w:tr>
    </w:tbl>
    <w:p>
      <w:pPr>
        <w:spacing w:after="0"/>
      </w:pPr>
    </w:p>
    <w:p>
      <w:pPr>
        <w:spacing w:after="120" w:line="240" w:lineRule="auto"/>
        <w:jc w:val="both"/>
      </w:pPr>
      <w:r>
        <w:rPr>
          <w:rFonts w:ascii="Times New Roman" w:hAnsi="Times New Roman"/>
          <w:b w:val="0"/>
          <w:i w:val="0"/>
          <w:color w:val="000000"/>
          <w:sz w:val="22"/>
        </w:rPr>
        <w:t>This is a reusable design test: if skipping an operation would violate correctness, consider making it an orchestrator step rather than an optional model tool. Models are good at deciding what evidence to seek. They are less reliable as the sole guardians of rules that must always execute.</w:t>
      </w:r>
    </w:p>
    <w:p>
      <w:pPr>
        <w:pStyle w:val="Heading2"/>
      </w:pPr>
      <w:r>
        <w:t>17.5.1 Registry and dispatch architecture</w:t>
      </w:r>
    </w:p>
    <w:p>
      <w:pPr>
        <w:spacing w:after="120" w:line="240" w:lineRule="auto"/>
        <w:jc w:val="both"/>
      </w:pPr>
      <w:r>
        <w:rPr>
          <w:rFonts w:ascii="Times New Roman" w:hAnsi="Times New Roman"/>
          <w:b w:val="0"/>
          <w:i w:val="0"/>
          <w:color w:val="000000"/>
          <w:sz w:val="22"/>
        </w:rPr>
        <w:t>Keep the schema registry separate from the executable registry. The first is safe to serialize into a model request; the second contains trusted callables and private dependencies. At dispatch time, look up by exact name, validate with the schema associated with that name, apply phase and authorization policy, and then call the implementation. This prevents a model-produced string from becoming reflective access to arbitrary Python functions.</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PUBLIC_SCHEMAS = {</w:t>
            </w:r>
          </w:p>
          <w:p>
            <w:pPr>
              <w:spacing w:after="0" w:line="300" w:lineRule="auto"/>
            </w:pPr>
            <w:r>
              <w:rPr>
                <w:rFonts w:ascii="Courier New" w:hAnsi="Courier New"/>
                <w:b w:val="0"/>
                <w:i w:val="0"/>
                <w:color w:val="000000"/>
                <w:sz w:val="20"/>
              </w:rPr>
              <w:t xml:space="preserve">    "retrieve_documents": RetrieveArgs,</w:t>
            </w:r>
          </w:p>
          <w:p>
            <w:pPr>
              <w:spacing w:after="0" w:line="300" w:lineRule="auto"/>
            </w:pPr>
            <w:r>
              <w:rPr>
                <w:rFonts w:ascii="Courier New" w:hAnsi="Courier New"/>
                <w:b w:val="0"/>
                <w:i w:val="0"/>
                <w:color w:val="000000"/>
                <w:sz w:val="20"/>
              </w:rPr>
              <w:t xml:space="preserve">    "compress_context": CompressArgs,</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EXECUTORS = {</w:t>
            </w:r>
          </w:p>
          <w:p>
            <w:pPr>
              <w:spacing w:after="0" w:line="300" w:lineRule="auto"/>
            </w:pPr>
            <w:r>
              <w:rPr>
                <w:rFonts w:ascii="Courier New" w:hAnsi="Courier New"/>
                <w:b w:val="0"/>
                <w:i w:val="0"/>
                <w:color w:val="000000"/>
                <w:sz w:val="20"/>
              </w:rPr>
              <w:t xml:space="preserve">    "retrieve_documents": retrieve_with_private_context,</w:t>
            </w:r>
          </w:p>
          <w:p>
            <w:pPr>
              <w:spacing w:after="0" w:line="300" w:lineRule="auto"/>
            </w:pPr>
            <w:r>
              <w:rPr>
                <w:rFonts w:ascii="Courier New" w:hAnsi="Courier New"/>
                <w:b w:val="0"/>
                <w:i w:val="0"/>
                <w:color w:val="000000"/>
                <w:sz w:val="20"/>
              </w:rPr>
              <w:t xml:space="preserve">    "compress_context": compress_current_state,</w:t>
            </w:r>
          </w:p>
          <w:p>
            <w:pPr>
              <w:spacing w:after="0" w:line="300" w:lineRule="auto"/>
            </w:pPr>
            <w:r>
              <w:rPr>
                <w:rFonts w:ascii="Courier New" w:hAnsi="Courier New"/>
                <w:b w:val="0"/>
                <w:i w:val="0"/>
                <w:color w:val="000000"/>
                <w:sz w:val="20"/>
              </w:rPr>
              <w: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def dispatch(call, run):</w:t>
            </w:r>
          </w:p>
          <w:p>
            <w:pPr>
              <w:spacing w:after="0" w:line="300" w:lineRule="auto"/>
            </w:pPr>
            <w:r>
              <w:rPr>
                <w:rFonts w:ascii="Courier New" w:hAnsi="Courier New"/>
                <w:b w:val="0"/>
                <w:i w:val="0"/>
                <w:color w:val="000000"/>
                <w:sz w:val="20"/>
              </w:rPr>
              <w:t xml:space="preserve">    if call.name not in EXECUTORS:</w:t>
            </w:r>
          </w:p>
          <w:p>
            <w:pPr>
              <w:spacing w:after="0" w:line="300" w:lineRule="auto"/>
            </w:pPr>
            <w:r>
              <w:rPr>
                <w:rFonts w:ascii="Courier New" w:hAnsi="Courier New"/>
                <w:b w:val="0"/>
                <w:i w:val="0"/>
                <w:color w:val="000000"/>
                <w:sz w:val="20"/>
              </w:rPr>
              <w:t xml:space="preserve">        raise ToolRejected("unknown tool")</w:t>
            </w:r>
          </w:p>
          <w:p>
            <w:pPr>
              <w:spacing w:after="0" w:line="300" w:lineRule="auto"/>
            </w:pPr>
            <w:r>
              <w:rPr>
                <w:rFonts w:ascii="Courier New" w:hAnsi="Courier New"/>
                <w:b w:val="0"/>
                <w:i w:val="0"/>
                <w:color w:val="000000"/>
                <w:sz w:val="20"/>
              </w:rPr>
              <w:t xml:space="preserve">    enforce_phase(call.name, run.phase)</w:t>
            </w:r>
          </w:p>
          <w:p>
            <w:pPr>
              <w:spacing w:after="0" w:line="300" w:lineRule="auto"/>
            </w:pPr>
            <w:r>
              <w:rPr>
                <w:rFonts w:ascii="Courier New" w:hAnsi="Courier New"/>
                <w:b w:val="0"/>
                <w:i w:val="0"/>
                <w:color w:val="000000"/>
                <w:sz w:val="20"/>
              </w:rPr>
              <w:t xml:space="preserve">    args = PUBLIC_SCHEMAS[call.name].model_validate(call.arguments)</w:t>
            </w:r>
          </w:p>
          <w:p>
            <w:pPr>
              <w:spacing w:after="0" w:line="300" w:lineRule="auto"/>
            </w:pPr>
            <w:r>
              <w:rPr>
                <w:rFonts w:ascii="Courier New" w:hAnsi="Courier New"/>
                <w:b w:val="0"/>
                <w:i w:val="0"/>
                <w:color w:val="000000"/>
                <w:sz w:val="20"/>
              </w:rPr>
              <w:t xml:space="preserve">    return EXECUTORS[call.name](args, run=run)</w:t>
            </w:r>
          </w:p>
        </w:tc>
      </w:tr>
    </w:tbl>
    <w:p>
      <w:pPr>
        <w:spacing w:after="0"/>
      </w:pP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66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Failure</w:t>
            </w:r>
          </w:p>
        </w:tc>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Retry?</w:t>
            </w:r>
          </w:p>
        </w:tc>
        <w:tc>
          <w:tcPr>
            <w:tcW w:type="dxa" w:w="432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Orchestrator response</w:t>
            </w:r>
          </w:p>
        </w:tc>
      </w:tr>
      <w:tr>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Timeout or selected 5xx</w:t>
            </w:r>
          </w:p>
        </w:tc>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Usually, within budget</w:t>
            </w:r>
          </w:p>
        </w:tc>
        <w:tc>
          <w:tcPr>
            <w:tcW w:type="dxa" w:w="432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Back off, preserve trace, then retry</w:t>
            </w:r>
          </w:p>
        </w:tc>
      </w:tr>
      <w:tr>
        <w:tc>
          <w:tcPr>
            <w:tcW w:type="dxa" w:w="26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Provider 429</w:t>
            </w:r>
          </w:p>
        </w:tc>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After advertised delay</w:t>
            </w:r>
          </w:p>
        </w:tc>
        <w:tc>
          <w:tcPr>
            <w:tcW w:type="dxa" w:w="432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Respect shared rate gate and deadline</w:t>
            </w:r>
          </w:p>
        </w:tc>
      </w:tr>
      <w:tr>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Malformed JSON arguments</w:t>
            </w:r>
          </w:p>
        </w:tc>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Not blindly</w:t>
            </w:r>
          </w:p>
        </w:tc>
        <w:tc>
          <w:tcPr>
            <w:tcW w:type="dxa" w:w="432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Return a paired validation error or re-prompt</w:t>
            </w:r>
          </w:p>
        </w:tc>
      </w:tr>
      <w:tr>
        <w:tc>
          <w:tcPr>
            <w:tcW w:type="dxa" w:w="26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Unknown tool or forbidden phase</w:t>
            </w:r>
          </w:p>
        </w:tc>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w:t>
            </w:r>
          </w:p>
        </w:tc>
        <w:tc>
          <w:tcPr>
            <w:tcW w:type="dxa" w:w="432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 deterministically and record policy reason</w:t>
            </w:r>
          </w:p>
        </w:tc>
      </w:tr>
      <w:tr>
        <w:tc>
          <w:tcPr>
            <w:tcW w:type="dxa" w:w="26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Tool implementation exception</w:t>
            </w:r>
          </w:p>
        </w:tc>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Only if classified transient</w:t>
            </w:r>
          </w:p>
        </w:tc>
        <w:tc>
          <w:tcPr>
            <w:tcW w:type="dxa" w:w="432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Sanitize error; never leak stack secrets</w:t>
            </w:r>
          </w:p>
        </w:tc>
      </w:tr>
    </w:tbl>
    <w:p>
      <w:pPr>
        <w:spacing w:after="0"/>
      </w:pPr>
    </w:p>
    <w:p>
      <w:pPr>
        <w:pStyle w:val="Heading1"/>
      </w:pPr>
      <w:r>
        <w:t>17.6 Multi-tool calls in a single turn</w:t>
      </w:r>
    </w:p>
    <w:p>
      <w:pPr>
        <w:spacing w:after="120" w:line="240" w:lineRule="auto"/>
        <w:jc w:val="both"/>
      </w:pPr>
      <w:r>
        <w:rPr>
          <w:rFonts w:ascii="Times New Roman" w:hAnsi="Times New Roman"/>
          <w:b w:val="0"/>
          <w:i w:val="0"/>
          <w:color w:val="000000"/>
          <w:sz w:val="22"/>
        </w:rPr>
        <w:t>A model may request several tools in one assistant message—for example, two independent retrieval queries followed by compression. Each call has a unique identifier, and every executed or skipped call must receive a corresponding result message. The protocol is a ledger: request and result pairs must balance.</w:t>
      </w:r>
    </w:p>
    <w:p>
      <w:pPr>
        <w:spacing w:after="40"/>
        <w:jc w:val="center"/>
      </w:pPr>
      <w:r>
        <w:drawing>
          <wp:inline xmlns:a="http://schemas.openxmlformats.org/drawingml/2006/main" xmlns:pic="http://schemas.openxmlformats.org/drawingml/2006/picture">
            <wp:extent cx="4462272" cy="2528621"/>
            <wp:docPr id="2" name="Picture 2" descr="Figure 17.2 — Every requested call requires an explicitly paired result or skip record." title="Every requested call requires an explicitly paired result or skip record"/>
            <wp:cNvGraphicFramePr>
              <a:graphicFrameLocks noChangeAspect="1"/>
            </wp:cNvGraphicFramePr>
            <a:graphic>
              <a:graphicData uri="http://schemas.openxmlformats.org/drawingml/2006/picture">
                <pic:pic>
                  <pic:nvPicPr>
                    <pic:cNvPr id="0" name="chapter17_multicall.png"/>
                    <pic:cNvPicPr/>
                  </pic:nvPicPr>
                  <pic:blipFill>
                    <a:blip r:embed="rId12"/>
                    <a:stretch>
                      <a:fillRect/>
                    </a:stretch>
                  </pic:blipFill>
                  <pic:spPr>
                    <a:xfrm>
                      <a:off x="0" y="0"/>
                      <a:ext cx="4462272" cy="2528621"/>
                    </a:xfrm>
                    <a:prstGeom prst="rect"/>
                  </pic:spPr>
                </pic:pic>
              </a:graphicData>
            </a:graphic>
          </wp:inline>
        </w:drawing>
      </w:r>
    </w:p>
    <w:p>
      <w:pPr>
        <w:spacing w:after="160"/>
        <w:jc w:val="center"/>
      </w:pPr>
      <w:r>
        <w:rPr>
          <w:rFonts w:ascii="Times New Roman" w:hAnsi="Times New Roman"/>
          <w:b w:val="0"/>
          <w:i/>
          <w:color w:val="555555"/>
          <w:sz w:val="20"/>
        </w:rPr>
        <w:t>Figure 17.2 — Every requested call requires an explicitly paired result or skip record.</w:t>
      </w:r>
    </w:p>
    <w:p>
      <w:pPr>
        <w:spacing w:after="120" w:line="240" w:lineRule="auto"/>
        <w:jc w:val="both"/>
      </w:pPr>
      <w:r>
        <w:rPr>
          <w:rFonts w:ascii="Times New Roman" w:hAnsi="Times New Roman"/>
          <w:b w:val="0"/>
          <w:i w:val="0"/>
          <w:color w:val="000000"/>
          <w:sz w:val="22"/>
        </w:rPr>
        <w:t>Figure 17.2 makes the accounting rule visible: every call ID reaches one result record, including calls rejected by policy. This one-to-one pairing keeps provider protocols valid and lets an audit distinguish a skipped operation from a lost message.</w:t>
      </w:r>
    </w:p>
    <w:p>
      <w:pPr>
        <w:spacing w:after="120" w:line="240" w:lineRule="auto"/>
        <w:jc w:val="both"/>
      </w:pPr>
      <w:r>
        <w:rPr>
          <w:rFonts w:ascii="Times New Roman" w:hAnsi="Times New Roman"/>
          <w:b w:val="0"/>
          <w:i w:val="0"/>
          <w:color w:val="000000"/>
          <w:sz w:val="22"/>
        </w:rPr>
        <w:t>Parallel execution is safe only when calls are independent and their results can be merged deterministically. Two read-only retrievals may run concurrently. Compression cannot run before those retrievals have completed because it depends on their accumulated state. Preserve the model’s requested identifiers even if execution order changes, and sort or reduce results through explicit application logic.</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for call in assistant.tool_calls:</w:t>
            </w:r>
          </w:p>
          <w:p>
            <w:pPr>
              <w:spacing w:after="0" w:line="300" w:lineRule="auto"/>
            </w:pPr>
            <w:r>
              <w:rPr>
                <w:rFonts w:ascii="Courier New" w:hAnsi="Courier New"/>
                <w:b w:val="0"/>
                <w:i w:val="0"/>
                <w:color w:val="000000"/>
                <w:sz w:val="20"/>
              </w:rPr>
              <w:t xml:space="preserve">    try:</w:t>
            </w:r>
          </w:p>
          <w:p>
            <w:pPr>
              <w:spacing w:after="0" w:line="300" w:lineRule="auto"/>
            </w:pPr>
            <w:r>
              <w:rPr>
                <w:rFonts w:ascii="Courier New" w:hAnsi="Courier New"/>
                <w:b w:val="0"/>
                <w:i w:val="0"/>
                <w:color w:val="000000"/>
                <w:sz w:val="20"/>
              </w:rPr>
              <w:t xml:space="preserve">        args = validate(call.name, call.arguments)</w:t>
            </w:r>
          </w:p>
          <w:p>
            <w:pPr>
              <w:spacing w:after="0" w:line="300" w:lineRule="auto"/>
            </w:pPr>
            <w:r>
              <w:rPr>
                <w:rFonts w:ascii="Courier New" w:hAnsi="Courier New"/>
                <w:b w:val="0"/>
                <w:i w:val="0"/>
                <w:color w:val="000000"/>
                <w:sz w:val="20"/>
              </w:rPr>
              <w:t xml:space="preserve">        content = dispatch(call.name, args)</w:t>
            </w:r>
          </w:p>
          <w:p>
            <w:pPr>
              <w:spacing w:after="0" w:line="300" w:lineRule="auto"/>
            </w:pPr>
            <w:r>
              <w:rPr>
                <w:rFonts w:ascii="Courier New" w:hAnsi="Courier New"/>
                <w:b w:val="0"/>
                <w:i w:val="0"/>
                <w:color w:val="000000"/>
                <w:sz w:val="20"/>
              </w:rPr>
              <w:t xml:space="preserve">    except ToolRejected as exc:</w:t>
            </w:r>
          </w:p>
          <w:p>
            <w:pPr>
              <w:spacing w:after="0" w:line="300" w:lineRule="auto"/>
            </w:pPr>
            <w:r>
              <w:rPr>
                <w:rFonts w:ascii="Courier New" w:hAnsi="Courier New"/>
                <w:b w:val="0"/>
                <w:i w:val="0"/>
                <w:color w:val="000000"/>
                <w:sz w:val="20"/>
              </w:rPr>
              <w:t xml:space="preserve">        content = f"SKIPPED: {exc}"</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messages.append({</w:t>
            </w:r>
          </w:p>
          <w:p>
            <w:pPr>
              <w:spacing w:after="0" w:line="300" w:lineRule="auto"/>
            </w:pPr>
            <w:r>
              <w:rPr>
                <w:rFonts w:ascii="Courier New" w:hAnsi="Courier New"/>
                <w:b w:val="0"/>
                <w:i w:val="0"/>
                <w:color w:val="000000"/>
                <w:sz w:val="20"/>
              </w:rPr>
              <w:t xml:space="preserve">        "role": "tool",</w:t>
            </w:r>
          </w:p>
          <w:p>
            <w:pPr>
              <w:spacing w:after="0" w:line="300" w:lineRule="auto"/>
            </w:pPr>
            <w:r>
              <w:rPr>
                <w:rFonts w:ascii="Courier New" w:hAnsi="Courier New"/>
                <w:b w:val="0"/>
                <w:i w:val="0"/>
                <w:color w:val="000000"/>
                <w:sz w:val="20"/>
              </w:rPr>
              <w:t xml:space="preserve">        "tool_call_id": call.id,</w:t>
            </w:r>
          </w:p>
          <w:p>
            <w:pPr>
              <w:spacing w:after="0" w:line="300" w:lineRule="auto"/>
            </w:pPr>
            <w:r>
              <w:rPr>
                <w:rFonts w:ascii="Courier New" w:hAnsi="Courier New"/>
                <w:b w:val="0"/>
                <w:i w:val="0"/>
                <w:color w:val="000000"/>
                <w:sz w:val="20"/>
              </w:rPr>
              <w:t xml:space="preserve">        "content": content,</w:t>
            </w:r>
          </w:p>
          <w:p>
            <w:pPr>
              <w:spacing w:after="0" w:line="300" w:lineRule="auto"/>
            </w:pPr>
            <w:r>
              <w:rPr>
                <w:rFonts w:ascii="Courier New" w:hAnsi="Courier New"/>
                <w:b w:val="0"/>
                <w:i w:val="0"/>
                <w:color w:val="000000"/>
                <w:sz w:val="20"/>
              </w:rPr>
              <w:t xml:space="preserve">    })</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Deleting tool-result messages</w:t>
            </w:r>
          </w:p>
          <w:p>
            <w:pPr>
              <w:spacing w:line="276" w:lineRule="auto"/>
              <w:jc w:val="both"/>
            </w:pPr>
            <w:r>
              <w:rPr>
                <w:rFonts w:ascii="Times New Roman" w:hAnsi="Times New Roman"/>
                <w:b w:val="0"/>
                <w:i w:val="0"/>
                <w:color w:val="000000"/>
                <w:sz w:val="22"/>
              </w:rPr>
              <w:t>Memora learned to replace large raw retrieval contents with a short placeholder after compression, rather than deleting the messages. Deletion breaks the assistant-to-`tool_call_id` pairing required by chat APIs; content scrubbing preserves the protocol while reducing context.</w:t>
            </w:r>
          </w:p>
        </w:tc>
      </w:tr>
    </w:tbl>
    <w:p>
      <w:pPr>
        <w:spacing w:after="0"/>
      </w:pPr>
    </w:p>
    <w:p>
      <w:pPr>
        <w:pStyle w:val="Heading1"/>
      </w:pPr>
      <w:r>
        <w:t>17.7 Safety: validating and sandboxing tool inputs</w:t>
      </w:r>
    </w:p>
    <w:p>
      <w:pPr>
        <w:spacing w:after="120" w:line="240" w:lineRule="auto"/>
        <w:jc w:val="both"/>
      </w:pPr>
      <w:r>
        <w:rPr>
          <w:rFonts w:ascii="Times New Roman" w:hAnsi="Times New Roman"/>
          <w:b w:val="0"/>
          <w:i w:val="0"/>
          <w:color w:val="000000"/>
          <w:sz w:val="22"/>
        </w:rPr>
        <w:t>Tool safety begins before the function runs and continues after it returns. Validate the name against an allow-list, parse arguments with a typed schema, normalize strings, enforce authorization, restrict paths and network destinations, limit result size, apply timeouts, and remove secrets from logs. A tool should expose one bounded capability—not a general-purpose escape hatch.</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58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Boundary</w:t>
            </w:r>
          </w:p>
        </w:tc>
        <w:tc>
          <w:tcPr>
            <w:tcW w:type="dxa" w:w="367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Control</w:t>
            </w:r>
          </w:p>
        </w:tc>
        <w:tc>
          <w:tcPr>
            <w:tcW w:type="dxa" w:w="381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Example</w:t>
            </w:r>
          </w:p>
        </w:tc>
      </w:tr>
      <w:tr>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Selection</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Allow-list tool names by phase</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Retrieval phase cannot invoke deployment tools</w:t>
            </w:r>
          </w:p>
        </w:tc>
      </w:tr>
      <w:tr>
        <w:tc>
          <w:tcPr>
            <w:tcW w:type="dxa" w:w="15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Shape</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Typed schema and unknown-field rejection</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Only a non-empty `query` string is accepted</w:t>
            </w:r>
          </w:p>
        </w:tc>
      </w:tr>
      <w:tr>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Authority</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Derive permissions from request context</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cannot claim a different user ID</w:t>
            </w:r>
          </w:p>
        </w:tc>
      </w:tr>
      <w:tr>
        <w:tc>
          <w:tcPr>
            <w:tcW w:type="dxa" w:w="15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Resources</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Timeout, rate, and result-size limits</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Return top bounded chunks, not an entire collection</w:t>
            </w:r>
          </w:p>
        </w:tc>
      </w:tr>
      <w:tr>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Data</w:t>
            </w:r>
          </w:p>
        </w:tc>
        <w:tc>
          <w:tcPr>
            <w:tcW w:type="dxa" w:w="367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Path and destination allow-lists</w:t>
            </w:r>
          </w:p>
        </w:tc>
        <w:tc>
          <w:tcPr>
            <w:tcW w:type="dxa" w:w="381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Reject traversal outside an approved corpus root</w:t>
            </w:r>
          </w:p>
        </w:tc>
      </w:tr>
      <w:tr>
        <w:tc>
          <w:tcPr>
            <w:tcW w:type="dxa" w:w="15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Output</w:t>
            </w:r>
          </w:p>
        </w:tc>
        <w:tc>
          <w:tcPr>
            <w:tcW w:type="dxa" w:w="367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Sanitize and label untrusted content</w:t>
            </w:r>
          </w:p>
        </w:tc>
        <w:tc>
          <w:tcPr>
            <w:tcW w:type="dxa" w:w="381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Documents remain evidence, never system instructions</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A capability key</w:t>
            </w:r>
          </w:p>
          <w:p>
            <w:pPr>
              <w:spacing w:line="276" w:lineRule="auto"/>
              <w:jc w:val="both"/>
            </w:pPr>
            <w:r>
              <w:rPr>
                <w:rFonts w:ascii="Times New Roman" w:hAnsi="Times New Roman"/>
                <w:b w:val="0"/>
                <w:i w:val="0"/>
                <w:color w:val="000000"/>
                <w:sz w:val="22"/>
              </w:rPr>
              <w:t>A safe tool is like a key cut for one door. It may open the approved retrieval operation, but it cannot unlock the operating system, database administration, or arbitrary network access. The narrower the key, the easier it is to reason about misuse.</w:t>
            </w:r>
          </w:p>
        </w:tc>
      </w:tr>
    </w:tbl>
    <w:p>
      <w:pPr>
        <w:spacing w:after="0"/>
      </w:pPr>
    </w:p>
    <w:p>
      <w:pPr>
        <w:pStyle w:val="Heading2"/>
      </w:pPr>
      <w:r>
        <w:t>17.7.1 Testing the boundary adversarially</w:t>
      </w:r>
    </w:p>
    <w:p>
      <w:pPr>
        <w:spacing w:after="120" w:line="240" w:lineRule="auto"/>
        <w:jc w:val="both"/>
      </w:pPr>
      <w:r>
        <w:rPr>
          <w:rFonts w:ascii="Times New Roman" w:hAnsi="Times New Roman"/>
          <w:b w:val="0"/>
          <w:i w:val="0"/>
          <w:color w:val="000000"/>
          <w:sz w:val="22"/>
        </w:rPr>
        <w:t>A happy-path unit test proves only that valid input works. Boundary tests should also submit an extra property, an empty query, an oversized query, an unknown tool name, a valid tool in the wrong phase, a mismatched call ID, and a result large enough to exceed the context budget. Add a document whose text asks the agent to call another tool or reveal credentials. The expected outcome is not that the model always ignores the attack; it is that deterministic policy makes the prohibited transition impossible.</w:t>
      </w:r>
    </w:p>
    <w:p>
      <w:pPr>
        <w:spacing w:after="120" w:line="240" w:lineRule="auto"/>
        <w:jc w:val="both"/>
      </w:pPr>
      <w:r>
        <w:rPr>
          <w:rFonts w:ascii="Times New Roman" w:hAnsi="Times New Roman"/>
          <w:b w:val="0"/>
          <w:i w:val="0"/>
          <w:color w:val="000000"/>
          <w:sz w:val="22"/>
        </w:rPr>
        <w:t>Then test observability. Each attempt should record the run ID, call ID, selected tool, validation outcome, duration, bounded result size, and a sanitized error category. Do not log credentials, full private documents, or unrestricted arguments merely because debugging is convenient. A production tool layer is successful when operators can reconstruct what happened without creating a second sensitive-data store in the logs.</w:t>
      </w:r>
    </w:p>
    <w:p>
      <w:pPr>
        <w:pStyle w:val="Heading2"/>
      </w:pPr>
      <w:r>
        <w:t>17.7.2 A practical tool acceptance checklist</w:t>
      </w:r>
    </w:p>
    <w:p>
      <w:pPr>
        <w:spacing w:after="120" w:line="240" w:lineRule="auto"/>
        <w:jc w:val="both"/>
      </w:pPr>
      <w:r>
        <w:rPr>
          <w:rFonts w:ascii="Times New Roman" w:hAnsi="Times New Roman"/>
          <w:b w:val="0"/>
          <w:i w:val="0"/>
          <w:color w:val="000000"/>
          <w:sz w:val="22"/>
        </w:rPr>
        <w:t>Before registering a tool, verify that its purpose can be stated as one bounded verb, its public arguments contain no server secrets or policy knobs, and its result has a documented size limit. Confirm that authorization uses authenticated context rather than model claims, that timeouts and retries have a shared run budget, and that errors are safe to show to the model. Finally, prove there is a test for an unknown field, forbidden phase, unauthorized identity, oversized result, and implementation failure.</w:t>
      </w:r>
    </w:p>
    <w:p>
      <w:pPr>
        <w:spacing w:after="120" w:line="240" w:lineRule="auto"/>
        <w:jc w:val="both"/>
      </w:pPr>
      <w:r>
        <w:rPr>
          <w:rFonts w:ascii="Times New Roman" w:hAnsi="Times New Roman"/>
          <w:b w:val="0"/>
          <w:i w:val="0"/>
          <w:color w:val="000000"/>
          <w:sz w:val="22"/>
        </w:rPr>
        <w:t>This checklist often reveals that one proposed tool is really several capabilities. A `manage_documents` function that can search, upload, delete, and export should become separate operations with separate permissions. Narrow tools produce clearer schemas, smaller blast radii, and more useful audit records. They also make the agent’s behavior easier to evaluate because each call expresses a specific intent.</w:t>
      </w:r>
    </w:p>
    <w:p>
      <w:pPr>
        <w:spacing w:after="120" w:line="240" w:lineRule="auto"/>
        <w:jc w:val="both"/>
      </w:pPr>
      <w:r>
        <w:rPr>
          <w:rFonts w:ascii="Times New Roman" w:hAnsi="Times New Roman"/>
          <w:b w:val="0"/>
          <w:i w:val="0"/>
          <w:color w:val="000000"/>
          <w:sz w:val="22"/>
        </w:rPr>
        <w:t>Chapter 18 will connect these pieces to the model invocation itself. We will bind schemas with `llm.invoke(tools=…)`, inspect returned calls, dispatch them through the registry, append correctly paired results, and observe how tool messages change the next model turn.</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Tool Use and Function Calling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 Tool Use and Function Calling</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