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0D0D0D"/>
          <w:sz w:val="36"/>
          <w:szCs w:val="36"/>
        </w:rPr>
        <w:t xml:space="preserve">CarbonSync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™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30"/>
          <w:szCs w:val="30"/>
        </w:rPr>
        <w:t xml:space="preserve">   Sentinel Rig Integration Brief</w:t>
      </w:r>
    </w:p>
    <w:p>
      <w:pPr>
        <w:pBdr>
          <w:bottom w:val="single" w:color="0D0D0D" w:sz="6" w:space="8"/>
        </w:pBd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8"/>
          <w:szCs w:val="18"/>
        </w:rPr>
        <w:t xml:space="preserve">Daxem Labs   ·   Confidential   ·   February 2026   ·   Patent Filed GB2602946.2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20"/>
          <w:szCs w:val="120"/>
        </w:rPr>
        <w:t xml:space="preserve"/>
      </w:r>
    </w:p>
    <w:p>
      <w:pPr>
        <w:pBdr>
          <w:bottom w:val="single" w:color="1A1A1A" w:sz="6" w:space="5"/>
        </w:pBdr>
        <w:spacing w:before="420" w:after="180"/>
      </w:pPr>
      <w:r>
        <w:rPr>
          <w:rFonts w:ascii="Arial" w:cs="Arial" w:eastAsia="Arial" w:hAnsi="Arial"/>
          <w:b/>
          <w:bCs/>
          <w:color w:val="1A1A1A"/>
          <w:spacing w:val="60"/>
          <w:sz w:val="19"/>
          <w:szCs w:val="19"/>
        </w:rPr>
        <w:t xml:space="preserve">WHAT YOU'RE BUILDING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80"/>
          <w:szCs w:val="80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The Sentinel Rig sits on each HGV and does three things:</w:t>
      </w:r>
    </w:p>
    <w:p>
      <w:pPr>
        <w:spacing w:before="60" w:after="100"/>
        <w:ind w:left="44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1"/>
          <w:szCs w:val="21"/>
        </w:rPr>
        <w:t xml:space="preserve">—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Measure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fuel consumption directly from the fuel line using a flow sensor.</w:t>
      </w:r>
    </w:p>
    <w:p>
      <w:pPr>
        <w:spacing w:before="60" w:after="100"/>
        <w:ind w:left="44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1"/>
          <w:szCs w:val="21"/>
        </w:rPr>
        <w:t xml:space="preserve">—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Read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engine data from the OBD-II port — RPM, speed, and engine load.</w:t>
      </w:r>
    </w:p>
    <w:p>
      <w:pPr>
        <w:spacing w:before="60" w:after="100"/>
        <w:ind w:left="44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1"/>
          <w:szCs w:val="21"/>
        </w:rPr>
        <w:t xml:space="preserve">—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Transmit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a signed JSON packet to our backend every 30 seconds via MQTT over 4G.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80"/>
          <w:szCs w:val="80"/>
        </w:rPr>
        <w:t xml:space="preserve"/>
      </w:r>
    </w:p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That packet is the only input the platform needs. Everything else — the CO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 calculation, the carbon credit, the blockchain token — is handled automatically.</w:t>
      </w:r>
    </w:p>
    <w:p>
      <w:pPr>
        <w:pBdr>
          <w:bottom w:val="single" w:color="1A1A1A" w:sz="6" w:space="5"/>
        </w:pBdr>
        <w:spacing w:before="420" w:after="180"/>
      </w:pPr>
      <w:r>
        <w:rPr>
          <w:rFonts w:ascii="Arial" w:cs="Arial" w:eastAsia="Arial" w:hAnsi="Arial"/>
          <w:b/>
          <w:bCs/>
          <w:color w:val="1A1A1A"/>
          <w:spacing w:val="60"/>
          <w:sz w:val="19"/>
          <w:szCs w:val="19"/>
        </w:rPr>
        <w:t xml:space="preserve">HOW THE DATA FLOWS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00"/>
          <w:szCs w:val="100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8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Step 1  —  Rig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Flow sensor reads fuel pulse. OBD-II reads RPM, speed, engine load. GPS provides the clock timestamp.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Step 2  —  Sign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The ATECC608A secure element computes a SHA-256 HMAC of the full packet using its hardware-protected private key — a key that never leaves the chip and cannot be extracted by software. This is what makes the credits auditable: every credit traces back to a physical sensor reading with a hardware-signed hash no compromised firmware can replicate.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Step 3  —  Transmit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Packet sent via MQTT over 4G (Quectel BG96) to our broker, which relays it to the backend via WebSocket.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Step 4  —  Platform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Backend validates, runs the CO₂ calculation, mints the credit. Frontend updates in real time. Nothing needed from you here.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60"/>
          <w:szCs w:val="160"/>
        </w:rPr>
        <w:t xml:space="preserve"/>
      </w:r>
    </w:p>
    <w:p>
      <w:pPr>
        <w:pBdr>
          <w:bottom w:val="single" w:color="1A1A1A" w:sz="6" w:space="5"/>
        </w:pBdr>
        <w:spacing w:before="420" w:after="180"/>
      </w:pPr>
      <w:r>
        <w:rPr>
          <w:rFonts w:ascii="Arial" w:cs="Arial" w:eastAsia="Arial" w:hAnsi="Arial"/>
          <w:b/>
          <w:bCs/>
          <w:color w:val="1A1A1A"/>
          <w:spacing w:val="60"/>
          <w:sz w:val="19"/>
          <w:szCs w:val="19"/>
        </w:rPr>
        <w:t xml:space="preserve">THE PACKET — WHAT TO TRANSMIT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00"/>
          <w:szCs w:val="100"/>
        </w:rPr>
        <w:t xml:space="preserve"/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Every packet must be valid JSON. Fields marked * are required — missing any of these will cause the packet to be rejected.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5686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6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rigId  *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string</w:t>
            </w:r>
          </w:p>
        </w:tc>
        <w:tc>
          <w:tcPr>
            <w:tcW w:type="dxa" w:w="56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Unique rig ID — assigned at provisioning   e.g. SENT-001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vehicleId  *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string</w:t>
            </w:r>
          </w:p>
        </w:tc>
        <w:tc>
          <w:tcPr>
            <w:tcW w:type="dxa" w:w="56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Vehicle reg mapped in fleet config   e.g. PK001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timestamp  *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number</w:t>
            </w:r>
          </w:p>
        </w:tc>
        <w:tc>
          <w:tcPr>
            <w:tcW w:type="dxa" w:w="56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Unix milliseconds — use GPS clock, NOT device clock (drifts)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fuelPulse_L  *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float</w:t>
            </w:r>
          </w:p>
        </w:tc>
        <w:tc>
          <w:tcPr>
            <w:tcW w:type="dxa" w:w="56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Litres consumed since last packet — from flow sensor. This is the critical field.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hash  *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string</w:t>
            </w:r>
          </w:p>
        </w:tc>
        <w:tc>
          <w:tcPr>
            <w:tcW w:type="dxa" w:w="56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SHA-256 of this packet, signed at source   Format: sha256:abc123...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obdRpm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integer</w:t>
            </w:r>
          </w:p>
        </w:tc>
        <w:tc>
          <w:tcPr>
            <w:tcW w:type="dxa" w:w="56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Engine RPM — OBD-II PID 0x0C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obdSpeed_kmh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integer</w:t>
            </w:r>
          </w:p>
        </w:tc>
        <w:tc>
          <w:tcPr>
            <w:tcW w:type="dxa" w:w="56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Vehicle speed — OBD-II PID 0x0D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obdEngineLoad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float</w:t>
            </w:r>
          </w:p>
        </w:tc>
        <w:tc>
          <w:tcPr>
            <w:tcW w:type="dxa" w:w="56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Engine load 0.0–1.0 — OBD-II PID 0x04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gpsLat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float</w:t>
            </w:r>
          </w:p>
        </w:tc>
        <w:tc>
          <w:tcPr>
            <w:tcW w:type="dxa" w:w="56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Latitude — WGS84 decimal degrees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gpsLng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float</w:t>
            </w:r>
          </w:p>
        </w:tc>
        <w:tc>
          <w:tcPr>
            <w:tcW w:type="dxa" w:w="56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Longitude — WGS84 decimal degrees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gpsAccuracy_m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float</w:t>
            </w:r>
          </w:p>
        </w:tc>
        <w:tc>
          <w:tcPr>
            <w:tcW w:type="dxa" w:w="56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GPS fix accuracy in metres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signalStrength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integer</w:t>
            </w:r>
          </w:p>
        </w:tc>
        <w:tc>
          <w:tcPr>
            <w:tcW w:type="dxa" w:w="56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4G RSSI in dBm — Quectel BG96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sdCardHash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string</w:t>
            </w:r>
          </w:p>
        </w:tc>
        <w:tc>
          <w:tcPr>
            <w:tcW w:type="dxa" w:w="56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SHA-256 of the local SD card log entry for this reading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firmwareVersion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string</w:t>
            </w:r>
          </w:p>
        </w:tc>
        <w:tc>
          <w:tcPr>
            <w:tcW w:type="dxa" w:w="56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Sentinel Rig firmware version   e.g. 1.0.3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60"/>
          <w:szCs w:val="160"/>
        </w:rPr>
        <w:t xml:space="preserve"/>
      </w:r>
    </w:p>
    <w:p>
      <w:pPr>
        <w:pBdr>
          <w:bottom w:val="single" w:color="1A1A1A" w:sz="6" w:space="5"/>
        </w:pBdr>
        <w:spacing w:before="420" w:after="180"/>
      </w:pPr>
      <w:r>
        <w:rPr>
          <w:rFonts w:ascii="Arial" w:cs="Arial" w:eastAsia="Arial" w:hAnsi="Arial"/>
          <w:b/>
          <w:bCs/>
          <w:color w:val="1A1A1A"/>
          <w:spacing w:val="60"/>
          <w:sz w:val="19"/>
          <w:szCs w:val="19"/>
        </w:rPr>
        <w:t xml:space="preserve">HOW THE PLATFORM USES YOUR DATA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00"/>
          <w:szCs w:val="100"/>
        </w:rPr>
        <w:t xml:space="preserve"/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Once the packet arrives, the following happens automatically. You don't need to implement any of this — just send the right numbers.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8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CO₂ from fuel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fuelPulse_L  ×  2.68  =  kg of CO₂     (DEFRA 2024 diesel factor)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Credit generated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CO₂ kg  ÷  1000  ×  18%  =  tCO₂e credit     (18% verified efficiency baseline)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Revenue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tCO₂e  ×  £72/tonne  ×  70%  =  client’s annual share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Your packet hash + SD card hash + blockchain token = immutable chain of custody for Verra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00"/>
          <w:szCs w:val="100"/>
        </w:rPr>
        <w:t xml:space="preserve"/>
      </w:r>
    </w:p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The only number that really matters from the rig is </w:t>
      </w:r>
      <w:r>
        <w:rPr>
          <w:rFonts w:ascii="Courier New" w:cs="Courier New" w:eastAsia="Courier New" w:hAnsi="Courier New"/>
          <w:b/>
          <w:bCs/>
          <w:i w:val="false"/>
          <w:iCs w:val="false"/>
          <w:color w:val="111111"/>
          <w:sz w:val="21"/>
          <w:szCs w:val="21"/>
        </w:rPr>
        <w:t xml:space="preserve">fuelPulse_L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. Get that right and everything else follows.</w:t>
      </w:r>
    </w:p>
    <w:p>
      <w:pPr>
        <w:pBdr>
          <w:bottom w:val="single" w:color="1A1A1A" w:sz="6" w:space="5"/>
        </w:pBdr>
        <w:spacing w:before="420" w:after="180"/>
      </w:pPr>
      <w:r>
        <w:rPr>
          <w:rFonts w:ascii="Arial" w:cs="Arial" w:eastAsia="Arial" w:hAnsi="Arial"/>
          <w:b/>
          <w:bCs/>
          <w:color w:val="1A1A1A"/>
          <w:spacing w:val="60"/>
          <w:sz w:val="19"/>
          <w:szCs w:val="19"/>
        </w:rPr>
        <w:t xml:space="preserve">TRANSMISSION SPEC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00"/>
          <w:szCs w:val="100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8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Protocol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MQTT over TLS — port 8883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Transport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4G LTE — Quectel BG96 modem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Frequency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Every 30 seconds, or immediately on a significant fuel pulse event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Backend endpoint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wss://api.daxem.ai/rigs/live   (WebSocket relay from MQTT broker)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Payload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JSON — one packet per message, no batching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Encryption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AES-256 in transit. Packet SHA-256 signed at source.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Offline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Buffer to SD card. Transmit catch-up batch when connectivity restored.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SD card</w:t>
            </w:r>
          </w:p>
        </w:tc>
        <w:tc>
          <w:tcPr>
            <w:tcW w:type="dxa" w:w="65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0"/>
                <w:szCs w:val="20"/>
              </w:rPr>
              <w:t xml:space="preserve">Write every reading locally regardless of connection. This is the audit black box.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60"/>
          <w:szCs w:val="160"/>
        </w:rPr>
        <w:t xml:space="preserve"/>
      </w:r>
    </w:p>
    <w:p>
      <w:pPr>
        <w:pBdr>
          <w:bottom w:val="single" w:color="1A1A1A" w:sz="6" w:space="5"/>
        </w:pBdr>
        <w:spacing w:before="420" w:after="180"/>
      </w:pPr>
      <w:r>
        <w:rPr>
          <w:rFonts w:ascii="Arial" w:cs="Arial" w:eastAsia="Arial" w:hAnsi="Arial"/>
          <w:b/>
          <w:bCs/>
          <w:color w:val="1A1A1A"/>
          <w:spacing w:val="60"/>
          <w:sz w:val="19"/>
          <w:szCs w:val="19"/>
        </w:rPr>
        <w:t xml:space="preserve">NOTES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00"/>
          <w:szCs w:val="100"/>
        </w:rPr>
        <w:t xml:space="preserve"/>
      </w:r>
    </w:p>
    <w:p>
      <w:pPr>
        <w:spacing w:before="60" w:after="100"/>
        <w:ind w:left="44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1"/>
          <w:szCs w:val="21"/>
        </w:rPr>
        <w:t xml:space="preserve">—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Live demo: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The frontend is already built — daxemlabs.github.io/CarbonSync/carbonsync-demo.html. Open it in a browser and you'll see exactly what happens when live packets start arriving. It runs in simulation mode until a real rig connects.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40"/>
          <w:szCs w:val="40"/>
        </w:rPr>
        <w:t xml:space="preserve"/>
      </w:r>
    </w:p>
    <w:p>
      <w:pPr>
        <w:spacing w:before="60" w:after="100"/>
        <w:ind w:left="44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1"/>
          <w:szCs w:val="21"/>
        </w:rPr>
        <w:t xml:space="preserve">—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Developer Mode: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Press Ctrl+D in the dashboard to open a panel showing WebSocket status, the expected packet schema, and a live connection log. Useful for debugging during rig testing.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40"/>
          <w:szCs w:val="40"/>
        </w:rPr>
        <w:t xml:space="preserve"/>
      </w:r>
    </w:p>
    <w:p>
      <w:pPr>
        <w:spacing w:before="60" w:after="100"/>
        <w:ind w:left="44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1"/>
          <w:szCs w:val="21"/>
        </w:rPr>
        <w:t xml:space="preserve">—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The hash matters: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Without a valid SHA-256 hash on each packet, Verra cannot verify the chain of custody from sensor to token. SHA-256 of the serialised packet before transmission is all that's needed.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40"/>
          <w:szCs w:val="40"/>
        </w:rPr>
        <w:t xml:space="preserve"/>
      </w:r>
    </w:p>
    <w:p>
      <w:pPr>
        <w:spacing w:before="60" w:after="100"/>
        <w:ind w:left="440" w:hanging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1"/>
          <w:szCs w:val="21"/>
        </w:rPr>
        <w:t xml:space="preserve">—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GPS clock only: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1"/>
          <w:szCs w:val="21"/>
        </w:rPr>
        <w:t xml:space="preserve">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1"/>
          <w:szCs w:val="21"/>
        </w:rPr>
        <w:t xml:space="preserve">Use the GPS module clock for timestamps, not the device clock. Device clocks drift. GPS is accurate to milliseconds and it matters for the audit trail.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60"/>
          <w:szCs w:val="160"/>
        </w:rPr>
        <w:t xml:space="preserve"/>
      </w:r>
    </w:p>
    <w:p>
      <w:pPr>
        <w:pBdr>
          <w:top w:val="single" w:color="CCCCCC" w:sz="4" w:space="8"/>
        </w:pBdr>
        <w:spacing w:before="0" w:after="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9"/>
          <w:szCs w:val="19"/>
        </w:rPr>
        <w:t xml:space="preserve">Any questions on the spec — come back before building. Easier to fix on paper than in hardware.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2026-02-19T13:34:42.752Z</dcterms:created>
  <dcterms:modified xsi:type="dcterms:W3CDTF">2026-02-19T13:34:42.753Z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