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pageBreakBefore w:val="0"/>
        <w:spacing w:after="80"/>
      </w:pPr>
      <w:r>
        <w:rPr>
          <w:b/>
          <w:color w:val="7C3AED"/>
          <w:sz w:val="18"/>
        </w:rPr>
        <w:t>01   /   OUTCOMES AND EVIDENCE</w:t>
      </w:r>
    </w:p>
    <w:p>
      <w:pPr>
        <w:pStyle w:val="Title"/>
      </w:pPr>
      <w:r>
        <w:t>Memory V1 and V2</w:t>
      </w:r>
    </w:p>
    <w:p>
      <w:pPr>
        <w:pStyle w:val="Subtitle"/>
      </w:pPr>
      <w:r>
        <w:t>What changes for the user</w:t>
      </w:r>
    </w:p>
    <w:p>
      <w:r>
        <w:t>Private Memory V2 gives a Crew Member its own working memory for chat, Crew assignments and scheduled Agent work. New members start with unique empty V2 memory when the setup supports it. Existing members keep their current Global or named V1 memory until the owner chooses and confirms private memory. This also applies to the member selected as the default agent.</w:t>
      </w:r>
    </w:p>
    <w:p>
      <w:pPr>
        <w:spacing w:after="100"/>
      </w:pPr>
      <w:r>
        <w:rPr>
          <w:color w:val="7C3AED"/>
          <w:sz w:val="18"/>
        </w:rPr>
        <w:t>Source draft fd5ed8c1. Historical 44546 evidence is separate. Current CI, security and reviews remain open. Not sealed.</w:t>
      </w:r>
    </w:p>
    <w:p>
      <w:pPr>
        <w:pStyle w:val="Heading2"/>
      </w:pPr>
      <w:r>
        <w:t>Memory that belongs to a member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00"/>
        <w:gridCol w:w="3931"/>
        <w:gridCol w:w="4421"/>
      </w:tblGrid>
      <w:tr>
        <w:trPr>
          <w:tblHeader/>
          <w:cantSplit/>
        </w:trPr>
        <w:tc>
          <w:tcPr>
            <w:tcW w:type="dxa" w:w="1800"/>
            <w:vAlign w:val="center"/>
            <w:tcMar>
              <w:top w:w="95" w:type="dxa"/>
              <w:left w:w="115" w:type="dxa"/>
              <w:bottom w:w="95" w:type="dxa"/>
              <w:right w:w="115" w:type="dxa"/>
            </w:tcMar>
            <w:shd w:fill="211D25"/>
          </w:tcPr>
          <w:p>
            <w:pPr>
              <w:spacing w:after="0" w:line="252" w:lineRule="auto"/>
            </w:pPr>
            <w:r>
              <w:rPr>
                <w:rFonts w:ascii="Segoe UI" w:hAnsi="Segoe UI"/>
                <w:b/>
                <w:color w:val="FFFFFF"/>
                <w:sz w:val="20"/>
              </w:rPr>
              <w:t>User need</w:t>
            </w:r>
          </w:p>
        </w:tc>
        <w:tc>
          <w:tcPr>
            <w:tcW w:type="dxa" w:w="3931"/>
            <w:vAlign w:val="center"/>
            <w:tcMar>
              <w:top w:w="95" w:type="dxa"/>
              <w:left w:w="115" w:type="dxa"/>
              <w:bottom w:w="95" w:type="dxa"/>
              <w:right w:w="115" w:type="dxa"/>
            </w:tcMar>
            <w:shd w:fill="211D25"/>
          </w:tcPr>
          <w:p>
            <w:pPr>
              <w:spacing w:after="0" w:line="252" w:lineRule="auto"/>
            </w:pPr>
            <w:r>
              <w:rPr>
                <w:rFonts w:ascii="Segoe UI" w:hAnsi="Segoe UI"/>
                <w:b/>
                <w:color w:val="FFFFFF"/>
                <w:sz w:val="20"/>
              </w:rPr>
              <w:t>Memory V1</w:t>
            </w:r>
          </w:p>
        </w:tc>
        <w:tc>
          <w:tcPr>
            <w:tcW w:type="dxa" w:w="4421"/>
            <w:vAlign w:val="center"/>
            <w:tcMar>
              <w:top w:w="95" w:type="dxa"/>
              <w:left w:w="115" w:type="dxa"/>
              <w:bottom w:w="95" w:type="dxa"/>
              <w:right w:w="115" w:type="dxa"/>
            </w:tcMar>
            <w:shd w:fill="211D25"/>
          </w:tcPr>
          <w:p>
            <w:pPr>
              <w:spacing w:after="0" w:line="252" w:lineRule="auto"/>
            </w:pPr>
            <w:r>
              <w:rPr>
                <w:rFonts w:ascii="Segoe UI" w:hAnsi="Segoe UI"/>
                <w:b/>
                <w:color w:val="FFFFFF"/>
                <w:sz w:val="20"/>
              </w:rPr>
              <w:t>Private Memory V2</w:t>
            </w:r>
          </w:p>
        </w:tc>
      </w:tr>
      <w:tr>
        <w:trPr>
          <w:cantSplit/>
        </w:trPr>
        <w:tc>
          <w:tcPr>
            <w:tcW w:type="dxa" w:w="1800"/>
            <w:vAlign w:val="center"/>
            <w:tcMar>
              <w:top w:w="95" w:type="dxa"/>
              <w:left w:w="115" w:type="dxa"/>
              <w:bottom w:w="95" w:type="dxa"/>
              <w:right w:w="115" w:type="dxa"/>
            </w:tcMar>
            <w:shd w:fill="FFFFFF"/>
          </w:tcPr>
          <w:p>
            <w:pPr>
              <w:spacing w:after="0" w:line="252" w:lineRule="auto"/>
            </w:pPr>
            <w:r>
              <w:rPr>
                <w:rFonts w:ascii="Segoe UI" w:hAnsi="Segoe UI"/>
                <w:b/>
                <w:color w:val="000000"/>
                <w:sz w:val="20"/>
              </w:rPr>
              <w:t>Keep work in context</w:t>
            </w:r>
          </w:p>
        </w:tc>
        <w:tc>
          <w:tcPr>
            <w:tcW w:type="dxa" w:w="3931"/>
            <w:vAlign w:val="center"/>
            <w:tcMar>
              <w:top w:w="95" w:type="dxa"/>
              <w:left w:w="115" w:type="dxa"/>
              <w:bottom w:w="95" w:type="dxa"/>
              <w:right w:w="115" w:type="dxa"/>
            </w:tcMar>
            <w:shd w:fill="FFFFFF"/>
          </w:tcPr>
          <w:p>
            <w:pPr>
              <w:spacing w:after="0" w:line="252" w:lineRule="auto"/>
            </w:pPr>
            <w:r>
              <w:rPr>
                <w:rFonts w:ascii="Segoe UI" w:hAnsi="Segoe UI"/>
                <w:b w:val="0"/>
                <w:color w:val="000000"/>
                <w:sz w:val="20"/>
              </w:rPr>
              <w:t>Global and named stores continue to support existing work and V1 members.</w:t>
            </w:r>
          </w:p>
        </w:tc>
        <w:tc>
          <w:tcPr>
            <w:tcW w:type="dxa" w:w="4421"/>
            <w:vAlign w:val="center"/>
            <w:tcMar>
              <w:top w:w="95" w:type="dxa"/>
              <w:left w:w="115" w:type="dxa"/>
              <w:bottom w:w="95" w:type="dxa"/>
              <w:right w:w="115" w:type="dxa"/>
            </w:tcMar>
            <w:shd w:fill="FFFFFF"/>
          </w:tcPr>
          <w:p>
            <w:pPr>
              <w:spacing w:after="0" w:line="252" w:lineRule="auto"/>
            </w:pPr>
            <w:r>
              <w:drawing>
                <wp:inline xmlns:a="http://schemas.openxmlformats.org/drawingml/2006/main" xmlns:pic="http://schemas.openxmlformats.org/drawingml/2006/picture">
                  <wp:extent cx="210312" cy="210312"/>
                  <wp:docPr id="1" name="Picture 1" descr="Research Crew member with glasses"/>
                  <wp:cNvGraphicFramePr>
                    <a:graphicFrameLocks noChangeAspect="1"/>
                  </wp:cNvGraphicFramePr>
                  <a:graphic>
                    <a:graphicData uri="http://schemas.openxmlformats.org/drawingml/2006/picture">
                      <pic:pic>
                        <pic:nvPicPr>
                          <pic:cNvPr id="0" name="member-research.png"/>
                          <pic:cNvPicPr/>
                        </pic:nvPicPr>
                        <pic:blipFill>
                          <a:blip r:embed="rId11"/>
                          <a:stretch>
                            <a:fillRect/>
                          </a:stretch>
                        </pic:blipFill>
                        <pic:spPr>
                          <a:xfrm>
                            <a:off x="0" y="0"/>
                            <a:ext cx="210312" cy="210312"/>
                          </a:xfrm>
                          <a:prstGeom prst="rect"/>
                        </pic:spPr>
                      </pic:pic>
                    </a:graphicData>
                  </a:graphic>
                </wp:inline>
              </w:drawing>
            </w:r>
            <w:r>
              <w:t xml:space="preserve">  </w:t>
            </w:r>
            <w:r>
              <w:drawing>
                <wp:inline xmlns:a="http://schemas.openxmlformats.org/drawingml/2006/main" xmlns:pic="http://schemas.openxmlformats.org/drawingml/2006/picture">
                  <wp:extent cx="210312" cy="210312"/>
                  <wp:docPr id="2" name="Picture 2" descr="Delivery Crew member with a hard hat"/>
                  <wp:cNvGraphicFramePr>
                    <a:graphicFrameLocks noChangeAspect="1"/>
                  </wp:cNvGraphicFramePr>
                  <a:graphic>
                    <a:graphicData uri="http://schemas.openxmlformats.org/drawingml/2006/picture">
                      <pic:pic>
                        <pic:nvPicPr>
                          <pic:cNvPr id="0" name="member-build.png"/>
                          <pic:cNvPicPr/>
                        </pic:nvPicPr>
                        <pic:blipFill>
                          <a:blip r:embed="rId12"/>
                          <a:stretch>
                            <a:fillRect/>
                          </a:stretch>
                        </pic:blipFill>
                        <pic:spPr>
                          <a:xfrm>
                            <a:off x="0" y="0"/>
                            <a:ext cx="210312" cy="210312"/>
                          </a:xfrm>
                          <a:prstGeom prst="rect"/>
                        </pic:spPr>
                      </pic:pic>
                    </a:graphicData>
                  </a:graphic>
                </wp:inline>
              </w:drawing>
            </w:r>
            <w:r>
              <w:t xml:space="preserve">  </w:t>
            </w:r>
            <w:r>
              <w:drawing>
                <wp:inline xmlns:a="http://schemas.openxmlformats.org/drawingml/2006/main" xmlns:pic="http://schemas.openxmlformats.org/drawingml/2006/picture">
                  <wp:extent cx="210312" cy="210312"/>
                  <wp:docPr id="3" name="Picture 3" descr="Communications Crew member with headphones"/>
                  <wp:cNvGraphicFramePr>
                    <a:graphicFrameLocks noChangeAspect="1"/>
                  </wp:cNvGraphicFramePr>
                  <a:graphic>
                    <a:graphicData uri="http://schemas.openxmlformats.org/drawingml/2006/picture">
                      <pic:pic>
                        <pic:nvPicPr>
                          <pic:cNvPr id="0" name="member-write.png"/>
                          <pic:cNvPicPr/>
                        </pic:nvPicPr>
                        <pic:blipFill>
                          <a:blip r:embed="rId13"/>
                          <a:stretch>
                            <a:fillRect/>
                          </a:stretch>
                        </pic:blipFill>
                        <pic:spPr>
                          <a:xfrm>
                            <a:off x="0" y="0"/>
                            <a:ext cx="210312" cy="210312"/>
                          </a:xfrm>
                          <a:prstGeom prst="rect"/>
                        </pic:spPr>
                      </pic:pic>
                    </a:graphicData>
                  </a:graphic>
                </wp:inline>
              </w:drawing>
            </w:r>
            <w:r>
              <w:t xml:space="preserve">  </w:t>
            </w:r>
            <w:r>
              <w:br/>
            </w:r>
            <w:r>
              <w:rPr>
                <w:rFonts w:ascii="Segoe UI" w:hAnsi="Segoe UI"/>
                <w:b w:val="0"/>
                <w:color w:val="000000"/>
                <w:sz w:val="20"/>
              </w:rPr>
              <w:t>Each member owns separate memory, identified by its native Crew avatar.</w:t>
            </w:r>
          </w:p>
        </w:tc>
      </w:tr>
      <w:tr>
        <w:trPr>
          <w:cantSplit/>
        </w:trPr>
        <w:tc>
          <w:tcPr>
            <w:tcW w:type="dxa" w:w="1800"/>
            <w:vAlign w:val="center"/>
            <w:tcMar>
              <w:top w:w="95" w:type="dxa"/>
              <w:left w:w="115" w:type="dxa"/>
              <w:bottom w:w="95" w:type="dxa"/>
              <w:right w:w="115" w:type="dxa"/>
            </w:tcMar>
            <w:shd w:fill="F5F4F7"/>
          </w:tcPr>
          <w:p>
            <w:pPr>
              <w:spacing w:after="0" w:line="252" w:lineRule="auto"/>
            </w:pPr>
            <w:r>
              <w:rPr>
                <w:rFonts w:ascii="Segoe UI" w:hAnsi="Segoe UI"/>
                <w:b/>
                <w:color w:val="000000"/>
                <w:sz w:val="20"/>
              </w:rPr>
              <w:t>Bring guidance forward</w:t>
            </w:r>
          </w:p>
        </w:tc>
        <w:tc>
          <w:tcPr>
            <w:tcW w:type="dxa" w:w="3931"/>
            <w:vAlign w:val="center"/>
            <w:tcMar>
              <w:top w:w="95" w:type="dxa"/>
              <w:left w:w="115" w:type="dxa"/>
              <w:bottom w:w="95" w:type="dxa"/>
              <w:right w:w="115" w:type="dxa"/>
            </w:tcMar>
            <w:shd w:fill="F5F4F7"/>
          </w:tcPr>
          <w:p>
            <w:pPr>
              <w:spacing w:after="0" w:line="252" w:lineRule="auto"/>
            </w:pPr>
            <w:r>
              <w:rPr>
                <w:rFonts w:ascii="Segoe UI" w:hAnsi="Segoe UI"/>
                <w:b w:val="0"/>
                <w:color w:val="000000"/>
                <w:sz w:val="20"/>
              </w:rPr>
              <w:t>Existing session-start guidance and automatic learning continue.</w:t>
            </w:r>
          </w:p>
        </w:tc>
        <w:tc>
          <w:tcPr>
            <w:tcW w:type="dxa" w:w="4421"/>
            <w:vAlign w:val="center"/>
            <w:tcMar>
              <w:top w:w="95" w:type="dxa"/>
              <w:left w:w="115" w:type="dxa"/>
              <w:bottom w:w="95" w:type="dxa"/>
              <w:right w:w="115" w:type="dxa"/>
            </w:tcMar>
            <w:shd w:fill="F5F4F7"/>
          </w:tcPr>
          <w:p>
            <w:pPr>
              <w:spacing w:after="0" w:line="252" w:lineRule="auto"/>
            </w:pPr>
            <w:r>
              <w:rPr>
                <w:rFonts w:ascii="Segoe UI" w:hAnsi="Segoe UI"/>
                <w:b w:val="0"/>
                <w:color w:val="000000"/>
                <w:sz w:val="20"/>
              </w:rPr>
              <w:t>Essential guidance returns every turn. Relevant facts and lessons are recalled when requested.</w:t>
            </w:r>
          </w:p>
        </w:tc>
      </w:tr>
      <w:tr>
        <w:trPr>
          <w:cantSplit/>
        </w:trPr>
        <w:tc>
          <w:tcPr>
            <w:tcW w:type="dxa" w:w="1800"/>
            <w:vAlign w:val="center"/>
            <w:tcMar>
              <w:top w:w="95" w:type="dxa"/>
              <w:left w:w="115" w:type="dxa"/>
              <w:bottom w:w="95" w:type="dxa"/>
              <w:right w:w="115" w:type="dxa"/>
            </w:tcMar>
            <w:shd w:fill="FFFFFF"/>
          </w:tcPr>
          <w:p>
            <w:pPr>
              <w:spacing w:after="0" w:line="252" w:lineRule="auto"/>
            </w:pPr>
            <w:r>
              <w:rPr>
                <w:rFonts w:ascii="Segoe UI" w:hAnsi="Segoe UI"/>
                <w:b/>
                <w:color w:val="000000"/>
                <w:sz w:val="20"/>
              </w:rPr>
              <w:t>Return to older work</w:t>
            </w:r>
          </w:p>
        </w:tc>
        <w:tc>
          <w:tcPr>
            <w:tcW w:type="dxa" w:w="3931"/>
            <w:vAlign w:val="center"/>
            <w:tcMar>
              <w:top w:w="95" w:type="dxa"/>
              <w:left w:w="115" w:type="dxa"/>
              <w:bottom w:w="95" w:type="dxa"/>
              <w:right w:w="115" w:type="dxa"/>
            </w:tcMar>
            <w:shd w:fill="FFFFFF"/>
          </w:tcPr>
          <w:p>
            <w:pPr>
              <w:spacing w:after="0" w:line="252" w:lineRule="auto"/>
            </w:pPr>
            <w:r>
              <w:rPr>
                <w:rFonts w:ascii="Segoe UI" w:hAnsi="Segoe UI"/>
                <w:b w:val="0"/>
                <w:color w:val="000000"/>
                <w:sz w:val="20"/>
              </w:rPr>
              <w:t>Existing age and record-capacity rules continue.</w:t>
            </w:r>
          </w:p>
        </w:tc>
        <w:tc>
          <w:tcPr>
            <w:tcW w:type="dxa" w:w="4421"/>
            <w:vAlign w:val="center"/>
            <w:tcMar>
              <w:top w:w="95" w:type="dxa"/>
              <w:left w:w="115" w:type="dxa"/>
              <w:bottom w:w="95" w:type="dxa"/>
              <w:right w:w="115" w:type="dxa"/>
            </w:tcMar>
            <w:shd w:fill="FFFFFF"/>
          </w:tcPr>
          <w:p>
            <w:pPr>
              <w:spacing w:after="0" w:line="252" w:lineRule="auto"/>
            </w:pPr>
            <w:r>
              <w:rPr>
                <w:rFonts w:ascii="Segoe UI" w:hAnsi="Segoe UI"/>
                <w:b w:val="0"/>
                <w:color w:val="000000"/>
                <w:sz w:val="20"/>
              </w:rPr>
              <w:t>No age decay or automatic removal for age, capacity or revision count. Fact validity and explicit forgetting still apply.</w:t>
            </w:r>
          </w:p>
        </w:tc>
      </w:tr>
      <w:tr>
        <w:trPr>
          <w:cantSplit/>
        </w:trPr>
        <w:tc>
          <w:tcPr>
            <w:tcW w:type="dxa" w:w="1800"/>
            <w:vAlign w:val="center"/>
            <w:tcMar>
              <w:top w:w="95" w:type="dxa"/>
              <w:left w:w="115" w:type="dxa"/>
              <w:bottom w:w="95" w:type="dxa"/>
              <w:right w:w="115" w:type="dxa"/>
            </w:tcMar>
            <w:shd w:fill="F5F4F7"/>
          </w:tcPr>
          <w:p>
            <w:pPr>
              <w:spacing w:after="0" w:line="252" w:lineRule="auto"/>
            </w:pPr>
            <w:r>
              <w:rPr>
                <w:rFonts w:ascii="Segoe UI" w:hAnsi="Segoe UI"/>
                <w:b/>
                <w:color w:val="000000"/>
                <w:sz w:val="20"/>
              </w:rPr>
              <w:t>Correct what was learned</w:t>
            </w:r>
          </w:p>
        </w:tc>
        <w:tc>
          <w:tcPr>
            <w:tcW w:type="dxa" w:w="3931"/>
            <w:vAlign w:val="center"/>
            <w:tcMar>
              <w:top w:w="95" w:type="dxa"/>
              <w:left w:w="115" w:type="dxa"/>
              <w:bottom w:w="95" w:type="dxa"/>
              <w:right w:w="115" w:type="dxa"/>
            </w:tcMar>
            <w:shd w:fill="F5F4F7"/>
          </w:tcPr>
          <w:p>
            <w:pPr>
              <w:spacing w:after="0" w:line="252" w:lineRule="auto"/>
            </w:pPr>
            <w:r>
              <w:rPr>
                <w:rFonts w:ascii="Segoe UI" w:hAnsi="Segoe UI"/>
                <w:b w:val="0"/>
                <w:color w:val="000000"/>
                <w:sz w:val="20"/>
              </w:rPr>
              <w:t>Existing conflict rules continue. History keeps the latest 20 accepted revisions of each record; proposals remain.</w:t>
            </w:r>
          </w:p>
        </w:tc>
        <w:tc>
          <w:tcPr>
            <w:tcW w:type="dxa" w:w="4421"/>
            <w:vAlign w:val="center"/>
            <w:tcMar>
              <w:top w:w="95" w:type="dxa"/>
              <w:left w:w="115" w:type="dxa"/>
              <w:bottom w:w="95" w:type="dxa"/>
              <w:right w:w="115" w:type="dxa"/>
            </w:tcMar>
            <w:shd w:fill="F5F4F7"/>
          </w:tcPr>
          <w:p>
            <w:pPr>
              <w:spacing w:after="0" w:line="252" w:lineRule="auto"/>
            </w:pPr>
            <w:r>
              <w:rPr>
                <w:rFonts w:ascii="Segoe UI" w:hAnsi="Segoe UI"/>
                <w:b w:val="0"/>
                <w:color w:val="000000"/>
                <w:sz w:val="20"/>
              </w:rPr>
              <w:t>Uncertain automatic corrections become proposals. The owner previews edits and forgetting.</w:t>
            </w:r>
          </w:p>
        </w:tc>
      </w:tr>
      <w:tr>
        <w:trPr>
          <w:cantSplit/>
        </w:trPr>
        <w:tc>
          <w:tcPr>
            <w:tcW w:type="dxa" w:w="1800"/>
            <w:vAlign w:val="center"/>
            <w:tcMar>
              <w:top w:w="95" w:type="dxa"/>
              <w:left w:w="115" w:type="dxa"/>
              <w:bottom w:w="95" w:type="dxa"/>
              <w:right w:w="115" w:type="dxa"/>
            </w:tcMar>
            <w:shd w:fill="FFFFFF"/>
          </w:tcPr>
          <w:p>
            <w:pPr>
              <w:spacing w:after="0" w:line="252" w:lineRule="auto"/>
            </w:pPr>
            <w:r>
              <w:rPr>
                <w:rFonts w:ascii="Segoe UI" w:hAnsi="Segoe UI"/>
                <w:b/>
                <w:color w:val="000000"/>
                <w:sz w:val="20"/>
              </w:rPr>
              <w:t>Reuse useful knowledge</w:t>
            </w:r>
          </w:p>
        </w:tc>
        <w:tc>
          <w:tcPr>
            <w:tcW w:type="dxa" w:w="3931"/>
            <w:vAlign w:val="center"/>
            <w:tcMar>
              <w:top w:w="95" w:type="dxa"/>
              <w:left w:w="115" w:type="dxa"/>
              <w:bottom w:w="95" w:type="dxa"/>
              <w:right w:w="115" w:type="dxa"/>
            </w:tcMar>
            <w:shd w:fill="FFFFFF"/>
          </w:tcPr>
          <w:p>
            <w:pPr>
              <w:spacing w:after="0" w:line="252" w:lineRule="auto"/>
            </w:pPr>
            <w:r>
              <w:rPr>
                <w:rFonts w:ascii="Segoe UI" w:hAnsi="Segoe UI"/>
                <w:b w:val="0"/>
                <w:color w:val="000000"/>
                <w:sz w:val="20"/>
              </w:rPr>
              <w:t>Knowledge remains in its current store.</w:t>
            </w:r>
          </w:p>
        </w:tc>
        <w:tc>
          <w:tcPr>
            <w:tcW w:type="dxa" w:w="4421"/>
            <w:vAlign w:val="center"/>
            <w:tcMar>
              <w:top w:w="95" w:type="dxa"/>
              <w:left w:w="115" w:type="dxa"/>
              <w:bottom w:w="95" w:type="dxa"/>
              <w:right w:w="115" w:type="dxa"/>
            </w:tcMar>
            <w:shd w:fill="FFFFFF"/>
          </w:tcPr>
          <w:p>
            <w:pPr>
              <w:spacing w:after="0" w:line="252" w:lineRule="auto"/>
            </w:pPr>
            <w:r>
              <w:rPr>
                <w:rFonts w:ascii="Segoe UI" w:hAnsi="Segoe UI"/>
                <w:b w:val="0"/>
                <w:color w:val="000000"/>
                <w:sz w:val="20"/>
              </w:rPr>
              <w:t>Copy memories brings selected records into a member store and keeps their source information.</w:t>
            </w:r>
          </w:p>
        </w:tc>
      </w:tr>
    </w:tbl>
    <w:p>
      <w:pPr>
        <w:spacing w:line="20" w:lineRule="exact" w:after="180"/>
      </w:pPr>
    </w:p>
    <w:p>
      <w:r>
        <w:t>The owner chooses starting knowledge and controls later corrections. V2 does not automatically move V1 data or combine several members into one private memory.</w:t>
      </w:r>
    </w:p>
    <w:p>
      <w:pPr>
        <w:spacing w:after="100"/>
      </w:pPr>
      <w:r>
        <w:rPr>
          <w:color w:val="5E5966"/>
          <w:sz w:val="18"/>
        </w:rPr>
        <w:t>V1 keeps current records while trimming older accepted revision history. Export older history you need before upgrading. V2 does not automatically trim that history. Neither policy guarantees a maximum total storage size.</w:t>
      </w:r>
    </w:p>
    <w:p>
      <w:pPr>
        <w:keepNext/>
        <w:pageBreakBefore/>
        <w:spacing w:after="80"/>
      </w:pPr>
      <w:r>
        <w:rPr>
          <w:b/>
          <w:color w:val="7C3AED"/>
          <w:sz w:val="18"/>
        </w:rPr>
        <w:t>02   /   MEMORY V2</w:t>
      </w:r>
    </w:p>
    <w:p>
      <w:pPr>
        <w:pStyle w:val="Heading1"/>
        <w:spacing w:before="0"/>
      </w:pPr>
      <w:r>
        <w:t>From setup to everyday use</w:t>
      </w:r>
    </w:p>
    <w:p>
      <w:r>
        <w:rPr>
          <w:b/>
        </w:rPr>
        <w:t xml:space="preserve">1  Choose when to start. </w:t>
      </w:r>
      <w:r>
        <w:t>Existing V1 members can keep working. To opt in, open Crew Manager, choose the member, then Workspace, Memory and Create private memory. Finish or stop the member’s work and child tasks first. The confirmation explains that memory starts empty, the next chat is fresh and the member cannot switch back to V1. Old data and conversations remain.</w:t>
      </w:r>
    </w:p>
    <w:p>
      <w:r>
        <w:rPr>
          <w:b/>
        </w:rPr>
        <w:t xml:space="preserve">2  Choose starting knowledge. </w:t>
      </w:r>
      <w:r>
        <w:t>Start empty or use Copy memories for up to 50 selected records from Global, a named store or another member. Source records and existing destination records stay in place.</w:t>
      </w:r>
    </w:p>
    <w:p>
      <w:r>
        <w:rPr>
          <w:b/>
        </w:rPr>
        <w:t xml:space="preserve">3  Work with one member or a Crew. </w:t>
      </w:r>
      <w:r>
        <w:t>With Crew Mode off, chat directly with a member. With Crew Mode on, the coordinator assigns work and combines findings. Existing conversations and schedules keep their recorded memory identity; opting in does not convert them.</w:t>
      </w:r>
    </w:p>
    <w:p>
      <w:r>
        <w:rPr>
          <w:b/>
        </w:rPr>
        <w:t xml:space="preserve">4  Review and correct. </w:t>
      </w:r>
      <w:r>
        <w:t>In Memories, inspect Facts, Lessons and Experiences and their sources. Edit selected records, then review every preview page and pending proposal before Apply. Profile holds essential guidance. Forgetting removes a record from recall; it has no direct Undo.</w:t>
      </w:r>
    </w:p>
    <w:p>
      <w:r>
        <w:rPr>
          <w:b/>
        </w:rPr>
        <w:t xml:space="preserve">5  Keep a recovery path. </w:t>
      </w:r>
      <w:r>
        <w:t>Active V2 members have automatic backups. V1 backups are manual. Whole-memory restore takes effect after restart. Deleting a member keeps its old data; recreating the name starts fresh. Archived memory has no direct reattachment option.</w:t>
      </w:r>
    </w:p>
    <w:p>
      <w:pPr>
        <w:pStyle w:val="Heading2"/>
      </w:pPr>
      <w:r>
        <w:t>Start with a supported pilot</w:t>
      </w:r>
    </w:p>
    <w:p>
      <w:r>
        <w:t>Confirm that the setup supports private memory before adding members. Unavailable memory pauses the affected work and explains the reason. The gateway owner can run kirocrew doctor to identify member setup problems. Creation shows its current progress. Recovery may require a restart.</w:t>
      </w:r>
    </w:p>
    <w:p>
      <w:r>
        <w:t>During a setup or storage incident, the owner can pause new private memories and V1 opt-ins. Existing work still follows its normal checks, and work already admitted is not cancelled. Assign an owner for backups, disk usage and recovery before expanding the pilot.</w:t>
      </w:r>
    </w:p>
    <w:p>
      <w:pPr>
        <w:spacing w:after="100"/>
      </w:pPr>
      <w:r>
        <w:rPr>
          <w:color w:val="5E5966"/>
          <w:sz w:val="18"/>
        </w:rPr>
        <w:t>Historical 44546 retrieval found relevant records for 49 of 50 authored topics with full vectors. The same examples informed calibration. Its nine memory-interface scenarios also passed first attempt. These results do not prove better answers, teamwork, a gain over V1 or lower cost. Current CI, security and reviews remain open.</w:t>
      </w:r>
    </w:p>
    <w:sectPr w:rsidR="00FC693F" w:rsidRPr="0006063C" w:rsidSect="00034616">
      <w:headerReference w:type="default" r:id="rId9"/>
      <w:footerReference w:type="default" r:id="rId10"/>
      <w:pgSz w:w="12240" w:h="15840"/>
      <w:pgMar w:top="1152" w:right="1037" w:bottom="936" w:left="1037" w:header="389" w:footer="4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138" w:val="right"/>
      </w:tabs>
      <w:spacing w:after="0"/>
    </w:pPr>
    <w:r>
      <w:rPr>
        <w:rFonts w:ascii="Segoe UI" w:hAnsi="Segoe UI"/>
        <w:color w:val="5E5966"/>
        <w:sz w:val="16"/>
      </w:rPr>
      <w:t>Memory V1 and V2 comparison   /   Draft fd5ed8c1</w:t>
      <w:tab/>
    </w:r>
    <w:r>
      <w:rPr>
        <w:rFonts w:ascii="Segoe UI" w:hAnsi="Segoe UI"/>
        <w:b/>
        <w:color w:val="7C3AED"/>
        <w:sz w:val="18"/>
      </w:rPr>
      <w:fldChar w:fldCharType="begin"/>
      <w:instrText>PAGE</w:instrText>
      <w:fldChar w:fldCharType="end"/>
    </w:r>
    <w:r>
      <w:rPr>
        <w:sz w:val="16"/>
      </w:rPr>
      <w:t xml:space="preserve"> / </w:t>
    </w:r>
    <w:r>
      <w:rPr>
        <w:rFonts w:ascii="Segoe UI" w:hAnsi="Segoe UI"/>
        <w:b/>
        <w:color w:val="7C3AED"/>
        <w:sz w:val="18"/>
      </w:rPr>
      <w:fldChar w:fldCharType="begin"/>
      <w:instrText>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138" w:val="right"/>
      </w:tabs>
      <w:spacing w:after="0"/>
      <w:ind w:left="0" w:right="0"/>
    </w:pPr>
    <w:r>
      <w:drawing>
        <wp:inline xmlns:a="http://schemas.openxmlformats.org/drawingml/2006/main" xmlns:pic="http://schemas.openxmlformats.org/drawingml/2006/picture">
          <wp:extent cx="265176" cy="265176"/>
          <wp:docPr id="1" name="Picture 1" descr="Kiro Crew app logo with three ghost faces"/>
          <wp:cNvGraphicFramePr>
            <a:graphicFrameLocks noChangeAspect="1"/>
          </wp:cNvGraphicFramePr>
          <a:graphic>
            <a:graphicData uri="http://schemas.openxmlformats.org/drawingml/2006/picture">
              <pic:pic>
                <pic:nvPicPr>
                  <pic:cNvPr id="0" name="kirocrew-app-logo.png"/>
                  <pic:cNvPicPr/>
                </pic:nvPicPr>
                <pic:blipFill>
                  <a:blip r:embed="rId1"/>
                  <a:stretch>
                    <a:fillRect/>
                  </a:stretch>
                </pic:blipFill>
                <pic:spPr>
                  <a:xfrm>
                    <a:off x="0" y="0"/>
                    <a:ext cx="265176" cy="265176"/>
                  </a:xfrm>
                  <a:prstGeom prst="rect"/>
                </pic:spPr>
              </pic:pic>
            </a:graphicData>
          </a:graphic>
        </wp:inline>
      </w:drawing>
    </w:r>
    <w:r>
      <w:rPr>
        <w:rFonts w:ascii="Segoe UI" w:hAnsi="Segoe UI"/>
        <w:b/>
        <w:color w:val="000000"/>
        <w:sz w:val="22"/>
      </w:rPr>
      <w:t xml:space="preserve">  Kiro Crew</w:t>
    </w:r>
    <w:r>
      <w:rPr>
        <w:rFonts w:ascii="Segoe UI" w:hAnsi="Segoe UI"/>
        <w:color w:val="000000"/>
        <w:sz w:val="16"/>
      </w:rPr>
      <w:tab/>
      <w:t>MEMORY V2   /   CONTENT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Segoe UI" w:hAnsi="Segoe UI" w:eastAsia="Segoe UI"/>
      <w:b w:val="0"/>
      <w:color w:val="000000"/>
      <w:sz w:val="22"/>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Segoe UI" w:hAnsi="Segoe UI" w:eastAsia="Segoe U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Segoe UI" w:hAnsi="Segoe UI" w:eastAsia="Segoe U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egoe UI" w:hAnsi="Segoe UI" w:eastAsia="Segoe U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5" w:lineRule="auto"/>
      <w:contextualSpacing/>
    </w:pPr>
    <w:rPr>
      <w:rFonts w:asciiTheme="majorHAnsi" w:eastAsiaTheme="majorEastAsia" w:hAnsiTheme="majorHAnsi" w:cstheme="majorBidi" w:ascii="Segoe UI" w:hAnsi="Segoe UI" w:eastAsia="Segoe UI"/>
      <w:b/>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Segoe UI" w:hAnsi="Segoe UI" w:eastAsia="Segoe UI"/>
      <w:b w:val="0"/>
      <w:i w:val="0"/>
      <w:iCs/>
      <w:color w:val="000000"/>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Segoe UI" w:hAnsi="Segoe UI" w:eastAsia="Segoe UI"/>
      <w:b w:val="0"/>
      <w:bCs/>
      <w:i w:val="0"/>
      <w:color w:val="5E59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Memory V1 and V2 comparison</dc:title>
  <dc:subject>Kiro Crew Memory V2 source fd5ed8c1ca00a296117c737e526c1bdcd057c4a5; verified historical 44546 evidence; fresh CI and current UI evidence pending; not sealed</dc:subject>
  <dc:creator>Independent implementation review</dc:creator>
  <cp:keywords>Memory V1, Memory V2, executive review</cp:keywords>
  <dc:description>generated by python-docx</dc:description>
  <cp:lastModifiedBy/>
  <cp:revision>1</cp:revision>
  <dcterms:created xsi:type="dcterms:W3CDTF">2013-12-23T23:15:00Z</dcterms:created>
  <dcterms:modified xsi:type="dcterms:W3CDTF">2013-12-23T23:15:00Z</dcterms:modified>
  <cp:category/>
</cp:coreProperties>
</file>