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Table 2. </w:t>
      </w:r>
      <w:r>
        <w:t>Hotel Reservation: graph predictors per service with ancestor_count and the measured service-median outcomes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</w:tblGrid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service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ancestor_count (services)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descendant_count (services)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in_degree_raw (callers)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out_degree_raw (callees)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hybrid_criticality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betweenness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closeness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pagerank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eigenvector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measured_ancestor_affected_kill (services)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measured_ancestor_affected_latency (services)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T_rec_kill_s (s)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T_rec_latency_s (s)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geo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0.057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0.190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0.152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0.707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22.01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17.69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rate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0.057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0.190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0.152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0.707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20.85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16.87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profile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0.057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0.143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0.124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27.00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18.66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recommendation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0.057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0.143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0.107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22.63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25.45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reservation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0.057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0.143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0.127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19.33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16.55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search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0.112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0.048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0.143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0.119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22.28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24.74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user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0.057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0.143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0.119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19.69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13.64</w:t>
            </w:r>
          </w:p>
        </w:tc>
      </w:tr>
    </w:tbl>
    <w:p>
      <w:r>
        <w:t>Units are given in parentheses in the column headers; columns without a unit are dimensionless or categorical.</w:t>
      </w:r>
    </w:p>
    <w:sectPr w:rsidR="00FC693F" w:rsidRPr="0006063C" w:rsidSect="00034616">
      <w:pgSz w:w="15840" w:h="12240" w:orient="landscape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left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left"/>
      <w:outlineLvl w:val="2"/>
    </w:pPr>
    <w:rPr>
      <w:rFonts w:ascii="Times New Roman" w:hAnsi="Times New Roman" w:cs="Times New Roman" w:eastAsia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  <w:jc w:val="left"/>
    </w:pPr>
    <w:rPr>
      <w:rFonts w:ascii="Times New Roman" w:hAnsi="Times New Roman" w:cs="Times New Roman" w:eastAsia="Times New Rom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