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Table 3. </w:t>
      </w:r>
      <w:r>
        <w:t>Supplementary: exact-enumeration p for the primary test and its BH-FDR rerun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  <w:gridCol w:w="1182"/>
      </w:tblGrid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label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test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rho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p_raw_locked_monte_carlo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p_raw_exact_enumeration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distinct_arrangements (arrangements)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p_bh_locked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p_bh_with_exact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significant_locked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significant_with_exact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/>
                <w:sz w:val="18"/>
              </w:rPr>
              <w:t>verdict</w:t>
            </w:r>
          </w:p>
        </w:tc>
      </w:tr>
      <w:tr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SUPPLEMENTARY - not part of the preregistered analysis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Social Network, ancestor_count vs ancestor_affected_count, kill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0.785119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0.007999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0.006926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9240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0.3451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0.3048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no</w:t>
            </w:r>
          </w:p>
        </w:tc>
        <w:tc>
          <w:tcPr>
            <w:tcW w:type="dxa" w:w="1182"/>
          </w:tcPr>
          <w:p>
            <w:pPr>
              <w:spacing w:line="240" w:lineRule="auto"/>
            </w:pPr>
            <w:r/>
            <w:r>
              <w:rPr>
                <w:b w:val="0"/>
                <w:sz w:val="18"/>
              </w:rPr>
              <w:t>unchanged</w:t>
            </w:r>
          </w:p>
        </w:tc>
      </w:tr>
    </w:tbl>
    <w:p>
      <w:r>
        <w:t>Units are given in parentheses in the column headers; columns without a unit are dimensionless or categorical.</w:t>
      </w:r>
    </w:p>
    <w:sectPr w:rsidR="00FC693F" w:rsidRPr="0006063C" w:rsidSect="00034616">
      <w:pgSz w:w="15840" w:h="12240" w:orient="landscape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="Times New Roman" w:hAnsi="Times New Roman" w:cs="Times New Roman" w:eastAsia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="Times New Roman" w:hAnsi="Times New Roman" w:cs="Times New Roman" w:eastAsia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="Times New Roman" w:hAnsi="Times New Roman" w:cs="Times New Roman" w:eastAsia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jc w:val="left"/>
    </w:pPr>
    <w:rPr>
      <w:rFonts w:ascii="Times New Roman" w:hAnsi="Times New Roman" w:cs="Times New Roman" w:eastAsia="Times New Roman"/>
      <w:b/>
      <w:i w:val="0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