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 xml:space="preserve">Table 4. </w:t>
      </w:r>
      <w:r>
        <w:t>The primary predictor-outcome test in each family and architecture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</w:tblGrid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family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architecture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predictor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n_services (services)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rho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ci_lo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ci_hi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ci_method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p_raw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p_method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p_bh_adjusted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significant_q05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confirmatory (kill)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Social Network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ancestor_count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ancestor_affected_count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0.785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BCa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0.0080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10000 random permutations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0.3451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confirmatory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confirmatory (kill)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Hotel Reservation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ancestor_count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ancestor_affected_count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percentile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0.0476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5040 permutations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0.3451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DIRECTIONAL ONLY (saturated)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replication (latency)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Social Network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ancestor_count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ancestor_affected_count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0.785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BCa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0.0076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10000 random permutations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0.1848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replication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replication (latency)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Hotel Reservation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ancestor_count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ancestor_affected_count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percentile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0.0476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5040 permutations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0.2328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DIRECTIONAL ONLY (saturated)</w:t>
            </w:r>
          </w:p>
        </w:tc>
      </w:tr>
    </w:tbl>
    <w:p>
      <w:r>
        <w:t>Units are given in parentheses in the column headers; columns without a unit are dimensionless or categorical.</w:t>
      </w:r>
    </w:p>
    <w:sectPr w:rsidR="00FC693F" w:rsidRPr="0006063C" w:rsidSect="00034616">
      <w:pgSz w:w="15840" w:h="12240" w:orient="landscape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left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jc w:val="left"/>
      <w:outlineLvl w:val="2"/>
    </w:pPr>
    <w:rPr>
      <w:rFonts w:ascii="Times New Roman" w:hAnsi="Times New Roman" w:cs="Times New Roman" w:eastAsia="Times New Roman"/>
      <w:b/>
      <w:bCs/>
      <w:i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  <w:jc w:val="left"/>
    </w:pPr>
    <w:rPr>
      <w:rFonts w:ascii="Times New Roman" w:hAnsi="Times New Roman" w:cs="Times New Roman" w:eastAsia="Times New Rom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