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8. </w:t>
      </w:r>
      <w:r>
        <w:t>Preregistered power table reproduced from the actual analysis 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n_services_actual (services)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n_services_preregistered (services)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n_matches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ancestor_count_levels_actual (levels)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ancestor_count_levels_preregistered (levels)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levels_match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ancestor_count_values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ceiling_rho_untied_outcome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ceiling_rho_preregistered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ceiling_matches_prereg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ceiling_p_exact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ceiling_p_asymptotic_NOT_FOR_INFERENCE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prereg_section_7_2_states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1,2,2,2,2,2,3,3,3,4,4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0.941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0.941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0.0002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0.0000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</w:t>
            </w:r>
          </w:p>
        </w:tc>
      </w:tr>
      <w:tr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1,1,1,1,1,2,2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0.791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0.791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0.0952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0.0343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0.034</w:t>
            </w:r>
          </w:p>
        </w:tc>
        <w:tc>
          <w:tcPr>
            <w:tcW w:type="dxa" w:w="867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held-out, DIRECTIONAL ONLY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left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