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Call-Graph Fan-Out Predict Failure Impact in Microservices? A Preregistered Fault-Injection Study</w:t>
      </w:r>
    </w:p>
    <w:p>
      <w:pPr>
        <w:pStyle w:val="Heading1"/>
      </w:pPr>
      <w:r>
        <w:t>Abstract</w:t>
      </w:r>
    </w:p>
    <w:p>
      <w:r>
        <w:rPr>
          <w:b/>
        </w:rPr>
        <w:t>Background.</w:t>
      </w:r>
      <w:r>
        <w:t xml:space="preserve"> One way to decide which services of a microservice system to harden first is to rank them by their position in the dependency graph. An intuitive version of that ranking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 tested by permutation, with Benjamini-Hochberg correction inside each test family.</w:t>
      </w:r>
    </w:p>
    <w:p>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callers and almost never callees: no descendant of the faulted service degraded in 179 of 180 runs. The service the fan-out metric ranked most critical had exactly one degraded caller in each of its ten runs. Hotel Reservation was saturated, and its ties kept the best attainable p-value at 0.0952, above the usual threshold.</w:t>
      </w:r>
    </w:p>
    <w:p>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logged data.</w:t>
      </w:r>
    </w:p>
    <w:p>
      <w:pPr>
        <w:pStyle w:val="Heading1"/>
      </w:pPr>
      <w:r>
        <w:t>1. Background</w:t>
      </w:r>
    </w:p>
    <w:p>
      <w:r>
        <w:t>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service to find out is expensive. A cheaper option is to read the answer off the dependency graph.</w:t>
      </w:r>
    </w:p>
    <w:p>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gave extra weight to fan-out, the number of services a service calls directly, on the reasoning that a service with many callees cuts many connections when it fails.</w:t>
      </w:r>
    </w:p>
    <w:p>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metric ranks it first of the 11 services we analysed. It has a single caller, and by caller count it ranks last.</w:t>
      </w:r>
    </w:p>
    <w:p>
      <w:r>
        <w:t>We tested the caller-based prediction, and the fan-out metric alongside it, in a preregistered fault-injection campaign (Nosek et al., 2018) on two applications from the DeathStarBench suite (Gan et al., 2019). We formulated the caller-based hypothesis after a pilot study (preregistration, §1.3) and locked it, together with every analysis choice, before any campaign data existed, keeping the fan-out metric as a comparator. The campaign completed all 180 planned runs. Every analysable service received both fault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r>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was negative in every architecture and fault type and was never distinguishable from zero. The plainest result needs no test at all: degradation reached callers and almost never callees, with no descendant of the faulted service degraded in 179 of 180 runs.</w:t>
      </w:r>
    </w:p>
    <w:p>
      <w:r>
        <w:t>This paper makes four contributions. First, it reports a preregistered test of whether caller count, or a fan-out-weighted centrality metric, tracks measured failure impact in two benchmark applications, with its null result and with the power ceiling the design imposed. Second, it documents a measurement pitfall, in which a request's end-to-end latency is charged to every service on its path, and its effect in the pilot, where it flagged services unrelated to the faulted one in the graph. Third, it reports an observation on the direction of propagation that held in both applications and under both fault types. Finally, it provides an artifact in which every number in the paper is produced by a script from logged campaign data.</w:t>
      </w:r>
    </w:p>
    <w:p>
      <w:r>
        <w:t>An earlier analysis from this project was withdrawn after a self-audit found results that had not come from measurement; §7 describes what happened and the safeguards that followed.</w:t>
      </w:r>
    </w:p>
    <w:p>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pPr>
        <w:pStyle w:val="Heading1"/>
      </w:pPr>
      <w:r>
        <w:t>2. Related Work</w:t>
      </w:r>
    </w:p>
    <w:p>
      <w:pPr>
        <w:pStyle w:val="Heading2"/>
      </w:pPr>
      <w:r>
        <w:t>2.1 Graph measures as risk indicators</w:t>
      </w:r>
    </w:p>
    <w:p>
      <w:r>
        <w:t>Centrality has well-established definitions. Freeman's treatment separated several distinct ideas of what makes a node central, some based on a node's direct ties and some on the shortest paths that pass through it, and gave them normalised forms that are still in use (Freeman, 1978). Path-based measures were expensive to compute on large graphs until Brandes published a fast algorithm for betweenness (Brandes, 2001). NetworkX 3.6.1 (https://networkx.org), the graph library we use (Hagberg, Schult &amp; Swart, 2008), implements that algorithm.</w:t>
      </w:r>
    </w:p>
    <w:p>
      <w:r>
        <w:t>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pPr>
        <w:pStyle w:val="Heading2"/>
      </w:pPr>
      <w:r>
        <w:t>2.2 Fault injection and chaos engineering</w:t>
      </w:r>
    </w:p>
    <w:p>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(Heorhiadi et al., 2016). Lineage-driven fault injection takes a different route. It reasons backwards from how a correct result was produced to choose the faults most likely to expose a bug, so that fewer experiments are wasted (Alvaro, Rosen &amp; Hellerstein, 2015).</w:t>
      </w:r>
    </w:p>
    <w:p>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pPr>
        <w:pStyle w:val="Heading2"/>
      </w:pPr>
      <w:r>
        <w:t>2.3 Call graphs from traces</w:t>
      </w:r>
    </w:p>
    <w:p>
      <w:r>
        <w:t>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so a request becomes a tree of spans (Sigelman et al., 2010). Reading parent and child spans from different services gives a caller-callee edge, which is how we built our graphs.</w:t>
      </w:r>
    </w:p>
    <w:p>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pPr>
        <w:pStyle w:val="Heading2"/>
      </w:pPr>
      <w:r>
        <w:t>2.4 Root-cause localisation</w:t>
      </w:r>
    </w:p>
    <w:p>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 it (Zhou et al., 2021).</w:t>
      </w:r>
    </w:p>
    <w:p>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pPr>
        <w:pStyle w:val="Heading2"/>
      </w:pPr>
      <w:r>
        <w:t>2.5 Preregistration and multiple testing</w:t>
      </w:r>
    </w:p>
    <w:p>
      <w:r>
        <w:t>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Hochberg, 1995), applied separately within each family, which keeps the expected proportion of false positives among reported discoveries at the chosen level while giving up less power than a family-wise correction would.</w:t>
      </w:r>
    </w:p>
    <w:p>
      <w:pPr>
        <w:pStyle w:val="Heading1"/>
      </w:pPr>
      <w:r>
        <w:t>3. Methods</w:t>
      </w:r>
    </w:p>
    <w:p>
      <w:pPr>
        <w:pStyle w:val="Heading2"/>
      </w:pPr>
      <w:r>
        <w:t>3.1 Applications and dependency graphs</w:t>
      </w:r>
    </w:p>
    <w:p>
      <w:r>
        <w:t xml:space="preserve">All experiments used two applications from DeathStarBench, Social Network and Hotel Reservation (Gan et al., 2019),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r>
        <w:t>We did not take the dependency graph from documentation. A diagram shows the calls a system can make, and our hypothesis concerns the calls it does make under the workload we perturb. We therefore rebuilt each graph from distributed traces collected with Jaeger 1.62.0 (https://www.jaegertracing.io), adding a directed edge from caller to callee wherever a span from one service is the parent of a span from another (Sigelman et al., 2010). The Social Network graph came from 2,449 traces holding 32,847 spans, and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pPr>
        <w:pStyle w:val="Heading2"/>
      </w:pPr>
      <w:r>
        <w:t>3.2 Analysis set and gateway exclusion</w:t>
      </w:r>
    </w:p>
    <w:p>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qualitative examples. Excluding them leaves 11 services in Social Network and 7 in Hotel Reservation. In Hotel Reservation it also removes the service with the highest fan-out, a scope limit we return to in §6.</w:t>
      </w:r>
    </w:p>
    <w:p>
      <w:pPr>
        <w:pStyle w:val="Heading2"/>
      </w:pPr>
      <w:r>
        <w:t>3.3 Predictors</w:t>
      </w:r>
    </w:p>
    <w:p>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(Freeman, 1978), and betweenness is computed with the algorithm of Brandes as implemented in NetworkX (Brandes, 2001; Hagberg, Schult &amp; Swart, 2008).</w:t>
      </w:r>
    </w:p>
    <w:p>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for tuning the weights on Social Network and freezing them for Hotel Reservation, and that step was never run (Deviation 10). Since that earlier search was tuned in the metric's favour, the departure is an unlikely reason for the metric to show no association.</w:t>
      </w:r>
    </w:p>
    <w:p>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false-discovery-rate correction. That leaves 22 testable pairs of the 24 considered.</w:t>
      </w:r>
    </w:p>
    <w:p>
      <w:pPr>
        <w:pStyle w:val="Heading2"/>
      </w:pPr>
      <w:r>
        <w:t>3.4 Fault injection protocol</w:t>
      </w:r>
    </w:p>
    <w:p>
      <w:r>
        <w:t>Every run follows the same sequence. We start the application and drive it with Locust 2.46.3 (https://locust.io) at 25 concurrent users. Each simulated user waits between 0.5 and 1.5 seconds between requests, and each request is drawn from a fixed weighted mix of tasks. On 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one run from the next.</w:t>
      </w:r>
    </w:p>
    <w:p>
      <w:r>
        <w:t xml:space="preserve">Faults are injected with Pumba (https://github.com/alexei-led/pumba) against the target service's container, using the Docker 29.8.0 client (https://www.docker.com). A kill fault sends SIGKILL, which ends the process without letting it drain connections or answer requests in flight. A latency fault applies a </w:t>
      </w:r>
      <w:r>
        <w:rPr>
          <w:rFonts w:ascii="Courier New" w:hAnsi="Courier New"/>
          <w:sz w:val="22"/>
        </w:rPr>
        <w:t>tc netem</w:t>
      </w:r>
      <w:r>
        <w:t xml:space="preserve"> (https://wiki.linuxfoundation.org/networking/netem)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first to the last end-timestamp of the kept runs, the campaign ran from 2026-09-26 05:02 to 13:35 UTC, 8.5 hours in all, and lost 0 runs to telemetry failure. Earlier records give 9.3 hours because they also count the 3 pre-launch rehearsal runs.</w:t>
      </w:r>
    </w:p>
    <w:p>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pPr>
        <w:pStyle w:val="Heading2"/>
      </w:pPr>
      <w:r>
        <w:t>3.5 Per-service latency and error attribution</w:t>
      </w:r>
    </w:p>
    <w:p>
      <w:r>
        <w:t>The latency definition needed more care than any other part of the method, because the obvious implementation is wrong in a way that is easy to miss.</w:t>
      </w:r>
    </w:p>
    <w:p>
      <w:r>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none of the service-level medians, and the primary result came out identical (Deviation 11). An error counts against a service only when one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artifact.</w:t>
      </w:r>
    </w:p>
    <w:p>
      <w:pPr>
        <w:pStyle w:val="Heading2"/>
      </w:pPr>
      <w:r>
        <w:t>3.6 Blast radius classification</w:t>
      </w:r>
    </w:p>
    <w:p>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"blast radius" would throw away the direction of propagation, which is exactly what the hypothesis is about.</w:t>
      </w:r>
    </w:p>
    <w:p>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pPr>
        <w:pStyle w:val="Heading2"/>
      </w:pPr>
      <w:r>
        <w:t>3.7 Recovery time</w:t>
      </w:r>
    </w:p>
    <w:p>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and an empty or thin window counts as no signal. No probe window may reach back past the fault instant.</w:t>
      </w:r>
    </w:p>
    <w:p>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pPr>
        <w:pStyle w:val="Heading2"/>
      </w:pPr>
      <w:r>
        <w:t>3.8 Statistical plan and preregistration</w:t>
      </w:r>
    </w:p>
    <w:p>
      <w:r>
        <w:t>The analysis was specified and locked before the campaign started (Nosek et al., 2018). The locked document fixes the hypotheses and every analytic choice down to the correction procedure and the reporting commitments. It is supplied as supplementary material, and every later change to it is logged with a date and a note of whether campaign data had been analysed at the time (§7).</w:t>
      </w:r>
    </w:p>
    <w:p>
      <w:r>
        <w:t xml:space="preserve">The hypotheses under test are H1 and H1b. H1 states that </w:t>
      </w:r>
      <w:r>
        <w:rPr>
          <w:rFonts w:ascii="Courier New" w:hAnsi="Courier New"/>
          <w:sz w:val="22"/>
        </w:rPr>
        <w:t>ancestor_affected_count</w:t>
      </w:r>
      <w:r>
        <w:t xml:space="preserve">, the number of degraded transitive callers, is predicted by </w:t>
      </w:r>
      <w:r>
        <w:rPr>
          <w:rFonts w:ascii="Courier New" w:hAnsi="Courier New"/>
          <w:sz w:val="22"/>
        </w:rPr>
        <w:t>ancestor_count</w:t>
      </w:r>
      <w:r>
        <w:t xml:space="preserve">, the number of transitive callers, and not by out-degree or descendant count, nor by the fan-out-corrected hybrid metric. H1b, which is directional, states that the hybrid metric's Spearman ρ against </w:t>
      </w:r>
      <w:r>
        <w:rPr>
          <w:rFonts w:ascii="Courier New" w:hAnsi="Courier New"/>
          <w:sz w:val="22"/>
        </w:rPr>
        <w:t>ancestor_affected_count</w:t>
      </w:r>
      <w:r>
        <w:t xml:space="preserve"> is at most zero.</w:t>
      </w:r>
    </w:p>
    <w:p>
      <w:r>
        <w:t>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 The analysis was developed and verified on Python 3.13.2 (https://www.python.org), with SciPy 1.14.1 (https://scipy.org) supplying ranks and the reference Spearman implementation, and statsmodels 0.14.6 (https://www.statsmodels.org) the Cox and log-rank models.</w:t>
      </w:r>
    </w:p>
    <w:p>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families ask the same question under different fault types and should not dilute each other. For the primary outcome, the replication in fact reuses the same outcome values as the confirmatory family (§4.4).</w:t>
      </w:r>
    </w:p>
    <w:p>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pPr>
        <w:pStyle w:val="Heading1"/>
      </w:pPr>
      <w:r>
        <w:t>4. Results</w:t>
      </w:r>
    </w:p>
    <w:p>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pPr>
        <w:pStyle w:val="Heading2"/>
      </w:pPr>
      <w:r>
        <w:t>4.1 The confirmatory test</w:t>
      </w:r>
    </w:p>
    <w:p>
      <w:r>
        <w:t xml:space="preserve">The primary hypothesis, H1 (§3.8),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r>
        <w:t>At q = 0.05, not one of the 44 confirmatory tests is significant. The primary test has the smallest uncorrected p-value in the family, and its adjusted value is about 6.9 times the threshold.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r>
        <w:t>Two features of the data qualify that estimate further, and they matter more than the p-value.</w:t>
      </w:r>
    </w:p>
    <w:p>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confirm the hypothesis nor disconfirm it.</w:t>
      </w:r>
    </w:p>
    <w:p>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r>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pPr>
        <w:pStyle w:val="Heading2"/>
      </w:pPr>
      <w:r>
        <w:t>4.2 The hybrid criticality metric</w:t>
      </w:r>
    </w:p>
    <w:p>
      <w:r>
        <w:t>The metric this work set out to evaluate combines inbound centrality with a fan-out-scaled outbound term, on the assumption that a service calling many others matters because its failure breaks many downstream links. The preregistered secondary hypothesis, H1b (§3.8), expected this premise to point the wrong way.</w:t>
      </w:r>
    </w:p>
    <w:p>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r>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pPr>
        <w:pStyle w:val="Heading2"/>
      </w:pPr>
      <w:r>
        <w:t>4.3 The motivating case</w:t>
      </w:r>
    </w:p>
    <w:p>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the gateway. The third kill repetition also recorded two degraded descendants, the only such run in the campaign (§4.5). On the preregistered outcome, the service the original metric rates most critical is the lowest in its application. That outcome counts degraded services; it does not measure requests or functionality lost.</w:t>
      </w:r>
    </w:p>
    <w:p>
      <w:r>
        <w:t>This is a worked case and not a general finding. It concerns one service in one application, and the test across all eleven services, which could have generalised it, is the null result reported in §4.1.</w:t>
      </w:r>
    </w:p>
    <w:p>
      <w:pPr>
        <w:pStyle w:val="Heading2"/>
      </w:pPr>
      <w:r>
        <w:t>4.4 Replication under a second fault type</w:t>
      </w:r>
    </w:p>
    <w:p>
      <w:r>
        <w:t>The replication family repeats all 44 tests on latency faults. As in the confirmatory family, no test is significant after correction. The smallest uncorrected p-value is 0.0076, with an adjusted value of 0.1848.</w:t>
      </w:r>
    </w:p>
    <w:p>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two fault types give different values (§4.8).</w:t>
      </w:r>
    </w:p>
    <w:p>
      <w:pPr>
        <w:pStyle w:val="Heading2"/>
      </w:pPr>
      <w:r>
        <w:t>4.5 Direction of propagation</w:t>
      </w:r>
    </w:p>
    <w:p>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pPr>
        <w:pStyle w:val="Heading2"/>
      </w:pPr>
      <w:r>
        <w:t>4.6 Exploratory findings</w:t>
      </w:r>
    </w:p>
    <w:p>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pPr>
        <w:pStyle w:val="Heading2"/>
      </w:pPr>
      <w:r>
        <w:t>4.7 What the design could have detected</w:t>
      </w:r>
    </w:p>
    <w:p>
      <w:r>
        <w:t>Table 8 reproduces the preregistered power analysis against the realised analysis sets. Both sets have the registered size and the registered number of distinct predictor levels, and the ceiling correlations come out exactly as preregistered.</w:t>
      </w:r>
    </w:p>
    <w:p>
      <w:r>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Hotel Reservation the effect is severe. Under the exact permutation test the plan mandates, the best attainable p-value is 0.0952, above the conventional threshold before any correction. The preregistration quoted p = 0.034 for this ceiling, which is the asymptotic value (Deviation 7); the exact value the plan requires is 0.0952. Hotel Reservation could not have reached nominal significance for this predictor whatever outcome we observed. That follows from its tie structure and sample size, not from anything we measured.</w:t>
      </w:r>
    </w:p>
    <w:p>
      <w:pPr>
        <w:pStyle w:val="Heading2"/>
      </w:pPr>
      <w:r>
        <w:t>4.8 Recovery time</w:t>
      </w:r>
    </w:p>
    <w:p>
      <w:r>
        <w:t xml:space="preserve">No run was censored, so under the preregistered rule the Spearman rank test is the primary test for recovery time, and the Cox and log-rank models are secondary and uncorrected (Deviation 6). Table 9 gives all three for both predictors. No recovery-time test is significant after correction in either family. The log-rank test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pPr>
        <w:pStyle w:val="Heading1"/>
      </w:pPr>
      <w:r>
        <w:t>5. Discussion</w:t>
      </w:r>
    </w:p>
    <w:p>
      <w:pPr>
        <w:pStyle w:val="Heading2"/>
      </w:pPr>
      <w:r>
        <w:t>5.1 Why fan-out points the wrong way</w:t>
      </w:r>
    </w:p>
    <w:p>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 support for the fan-out premise. The data cannot show a negative relationship.</w:t>
      </w:r>
    </w:p>
    <w:p>
      <w:pPr>
        <w:pStyle w:val="Heading2"/>
      </w:pPr>
      <w:r>
        <w:t>5.2 A predictor that sits close to its outcome</w:t>
      </w:r>
    </w:p>
    <w:p>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no degradation in any run. We formed that explanation after seeing the data and have not tested it.</w:t>
      </w:r>
    </w:p>
    <w:p>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pPr>
        <w:pStyle w:val="Heading2"/>
      </w:pPr>
      <w:r>
        <w:t>5.3 What users would see</w:t>
      </w:r>
    </w:p>
    <w:p>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r>
        <w:t>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that correction no support.</w:t>
      </w:r>
    </w:p>
    <w:p>
      <w:pPr>
        <w:pStyle w:val="Heading2"/>
      </w:pPr>
      <w:r>
        <w:t>5.4 Lessons about measurement</w:t>
      </w:r>
    </w:p>
    <w:p>
      <w:r>
        <w:t>Two measurement choices mattered more than we expected when we planned the study. The first is where latency is attributed. Charging each trace's end-to-end latency to every service on the trace makes services on a shared path indistinguishable. In the pilot comparison of §3.5 that shortcut flagged five non-faulted services where per-service attribution flagged one. The correction was in place before the campaign began, so we cannot say what an uncorrected campaign would have concluded. The pilot shows how it would have behaved.</w:t>
      </w:r>
    </w:p>
    <w:p>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pPr>
        <w:pStyle w:val="Heading2"/>
      </w:pPr>
      <w:r>
        <w:t>5.5 Implications for practitioners</w:t>
      </w:r>
    </w:p>
    <w:p>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user-visible error rate tracked how much traffic passed through the failed service. A ranking that weights callers by the traffic they carry may therefore be worth testing, as a new preregistered hypothesis. We did not test it.</w:t>
      </w:r>
    </w:p>
    <w:p>
      <w:r>
        <w:t>The applications are benchmarks, and we did not configure or study containment mechanisms such as retries with back-off or circuit breakers, which could change how far a failure travels. Larger applications would also lift the ceiling that eleven services place on any correlation, and a direct check that injected faults have been removed would close the gap described in §6.5.</w:t>
      </w:r>
    </w:p>
    <w:p>
      <w:pPr>
        <w:pStyle w:val="Heading1"/>
      </w:pPr>
      <w:r>
        <w:t>6. Threats to Validity</w:t>
      </w:r>
    </w:p>
    <w:p>
      <w:pPr>
        <w:pStyle w:val="Heading2"/>
      </w:pPr>
      <w:r>
        <w:t>6.1 Sample size and the ceiling on attainable correlation</w:t>
      </w:r>
    </w:p>
    <w:p>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r>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pPr>
        <w:pStyle w:val="Heading2"/>
      </w:pPr>
      <w:r>
        <w:t>6.2 Hotel Reservation could not have reached significance</w:t>
      </w:r>
    </w:p>
    <w:p>
      <w:r>
        <w:t>For Hotel Reservation the problem goes beyond low power. Under the exact permutation test the plan mandates, a perfect result with the observed ties, ρ = 1.0, yields p = 0.0952. That is above the conventional 0.05 threshold before any correction for multiplicity. No outcome we could have measured on this application would have reached nominal significance for this predictor.</w:t>
      </w:r>
    </w:p>
    <w:p>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pPr>
        <w:pStyle w:val="Heading2"/>
      </w:pPr>
      <w:r>
        <w:t>6.3 Two applications from one benchmark suite</w:t>
      </w:r>
    </w:p>
    <w:p>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We did not configure or study containment mechanisms such as retries with back-off or circuit breakers, which could change how far a failure travels. Nothing here describes production behaviour.</w:t>
      </w:r>
    </w:p>
    <w:p>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pPr>
        <w:pStyle w:val="Heading2"/>
      </w:pPr>
      <w:r>
        <w:t>6.4 The primary predictor is close to definitional</w:t>
      </w:r>
    </w:p>
    <w:p>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coincide for ten of the eleven services, the exception being </w:t>
      </w:r>
      <w:r>
        <w:rPr>
          <w:rFonts w:ascii="Courier New" w:hAnsi="Courier New"/>
          <w:sz w:val="22"/>
        </w:rPr>
        <w:t>user-service</w:t>
      </w:r>
      <w:r>
        <w:t>, which registers 2 of its 4 ancestors in every kill repetition.</w:t>
      </w:r>
    </w:p>
    <w:p>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pPr>
        <w:pStyle w:val="Heading2"/>
      </w:pPr>
      <w:r>
        <w:t>6.5 Fault removal is inferred, not verified</w:t>
      </w:r>
    </w:p>
    <w:p>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 its fault.</w:t>
      </w:r>
    </w:p>
    <w:p>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pPr>
        <w:pStyle w:val="Heading2"/>
      </w:pPr>
      <w:r>
        <w:t>6.6 The dependency graph depends on the workload</w:t>
      </w:r>
    </w:p>
    <w:p>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documentation does not list.</w:t>
      </w:r>
    </w:p>
    <w:p>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pPr>
        <w:pStyle w:val="Heading2"/>
      </w:pPr>
      <w:r>
        <w:t>6.7 Scope of the measurement</w:t>
      </w:r>
    </w:p>
    <w:p>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pPr>
        <w:pStyle w:val="Heading2"/>
      </w:pPr>
      <w:r>
        <w:t>6.8 Social Network recovery times were not replayed</w:t>
      </w:r>
    </w:p>
    <w:p>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pPr>
        <w:pStyle w:val="Heading1"/>
      </w:pPr>
      <w:r>
        <w:t>7. Audit and Deviations from Preregistration</w:t>
      </w:r>
    </w:p>
    <w:p>
      <w:pPr>
        <w:pStyle w:val="Heading2"/>
      </w:pPr>
      <w:r>
        <w:t>7.1 Why this study was rebuilt</w:t>
      </w:r>
    </w:p>
    <w:p>
      <w:r>
        <w:t>An earlier version of this work went to project review. A later self-audit of its pipeline found that some reported results had not come from measurement. Impact values and recovery times presented as experimental findings were random values drawn from ranges selected according to each service's centrality rank, so the metric agreed with them by construction. The metric weights behind the headline correlation had also been chosen by a grid search that maximised that same correlation on the same outcome, with no held-out data. A result produced that way is the best of many tries reported as one test.</w:t>
      </w:r>
    </w:p>
    <w:p>
      <w:r>
        <w:t>We withdrew those results in full. The affected scripts and outputs were moved, not deleted, into a quarantine directory that now holds 13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analysis was also locked before the campaign, and every later change is logged with its date and with whether campaign data had been analysed by then.</w:t>
      </w:r>
    </w:p>
    <w:p>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pPr>
        <w:pStyle w:val="Heading2"/>
      </w:pPr>
      <w:r>
        <w:t>7.2 Deviations from the locked specification</w:t>
      </w:r>
    </w:p>
    <w:p>
      <w:r>
        <w:t>Table 10 lists twelve deviations from the locked plan. Together they invalidated 17 runs, each of which was quarantined and collected again in its own cell, which is why the final dataset is complete and balanced at 180 runs. Nine of the twelve invalidated no data. The three that did are deviation 1 (3 runs), deviation 2 (3 runs) and deviation 4 (11 runs). We describe them in the order they occurred, because timing determines how far each could have shaped a result.</w:t>
      </w:r>
    </w:p>
    <w:p>
      <w:r>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as degraded. We added the 1.0 ms floor described in §3.6 and discarded the three rehearsal runs.</w:t>
      </w:r>
    </w:p>
    <w:p>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r>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 to the reference implementation, including on the tie-heavy inputs this dataset contains.</w:t>
      </w:r>
    </w:p>
    <w:p>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only in a supplementary table (Table 3), and the locked value remains the preregistered one.</w:t>
      </w:r>
    </w:p>
    <w:p>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them server spans (§3.5). Replaying on server spans alone, after the fact, changed the outcome of 2 of 110 runs but no service-level median, and the primary result stayed the same; recovery times could not be replayed (§6.8). 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pPr>
        <w:pStyle w:val="Heading2"/>
      </w:pPr>
      <w:r>
        <w:t>7.3 Verification</w:t>
      </w:r>
    </w:p>
    <w:p>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 faithful to its data. Whether the definitions in §3.5 and §3.6 are the right ones is a question no recomputation can settle.</w:t>
      </w:r>
    </w:p>
    <w:p>
      <w:pPr>
        <w:pStyle w:val="Heading1"/>
      </w:pPr>
      <w:r>
        <w:t>8. Conclusions</w:t>
      </w:r>
    </w:p>
    <w:p>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pPr>
        <w:pStyle w:val="Heading1"/>
      </w:pPr>
      <w:r>
        <w:t>Funding</w:t>
      </w:r>
    </w:p>
    <w:p>
      <w:r>
        <w:t>The authors received no funding for this work.</w:t>
      </w:r>
    </w:p>
    <w:p>
      <w:pPr>
        <w:pStyle w:val="Heading1"/>
      </w:pPr>
      <w:r>
        <w:t>Competing Interests</w:t>
      </w:r>
    </w:p>
    <w:p>
      <w:r>
        <w:t>The authors declare that they have no competing interests.</w:t>
      </w:r>
    </w:p>
    <w:p>
      <w:pPr>
        <w:pStyle w:val="Heading1"/>
      </w:pPr>
      <w:r>
        <w:t>Data Availability</w:t>
      </w:r>
    </w:p>
    <w:p>
      <w:r>
        <w:t xml:space="preserve">The code and the raw campaign data, including persisted trace spans and the reconstructed dependency graphs, are available together with the analysis outputs at https://github.com/Daxx133-bot/proj-1-updated and will be archived at Zenodo (DOI: [TO FILL]). The experiments used DeathStarBench at upstream commit 6ecb097. The Locust workloads are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pPr>
        <w:pStyle w:val="Heading1"/>
      </w:pPr>
      <w:r>
        <w:t>AI-Use Statement</w:t>
      </w:r>
    </w:p>
    <w:p>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Hagberg AA, Schult DA, Swart PJ. 2008. Exploring Network Structure, Dynamics, and Function using NetworkX. Proceedings of the 7th Python in Science Conference (SciPy2008), G. Varoquaux, T. Vaught, J. Millman (Eds.), Pasadena, CA, USA:11-15. Available at http://conference.scipy.org/proceedings/SciPy2008/paper_2/.</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jc w:val="left"/>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