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7. </w:t>
      </w:r>
      <w:r>
        <w:t>H1b: hybrid_criticality vs ancestor_affected_count in all four architecture-by-fault cells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4"/>
        <w:gridCol w:w="1084"/>
        <w:gridCol w:w="1084"/>
        <w:gridCol w:w="1084"/>
        <w:gridCol w:w="1084"/>
        <w:gridCol w:w="1084"/>
        <w:gridCol w:w="1084"/>
        <w:gridCol w:w="1084"/>
        <w:gridCol w:w="1084"/>
        <w:gridCol w:w="1084"/>
        <w:gridCol w:w="1084"/>
        <w:gridCol w:w="1084"/>
      </w:tblGrid>
      <w:tr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family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fault_type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architecture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n_services (services)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rho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ci_lo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ci_hi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p_raw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p_bh_adjusted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rho_le_zero_as_preregistered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distinguishable_from_zero_after_fdr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verdict</w:t>
            </w:r>
          </w:p>
        </w:tc>
      </w:tr>
      <w:tr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-0.144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-0.810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0.698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0.6688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0.9925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directionally anti-predictive but NOT distinguishable from zero after FDR</w:t>
            </w:r>
          </w:p>
        </w:tc>
      </w:tr>
      <w:tr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-0.258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-0.730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-0.167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directionally anti-predictive but NOT distinguishable from zero after FDR</w:t>
            </w:r>
          </w:p>
        </w:tc>
      </w:tr>
      <w:tr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-0.144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-0.805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0.713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0.6656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0.9152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directionally anti-predictive but NOT distinguishable from zero after FDR</w:t>
            </w:r>
          </w:p>
        </w:tc>
      </w:tr>
      <w:tr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-0.258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-0.750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-0.167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1084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directionally anti-predictive but NOT distinguishable from zero after FDR</w:t>
            </w:r>
          </w:p>
        </w:tc>
      </w:tr>
    </w:tbl>
    <w:p>
      <w:r>
        <w:t>Units are given in parentheses in the column headers; columns without a unit are dimensionless or categorical.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left"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