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Does Call-Graph Fan-Out Predict Failure Impact in Microservices? A Preregistered Fault-Injection Study</w:t>
      </w:r>
    </w:p>
    <w:p>
      <w:r>
        <w:t>Dakshrajsinh Tank</w:t>
      </w:r>
      <w:r>
        <w:rPr>
          <w:vertAlign w:val="superscript"/>
        </w:rPr>
        <w:t>1</w:t>
      </w:r>
      <w:r>
        <w:t>, Badrinath N</w:t>
      </w:r>
      <w:r>
        <w:rPr>
          <w:vertAlign w:val="superscript"/>
        </w:rPr>
        <w:t>1</w:t>
      </w:r>
    </w:p>
    <w:p>
      <w:r>
        <w:rPr>
          <w:vertAlign w:val="superscript"/>
        </w:rPr>
        <w:t>1</w:t>
      </w:r>
      <w:r>
        <w:t xml:space="preserve"> School of Computer Science and Engineering (SCOPE), Vellore Institute of Technology, Vellore, Tamil Nadu 632014, India</w:t>
      </w:r>
    </w:p>
    <w:p>
      <w:r>
        <w:t>Corresponding author: [TO FILL: corresponding author name and email]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left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jc w:val="left"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