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9. </w:t>
      </w:r>
      <w:r>
        <w:t>Recovery time: Spearman (primary, BH-corrected within family), Cox and log-rank (secondary, uncorrected) for ancestor_count and hybrid_criticality. Cox hazard ratios are per one-unit increase of the predictor, at run level with SEs clustered by service and at service level; hybrid_criticality spans less than one unit, so its hazard ratios extrapolate beyond the observed range. Log-rank is undefined where the predictor has fewer than two distinct terciles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family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spearman_rho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p_raw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p_bh_adjusted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cox_run_hr (per unit of predictor)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cox_run_ci_95 (per unit of predictor)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cox_run_p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cox_service_hr (per unit of predictor)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cox_service_ci_95 (per unit of predictor)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cox_service_p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logrank_p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 (kill)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ancestor_count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-0.356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0.2807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0.9264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1.173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0.876 to 1.570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0.2836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1.479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0.688 to 3.181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0.3163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0.5154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 (kill)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hybrid_criticality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0.098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0.7699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0.9925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0.010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0.002 to 0.043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&lt;0.0001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1.408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5.49e-04 to 3.61e+03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0.9319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0.2099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 (kill)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ancestor_count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-0.158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0.8571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0.9925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1.522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1.067 to 2.171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0.0204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2.179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0.302 to 15.722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0.4399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undefined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 (kill)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hybrid_criticality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0.204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0.8571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0.9925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0.147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8.91e-04 to 24.134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0.4609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not estimable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not estimable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not estimable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undefined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 (latency)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ancestor_count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-0.060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0.8647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0.998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0.816 to 1.221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0.9859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1.184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0.627 to 2.236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0.6018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0.5561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 (latency)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hybrid_criticality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0.767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0.0084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0.1848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0.045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0.002 to 1.163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0.0616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2.49e-04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8.19e-10 to 75.493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0.1975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0.1099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 (latency)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ancestor_count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-0.158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0.8571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0.882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0.578 to 1.346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0.5609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2.179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0.302 to 15.722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0.4399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undefined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 (latency)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hybrid_criticality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0.408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0.5714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0.8111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6.26e-04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1.07e-06 to 0.368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0.0234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not estimable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not estimable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not estimable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undefined</w:t>
            </w:r>
          </w:p>
        </w:tc>
      </w:tr>
    </w:tbl>
    <w:p>
      <w:r>
        <w:t>Units are given in parentheses in the column headers; columns without a unit are dimensionless or categorical.</w:t>
      </w:r>
    </w:p>
    <w:p>
      <w:r>
        <w:t>Not estimable: the Cox fit did not converge or showed separation because the predictor takes few distinct values; raw estimates are in the supplementary file.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