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1. </w:t>
      </w:r>
      <w:r>
        <w:t>Social Network: graph predictors per service with ancestor_count and the measured service-median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ancestor_count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descendant_count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in_degree_raw (callers)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out_degree_raw (callees)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hybrid_criticality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betweenness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closeness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pagerank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eigenvector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measured_ancestor_affected_kill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measured_ancestor_affected_latency (services)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T_rec_kill_s (s)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/>
                <w:sz w:val="18"/>
              </w:rPr>
              <w:t>T_rec_latency_s (s)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post-storage-service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0.109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0.291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0.157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15.45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0.242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0.145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14.52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social-graph-service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0.205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14.99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15.42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url-shorten-service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16.05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15.23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user-mention-service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0.080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14.51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14.45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home-timeline-service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0.012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15.38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15.57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media-service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16.06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14.83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text-service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0.064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15.31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14.39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unique-id-service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0.036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0.121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14.15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14.64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user-timeline-service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0.079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0.182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0.066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15.73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14.88</w:t>
            </w:r>
          </w:p>
        </w:tc>
      </w:tr>
      <w:tr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compose-post-service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0.302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0.053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0.091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15.55</w:t>
            </w:r>
          </w:p>
        </w:tc>
        <w:tc>
          <w:tcPr>
            <w:tcW w:type="dxa" w:w="929"/>
          </w:tcPr>
          <w:p>
            <w:pPr>
              <w:spacing w:line="240" w:lineRule="auto"/>
            </w:pPr>
            <w:r/>
            <w:r>
              <w:rPr>
                <w:b w:val="0"/>
                <w:sz w:val="18"/>
              </w:rPr>
              <w:t>15.56</w:t>
            </w:r>
          </w:p>
        </w:tc>
      </w:tr>
    </w:tbl>
    <w:p>
      <w:r>
        <w:t>Units are given in parentheses in the column headers; columns without a unit are dimensionless or categorical.</w:t>
      </w:r>
    </w:p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left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