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rPr>
        <w:t>Background.</w:t>
      </w:r>
      <w:r>
        <w:t xml:space="preserve"> </w:t>
      </w:r>
      <w:r>
        <w:rPr>
          <w:b/>
          <w:color w:val="C00000"/>
        </w:rPr>
        <w:t>[TO WRITE]</w:t>
      </w:r>
    </w:p>
    <w:p>
      <w:r>
        <w:rPr>
          <w:b/>
        </w:rPr>
        <w:t>Methods.</w:t>
      </w:r>
      <w:r>
        <w:t xml:space="preserve"> </w:t>
      </w:r>
      <w:r>
        <w:rPr>
          <w:b/>
          <w:color w:val="C00000"/>
        </w:rPr>
        <w:t>[TO WRITE]</w:t>
      </w:r>
    </w:p>
    <w:p>
      <w:r>
        <w:rPr>
          <w:b/>
        </w:rPr>
        <w:t>Results.</w:t>
      </w:r>
      <w:r>
        <w:t xml:space="preserve"> </w:t>
      </w:r>
      <w:r>
        <w:rPr>
          <w:b/>
          <w:color w:val="C00000"/>
        </w:rPr>
        <w:t>[TO WRITE]</w:t>
      </w:r>
    </w:p>
    <w:p>
      <w:r>
        <w:rPr>
          <w:b/>
        </w:rPr>
        <w:t>Conclusions.</w:t>
      </w:r>
      <w:r>
        <w:t xml:space="preserve"> </w:t>
      </w:r>
      <w:r>
        <w:rPr>
          <w:b/>
          <w:color w:val="C00000"/>
        </w:rPr>
        <w:t>[TO WRITE]</w:t>
      </w:r>
    </w:p>
    <w:p>
      <w:pPr>
        <w:pStyle w:val="Heading1"/>
      </w:pPr>
      <w:r>
        <w:t>1. Background</w:t>
      </w:r>
    </w:p>
    <w:p>
      <w:r>
        <w:rPr>
          <w:b/>
          <w:color w:val="C00000"/>
        </w:rPr>
        <w:t>[TO WRITE]</w:t>
      </w:r>
    </w:p>
    <w:p>
      <w:pPr>
        <w:pStyle w:val="Heading1"/>
      </w:pPr>
      <w:r>
        <w:t>2. Related Work</w:t>
      </w:r>
    </w:p>
    <w:p>
      <w:r>
        <w:rPr>
          <w:b/>
          <w:color w:val="C00000"/>
        </w:rPr>
        <w:t>[TO WRITE]</w:t>
      </w:r>
    </w:p>
    <w:p>
      <w:pPr>
        <w:pStyle w:val="Heading1"/>
      </w:pPr>
      <w:r>
        <w:t>3. Methods</w:t>
      </w:r>
    </w:p>
    <w:p>
      <w:pPr>
        <w:pStyle w:val="Heading2"/>
      </w:pPr>
      <w:r>
        <w:t>3.1 Benchmark applications and dependency graph reconstruction</w:t>
      </w:r>
    </w:p>
    <w:p>
      <w:r>
        <w:t xml:space="preserve">We ran all experiments on two applications from the DeathStarBench suite, Social Network and Hotel Reservation, built from a single pinned upstream commit </w:t>
      </w:r>
      <w:r>
        <w:rPr>
          <w:rFonts w:ascii="Courier New" w:hAnsi="Courier New"/>
          <w:sz w:val="22"/>
        </w:rPr>
        <w:t>6ecb097</w:t>
      </w:r>
      <w:r>
        <w:t xml:space="preserve"> so that topology, instrumentation and service versions are identical across every run reported here. The two differ in ways that matter for the question we are asking. Social Network is deep and fans out widely from a single composition service, while Hotel Reservation is shallow and almost star-shaped around its gateway. Running both lets us ask whether any relationship we observe survives a change of shape, and, as it turns out, the difference between them determines what each application is capable of showing at all.</w:t>
      </w:r>
    </w:p>
    <w:p>
      <w:r>
        <w:t xml:space="preserve">We did not take the service dependency graph from documentation. Published architecture diagrams describe the calls a system can make, whereas the quantity our hypothesis concerns is the set of calls a system does make under the workload being perturbed. We therefore reconstructed each graph from distributed traces, following parent–child span relationships through Jaeger and emitting a directed edge from caller to callee wherever one service's span is the parent of another's. Social Network's graph was built from 2,449 traces containing 32,847 spans, and Hotel Reservation's from 3,446 traces containing 31,155 spans. The resulting graphs have 12 and 8 service nodes, with 17 and 7 observed call edges respectively. Both graphs are frozen as </w:t>
      </w:r>
      <w:r>
        <w:rPr>
          <w:rFonts w:ascii="Courier New" w:hAnsi="Courier New"/>
          <w:sz w:val="22"/>
        </w:rPr>
        <w:t>data/graphs/{sn,hr}_CANONICAL.json</w:t>
      </w:r>
      <w:r>
        <w:t xml:space="preserve"> and every downstream predictor is computed from those files, so a change in workload cannot silently alter a structural quantity after the fact.</w:t>
      </w:r>
    </w:p>
    <w:p>
      <w:r>
        <w:t xml:space="preserve">Reconstruction from traces makes the graph an empirical object, and it is worth being precise about how the reconstructed Hotel Reservation graph compares to the architecture the benchmark documents. Of the 8 call edges implied by the published service tree, our traces recover 6. Two are never observed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in the traces that the documented tree does not list, </w:t>
      </w:r>
      <w:r>
        <w:rPr>
          <w:rFonts w:ascii="Courier New" w:hAnsi="Courier New"/>
          <w:sz w:val="22"/>
        </w:rPr>
        <w:t>frontend→profile</w:t>
      </w:r>
      <w:r>
        <w:t xml:space="preserve">, and we infer that it accounts for the missing </w:t>
      </w:r>
      <w:r>
        <w:rPr>
          <w:rFonts w:ascii="Courier New" w:hAnsi="Courier New"/>
          <w:sz w:val="22"/>
        </w:rPr>
        <w:t>search→profile</w:t>
      </w:r>
      <w:r>
        <w:t xml:space="preserve">, with profile lookups in the deployed workload issued by the gateway directly rather than routed through search. The consequence for our analysis is concrete rather than cosmetic. The </w:t>
      </w:r>
      <w:r>
        <w:rPr>
          <w:rFonts w:ascii="Courier New" w:hAnsi="Courier New"/>
          <w:sz w:val="22"/>
        </w:rPr>
        <w:t>user</w:t>
      </w:r>
      <w:r>
        <w:t xml:space="preserve"> service has exactly one observed caller, </w:t>
      </w:r>
      <w:r>
        <w:rPr>
          <w:rFonts w:ascii="Courier New" w:hAnsi="Courier New"/>
          <w:sz w:val="22"/>
        </w:rPr>
        <w:t>frontend</w:t>
      </w:r>
      <w:r>
        <w:t xml:space="preserve">, not the two the documented architecture implies, and so its ancestor count is 1 rather than 2. Had we used the documented graph, the primary predictor would have carried a value for </w:t>
      </w:r>
      <w:r>
        <w:rPr>
          <w:rFonts w:ascii="Courier New" w:hAnsi="Courier New"/>
          <w:sz w:val="22"/>
        </w:rPr>
        <w:t>user</w:t>
      </w:r>
      <w:r>
        <w:t xml:space="preserve"> that no traffic in our experiments could ever have produced. We treat the divergence as a property of the workload and report it, rather than patching the observed graph toward the diagram.</w:t>
      </w:r>
    </w:p>
    <w:p>
      <w:pPr>
        <w:pStyle w:val="Heading2"/>
      </w:pPr>
      <w:r>
        <w:t>3.2 Analysis set and gateway exclusion</w:t>
      </w:r>
    </w:p>
    <w:p>
      <w:r>
        <w:t xml:space="preserve">We exclude from all correlation analysis any service with in-degree zero in the reconstructed graph, which in practice means each application's single entry point: </w:t>
      </w:r>
      <w:r>
        <w:rPr>
          <w:rFonts w:ascii="Courier New" w:hAnsi="Courier New"/>
          <w:sz w:val="22"/>
        </w:rPr>
        <w:t>nginx-web-server</w:t>
      </w:r>
      <w:r>
        <w:t xml:space="preserve"> in Social Network and </w:t>
      </w:r>
      <w:r>
        <w:rPr>
          <w:rFonts w:ascii="Courier New" w:hAnsi="Courier New"/>
          <w:sz w:val="22"/>
        </w:rPr>
        <w:t>frontend</w:t>
      </w:r>
      <w:r>
        <w:t xml:space="preserve"> in Hotel Reservation. The exclusion is forced by the design of the study rather than chosen for convenience. Such a service receives traffic only from the external load generator, which is not a node in the graph, so its ancestor count is zero by construction and it cannot vary on the primary predictor. Killing it also removes the application's only ingress, which leaves the outcome we are trying to measure undefined rather than merely small. Both gateways remain in the paper as labelled qualitative examples. The exclusion leaves 11 services in Social Network and 7 in Hotel Reservation, and it costs Hotel Reservation its highest-fan-out service, which we note as a scope limitation in §6 rather than as a finding.</w:t>
      </w:r>
    </w:p>
    <w:p>
      <w:pPr>
        <w:pStyle w:val="Heading2"/>
      </w:pPr>
      <w:r>
        <w:t>3.3 Predictors</w:t>
      </w:r>
    </w:p>
    <w:p>
      <w:r>
        <w:t xml:space="preserve">The primary predictor is </w:t>
      </w:r>
      <w:r>
        <w:rPr>
          <w:rFonts w:ascii="Courier New" w:hAnsi="Courier New"/>
          <w:sz w:val="22"/>
        </w:rPr>
        <w:t>ancestor_count</w:t>
      </w:r>
      <w:r>
        <w:t>, the number of services that can reach a given service transitively in the dependency graph, that is, its transitive callers. Eleven further graph measures are retained as comparators: the hybrid criticality metric described below, degree, in-degree, out-degree, betweenness, closeness, eigenvector, PageRank, a composite rank, descendant count, and dominator subtree size. None may be dropped after results are seen, and none was.</w:t>
      </w:r>
    </w:p>
    <w:p>
      <w:r>
        <w:t>The hybrid criticality metric is the measure this work set out to evaluate. It combines in-degree centrality, out-degree centrality scaled by a linear fan-out weight, and directed betweenness. Its weights are 0.4 on the inbound channel, 0.4 on the fan-out-scaled outbound channel and 0.2 on betweenness. These weights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Two predictor–architecture pairs are declared degenerate in advance because the predictor is constant across an architecture's analysis set, which leaves Spearman's ρ undefined. Eigenvector centrality is 0 for every Social Network service in the analysis set, the reconstructed graph being acyclic, and in-degree is identical for every Hotel Reservation service, each having exactly one caller. We exclude both pairs from the test family rather than entering them as zeros, since a degeneracy of the graph is not a null result and should not dilute a false-discovery-rate correction. That leaves 22 testable pairs of the 24 considered.</w:t>
      </w:r>
    </w:p>
    <w:p>
      <w:pPr>
        <w:pStyle w:val="Heading2"/>
      </w:pPr>
      <w:r>
        <w:t>3.4 Fault injection protocol</w:t>
      </w:r>
    </w:p>
    <w:p>
      <w:r>
        <w:t xml:space="preserve">Each run follows a fixed sequence. We start the application and apply a synthetic workload generated by Locust with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We allow 60 seconds of warm-up so that caches and connection pools reach steady state. We then record a 60-second fault-free baseline, whose length is identical in all 180 runs. The fault is injected and held for 30 seconds, after which we probe for recovery, and each run ends with a 20-second cooldown before the next begins.</w:t>
      </w:r>
    </w:p>
    <w:p>
      <w:r>
        <w:t xml:space="preserve">We use two fault types, injected with Pumba against the target service's container. A kill fault sends SIGKILL, which removes the process without allowing it to drain connections or respond to in-flight requests. A latency fault applies a </w:t>
      </w:r>
      <w:r>
        <w:rPr>
          <w:rFonts w:ascii="Courier New" w:hAnsi="Courier New"/>
          <w:sz w:val="22"/>
        </w:rPr>
        <w:t>tc netem</w:t>
      </w:r>
      <w:r>
        <w:t xml:space="preserve"> rule adding 500 ms of delay with 100 ms of jitter to the container's network interface. The two probe different failure modes deliberately: a kill tests what happens when a dependency vanishes, and a delay tests what happens when it remains available but stops being timely. Because </w:t>
      </w:r>
      <w:r>
        <w:rPr>
          <w:rFonts w:ascii="Courier New" w:hAnsi="Courier New"/>
          <w:sz w:val="22"/>
        </w:rPr>
        <w:t>pumba netem</w:t>
      </w:r>
      <w:r>
        <w:t xml:space="preserve"> blocks for the whole of its declared duration, it is launched as a separate process and the runner waits for that process to exit before recording the instant of fault removal; running it synchronously would let the rule expire before the measurement window even opened.</w:t>
      </w:r>
    </w:p>
    <w:p>
      <w:r>
        <w:t>The design is fully crossed and balanced. Every service in each analysis set receives every fault type, with 5 repetitions of each combination, giving 36 cells and 180 runs in total, of which 110 are Social Network and 70 Hotel Reservation. Balance is enforced rather than hoped for: a run whose telemetry is incomplete is discarded and re-run in the same cell, never topped up elsewhere and never analysed as zeros. In the same way, 17 runs invalidated by deviations 1, 2 and 4 (3, 3 and 11 runs respectively; §7.2) were re-collected in their own cells. Measured from the first to the last end-timestamp of the kept runs, the campaign ran from 2026-09-26 05:02 to 13:35 UTC, a span of 8.5 hours, with 0 runs lost to telemetry failure. The 9.3-hour figure in earlier records also includes the 3 pre-launch rehearsal runs.</w:t>
      </w:r>
    </w:p>
    <w:p>
      <w:r>
        <w:t>We persist the raw spans for both the baseline and the fault window of every run. This costs little and buys a great deal: any subsequent change to a metric definition can be replayed against the original bytes instead of requiring the experiment to be repeated, and a definitional claim can be checked rather than trusted. Several of the analyses in this paper depend on that capability.</w:t>
      </w:r>
    </w:p>
    <w:p>
      <w:pPr>
        <w:pStyle w:val="Heading2"/>
      </w:pPr>
      <w:r>
        <w:t>3.5 Per-service latency and error attribution</w:t>
      </w:r>
    </w:p>
    <w:p>
      <w:r>
        <w:t>The definition of a service's latency is the part of this method that required the most care, and we state it precisely because the natural implementation is wrong in a way that is easy to miss.</w:t>
      </w:r>
    </w:p>
    <w:p>
      <w:r>
        <w:t xml:space="preserve">A distributed trace records a whole request path. Querying a tracing backend for traces involving service </w:t>
      </w:r>
      <w:r>
        <w:rPr>
          <w:i/>
        </w:rPr>
        <w:t>X</w:t>
      </w:r>
      <w:r>
        <w:t xml:space="preserve"> returns every trace that touches </w:t>
      </w:r>
      <w:r>
        <w:rPr>
          <w:i/>
        </w:rPr>
        <w:t>X</w:t>
      </w:r>
      <w:r>
        <w:t xml:space="preserve">, and each such trace carries a root span whose duration is the end-to-end latency of the entire request. If one computes percentiles over those root-span durations and labels the result "the p95 of </w:t>
      </w:r>
      <w:r>
        <w:rPr>
          <w:i/>
        </w:rPr>
        <w:t>X</w:t>
      </w:r>
      <w:r>
        <w:t xml:space="preserve">", what has actually been computed is the end-to-end p95 of </w:t>
      </w:r>
      <w:r>
        <w:rPr>
          <w:i/>
        </w:rPr>
        <w:t>X</w:t>
      </w:r>
      <w:r>
        <w:t>'s trace cohort. Every service on a given request path is then assigned the same number. Error rate admits the identical defect: if a trace counts as failed whenever any span within it carries an error, a failure anywhere on a path marks every service on that path as failing.</w:t>
      </w:r>
    </w:p>
    <w:p>
      <w:r>
        <w:t xml:space="preserve">The consequence is not a matter of precision but of identifiability. Services that share a request path become indistinguishable, and any threshold applied to such a measure will flag them as a block. Figure 1 shows what this does in practice on Hotel Reservation under a latency fault injected into </w:t>
      </w:r>
      <w:r>
        <w:rPr>
          <w:rFonts w:ascii="Courier New" w:hAnsi="Courier New"/>
          <w:sz w:val="22"/>
        </w:rPr>
        <w:t>search</w:t>
      </w:r>
      <w:r>
        <w:t xml:space="preserve">. The figure uses two pilot method-validation runs, which are not among the 180 campaign runs, and its end-to-end-scope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applying a multiplicative degradation threshold flags five services that were not faulted. Two of them,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define a service's latency distribution over the server spans that service itself emits. On Hotel Reservation, whose spans carry a span-kind tag, client spans are excluded: a client span emitted by </w:t>
      </w:r>
      <w:r>
        <w:rPr>
          <w:i/>
        </w:rPr>
        <w:t>X</w:t>
      </w:r>
      <w:r>
        <w:t xml:space="preserve"> measures a callee's latency as observed by </w:t>
      </w:r>
      <w:r>
        <w:rPr>
          <w:i/>
        </w:rPr>
        <w:t>X</w:t>
      </w:r>
      <w:r>
        <w:t xml:space="preserve">, so counting it would re-attribute a downstream service's slowness to </w:t>
      </w:r>
      <w:r>
        <w:rPr>
          <w:i/>
        </w:rPr>
        <w:t>X</w:t>
      </w:r>
      <w:r>
        <w:t xml:space="preserve"> and reintroduce the same confusion through a narrower channel. Social Network's spans carry no span-kind tag, so for Social Network all of a service's spans were used. This applied to 2,598 of 2,598 Social Network samples, and about half of the spans used, 49.7%, are client spans. The run records nonetheless label these samples as server spans. A post-hoc replay restricted to server spans changed 2 of 110 run-level outcomes and no service-level median, and left the primary result identical (Deviation 11). Error rate is attributed to the service whose own spans carry the error tag, with the denominator being the traces in which that service actually appears. End-to-end root-span percentiles are retained for the gateway alone, where they are the correct quantity, and are labelled with an explicit scope tag in the returned record so that the two definitions cannot be conflated downstream.</w:t>
      </w:r>
    </w:p>
    <w:p>
      <w:r>
        <w:t>Under the corrected scope, the same Hotel Reservation runs flag one non-faulted service rather than five, and that service is the faulted service's ancestor. The services that drop out do not merely fall below the threshold; their own service time is flat, and in one case slightly lower, while the end-to-end number they had been inheriting moves by more than two orders of magnitude. This distinguishes a measurement artifact from genuine shared-resource contention, which would be expected to raise a service's own service time rather than leave it unchanged or make it slightly lower.</w:t>
      </w:r>
    </w:p>
    <w:p>
      <w:pPr>
        <w:pStyle w:val="Heading2"/>
      </w:pPr>
      <w:r>
        <w:t>3.6 Blast radius classification</w:t>
      </w:r>
    </w:p>
    <w:p>
      <w:r>
        <w:t>For each run we identify the set of services degraded during the fault window, then classify each degraded service by its graph relation to the faulted node. A service is counted as degraded when either of two conditions holds on its own spans. The latency condition requires both that its fault-window p95 exceed 2.0× its baseline p95 and that the absolute increase be at least 1.0 ms. The error condition requires its error rate to rise by at least 0.05 in absolute terms.</w:t>
      </w:r>
    </w:p>
    <w:p>
      <w:r>
        <w:t>The absolute floor alongside the multiplicative threshold is necessary once percentiles are genuinely per-service. Several services in these applications have baseline p95 values in the hundredths of a millisecond, and at that scale a purely multiplicative rule responds to scheduler noise: a service whose p95 rises threefold between two consecutive fault-free windows satisfies a 2× test while representing no physically meaningful change. Both conditions are evaluated at full floating-point precision, with rounding applied only for display. Rounding percentiles to two decimals before the comparison would put the quantisation step at 0.01 ms, which is comparable to the entire signal for the fastest services. The latency rule is implemented once and shared by the run executor, the recovery probe and the offline replay tool. The error-rate rule is repeated in three modules with the same value.</w:t>
      </w:r>
    </w:p>
    <w:p>
      <w:r>
        <w:t xml:space="preserve">Degraded services are then separated into three counts that are recorded and analysed separately and never summed.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rather than dependency propagation. Collapsing these into a single "blast radius" would discard exactly the distinction the hypothesis turns on, since the direction of propagation is what is being tested.</w:t>
      </w:r>
    </w:p>
    <w:p>
      <w:r>
        <w:t>Which indicator carries signal depends on the fault type, and we fix the pairing in advance rather than choosing per result. Under kill faults, error rate is the primary indicator and Δp95 is not used. In the pilot, across 10 kill runs, the sign of kill-fault Δp95 split by application: it was negative in every Hotel Reservation run, where p95 fell even as a majority of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position reverses. Δp95 is the primary indicator and error rate carries no signal at all, nothing having failed. No single indicator is valid across both fault types, and the analysis is run per fault type with its own preregistered primary indicator.</w:t>
      </w:r>
    </w:p>
    <w:p>
      <w:pPr>
        <w:pStyle w:val="Heading2"/>
      </w:pPr>
      <w:r>
        <w:t>3.7 Recovery time</w:t>
      </w:r>
    </w:p>
    <w:p>
      <w:r>
        <w:t xml:space="preserve">We define recovery time, </w:t>
      </w:r>
      <w:r>
        <w:rPr>
          <w:i/>
        </w:rPr>
        <w:t>T</w:t>
      </w:r>
      <w:r>
        <w:rPr>
          <w:vertAlign w:val="subscript"/>
        </w:rPr>
        <w:t>rec</w:t>
      </w:r>
      <w:r>
        <w:t xml:space="preserve">, as the elapsed seconds from fault </w:t>
      </w:r>
      <w:r>
        <w:rPr>
          <w:i/>
        </w:rPr>
        <w:t>removal</w:t>
      </w:r>
      <w:r>
        <w:t xml:space="preserve"> until Δp95, Δp99, Δerror-rate and the downstream-affected count simultaneously return within 10% of their pre-fault baseline and hold there for a 5-second confirmation period. Measuring from removal rather than from injection matters: timing from injection makes </w:t>
      </w:r>
      <w:r>
        <w:rPr>
          <w:i/>
        </w:rPr>
        <w:t>T</w:t>
      </w:r>
      <w:r>
        <w:rPr>
          <w:vertAlign w:val="subscript"/>
        </w:rPr>
        <w:t>rec</w:t>
      </w:r>
      <w:r>
        <w:t xml:space="preserve"> the sum of the fault duration, the restart and the convergence, which floors it at the protocol's own fault duration and measures the experiment rather than the system.</w:t>
      </w:r>
    </w:p>
    <w:p>
      <w:r>
        <w:t>The recovery probe polls at a nominal 1-second interval. Measured as the median gap between successive samples within each run, its effective resolution was 1.4 to 2.4 seconds. Each sample is drawn from a lagged window offset 5 seconds into the past. The lag is not cosmetic. Tracing backends flush spans in batches, so a window ending at the present instant samples a partially written interval and systematically under-counts. A sample must contain at least 20 traces before its percentiles may vote for recovery, which prevents a thin window from declaring recovery on the strength of a handful of fast requests. The tolerance is one-sided, an empty or thin window counts as no signal rather than as recovery, and no probe window may reach back past the fault instant.</w:t>
      </w:r>
    </w:p>
    <w:p>
      <w:r>
        <w:t xml:space="preserve">A run that has not recovered within 180 seconds is recorded as right-censored, with the observation horizon stored alongside it. A censored recovery time is never filled with a number, and censored runs are retained in the analysis as censored observations rather than dropped or imputed. In the final dataset, 0 of 180 runs were censored, with observed recovery times ranging from 9.72 s to 156.27 s around a median of 15.74 s. The preregistration fixed in advance that if under 10% of observations were censored, the rank test would be promoted to the primary inferential result for </w:t>
      </w:r>
      <w:r>
        <w:rPr>
          <w:i/>
        </w:rPr>
        <w:t>T</w:t>
      </w:r>
      <w:r>
        <w:rPr>
          <w:vertAlign w:val="subscript"/>
        </w:rPr>
        <w:t>rec</w:t>
      </w:r>
      <w:r>
        <w:t>, with survival models reported alongside it. That threshold was set before collection and the rule fired on the data as collected.</w:t>
      </w:r>
    </w:p>
    <w:p>
      <w:pPr>
        <w:pStyle w:val="Heading2"/>
      </w:pPr>
      <w:r>
        <w:t>3.8 Statistical plan and preregistration</w:t>
      </w:r>
    </w:p>
    <w:p>
      <w:r>
        <w:t>The full analysis was specified in advance and locked before the campaign was launched, including the hypotheses, the primary predictor and outcome, the analysis unit, the test statistic, the correction procedure and the reporting commitments. The locked document is reproduced as supplementary material, and every change made to it after the lock timestamp is logged in its own amendment log with a date and a statement of whether campaign data had been analysed at the time. §7 discusses those changes.</w:t>
      </w:r>
    </w:p>
    <w:p>
      <w:r>
        <w:t>Associations between a graph predictor and a measured outcome are tested with Spearman's ρ at the service level, aggregating each service's repetitions by their median. Significance is assessed by permutation rather than by the asymptotic approximation, which is unreliable at these sample sizes and in the presence of the tie structures these graphs produce. Confidence intervals are obtained by bias-corrected and accelerated bootstrap, falling back to a percentile interval, and disclosing the fallback, where the tie structure leaves the bias-correction undefined.</w:t>
      </w:r>
    </w:p>
    <w:p>
      <w:r>
        <w:t>Tests are organised into three families, each corrected separately by the Benjamini–Hochberg procedure at q = 0.05. The confirmatory family comprises 44 tests on kill faults. The replication family comprises 44 tests on latency faults and is reported as a replication rather than as confirmatory evidence. A third, exploratory family covers secondary outcomes and is labelled exploratory throughout, carrying no confirmatory weight. Pooling all families into a single correction was considered and explicitly rejected in the locked plan, on the grounds that the confirmatory and replication families answer the same question under different fault types and should not be allowed to dilute one another. For the primary outcome, the replication reuses the same outcome values as the confirmatory family (§4.4).</w:t>
      </w:r>
    </w:p>
    <w:p>
      <w:r>
        <w:t>Finally, two gates run before any statistic is computed. One verifies that every expected service was present in every run, and the other that each run's fault-free baseline is a plausible steady state for its application, flagging any baseline that is an outlier by median and median-absolute-deviation against the rest of the campaign. Both must report zero exceptions before analysis proceeds. All 10 pre-analysis integrity checks passed on the final dataset.</w:t>
      </w:r>
    </w:p>
    <w:p>
      <w:pPr>
        <w:pStyle w:val="Heading1"/>
      </w:pPr>
      <w:r>
        <w:t>4. Results</w:t>
      </w:r>
    </w:p>
    <w:p>
      <w:r>
        <w:t>The campaign completed all 180 planned runs across 36 fully balanced cells, with no run lost to telemetry failure, no gateway service faulted, and every recovery time observed rather than censored. Tables 1 and 2 give the per-service graph predictors alongside the measured outcomes for Social Network and Hotel Reservation.</w:t>
      </w:r>
    </w:p>
    <w:p>
      <w:pPr>
        <w:pStyle w:val="Heading2"/>
      </w:pPr>
      <w:r>
        <w:t>4.1 The confirmatory test</w:t>
      </w:r>
    </w:p>
    <w:p>
      <w:r>
        <w:t xml:space="preserve">Our primary hypothesis was that a service's transitive caller count predicts the number of services degraded by its failure. This primary hypothesis replaced the original fan-out hypothesis after the pilot. On Social Network under kill faults, the correlation between </w:t>
      </w:r>
      <w:r>
        <w:rPr>
          <w:rFonts w:ascii="Courier New" w:hAnsi="Courier New"/>
          <w:sz w:val="22"/>
        </w:rPr>
        <w:t>ancestor_count</w:t>
      </w:r>
      <w:r>
        <w:t xml:space="preserve"> and measured </w:t>
      </w:r>
      <w:r>
        <w:rPr>
          <w:rFonts w:ascii="Courier New" w:hAnsi="Courier New"/>
          <w:sz w:val="22"/>
        </w:rPr>
        <w:t>ancestor_affected_count</w:t>
      </w:r>
      <w:r>
        <w:t xml:space="preserve"> is ρ = 0.785 across 11 services, with a bias-corrected and accelerated bootstrap interval of [0.000, 1.000]. The uncorrected permutation p-value, from 10,000 Monte-Carlo permutations, is 0.0080; the exact value, 0.006926, is given in Table 3 (Deviation 9). After Benjamini–Hochberg correction across the 44 tests in the confirmatory family, the adjusted p-value is 0.3451.</w:t>
      </w:r>
    </w:p>
    <w:p>
      <w:r>
        <w:rPr>
          <w:b/>
        </w:rPr>
        <w:t>None of the 44 confirmatory tests is significant at q = 0.05</w:t>
      </w:r>
      <w:r>
        <w:t>. The primary test carries the smallest uncorrected p-value in the family, and its adjusted value is about seven times the threshold (6.9). Table 4 gives the primary predictor–outcome test in each family and architecture; Table 5 summarises both families. We state the result plainly: the preregistered hypothesis is not confirmed. The point estimate is large and positive, and we report it as such, but the correction we committed to in advance rejects it, and the confidence interval spans from no association to a perfect one.</w:t>
      </w:r>
    </w:p>
    <w:p>
      <w:r>
        <w:t>Two features of the data qualify that number further, and both matter more than the p-value does.</w:t>
      </w:r>
    </w:p>
    <w:p>
      <w:r>
        <w:t>The first is saturation. If every service's measured blast radius simply equalled its graph ancestor count, a correlation of 1.0 would follow by construction and would test nothing. On Hotel Reservation this is exactly the case: the measured outcome equals the graph predictor for every service in every run, under both fault types and at both the run and service level. Hotel Reservation is therefore tautological at the analysis unit, and we report every Hotel Reservation result in this paper as directional only. It cannot confirm the hypothesis and it cannot disconfirm it.</w:t>
      </w:r>
    </w:p>
    <w:p>
      <w:r>
        <w:t xml:space="preserve">Social Network is not fully saturated, at 0.909 under kill faults, which is what makes ρ = 0.785 rather than 1.0. Figure 2 shows why. Ten of the eleven services lie exactly on the line </w:t>
      </w:r>
      <w:r>
        <w:rPr>
          <w:i/>
        </w:rPr>
        <w:t>y = x</w:t>
      </w:r>
      <w:r>
        <w:t xml:space="preserve">, and a single service departs from it: </w:t>
      </w:r>
      <w:r>
        <w:rPr>
          <w:rFonts w:ascii="Courier New" w:hAnsi="Courier New"/>
          <w:sz w:val="22"/>
        </w:rPr>
        <w:t>user-service</w:t>
      </w:r>
      <w:r>
        <w:t>, which has 4 graph ancestors but registers 2 degraded ancestors, in all five of its kill repetitions. The entire empirical content of the Social Network correlation, as opposed to its definitional content, rests on the behaviour of that one service.</w:t>
      </w:r>
    </w:p>
    <w:p>
      <w:r>
        <w:t xml:space="preserve">We examined this directly with a leave-one-out recomputation, repeating the correlation eleven times with one service withheld each time (Table 6, Fig. 3). We report this as a </w:t>
      </w:r>
      <w:r>
        <w:rPr>
          <w:b/>
        </w:rPr>
        <w:t>post-hoc robustness check specified after the confirmatory results were known</w:t>
      </w:r>
      <w:r>
        <w:t xml:space="preserve">; it carries no inferential weight and is not part of the preregistered family. Across the eleven recomputations ρ ranges from 0.696 to 1.000. Withholding </w:t>
      </w:r>
      <w:r>
        <w:rPr>
          <w:rFonts w:ascii="Courier New" w:hAnsi="Courier New"/>
          <w:sz w:val="22"/>
        </w:rPr>
        <w:t>user-service</w:t>
      </w:r>
      <w:r>
        <w:t xml:space="preserve"> produces ρ = 1.000, a change of +0.215 and 2.4 times larger than the next largest swing, which comes from </w:t>
      </w:r>
      <w:r>
        <w:rPr>
          <w:rFonts w:ascii="Courier New" w:hAnsi="Courier New"/>
          <w:sz w:val="22"/>
        </w:rPr>
        <w:t>compose-post-service</w:t>
      </w:r>
      <w:r>
        <w:t xml:space="preserve"> at −0.089. The correlation is thus stable under every exclusion except the one that removes the only service preventing the outcome from restating the predictor.</w:t>
      </w:r>
    </w:p>
    <w:p>
      <w:pPr>
        <w:pStyle w:val="Heading2"/>
      </w:pPr>
      <w:r>
        <w:t>4.2 The hybrid criticality metric</w:t>
      </w:r>
    </w:p>
    <w:p>
      <w:r>
        <w:t>The metric this work set out to evaluate combines inbound centrality with a fan-out-scaled outbound term, on the premise that a service with many callees is critical because its failure severs many downstream relationships. Our preregistered secondary hypothesis, H1b, was that this fan-out premise is not merely unhelpful but directionally wrong, and that the metric would correlate negatively with measured blast radius.</w:t>
      </w:r>
    </w:p>
    <w:p>
      <w:r>
        <w:t xml:space="preserve">Table 7 gives all four architecture-by-fault cells. The four cells are not independent: the outcome vectors coincide across fault types, so they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one: ρ = −0.144 on Social Network under both kill and latency faults, and ρ = −0.258 on Hotel Reservation. In none of the four cells is the correlation distinguishable from zero after correction; the adjusted p-values are 0.9925 and 0.9152 on Social Network and 1.0000 on Hotel Reservation, and the Social Network interval runs from −0.810 to 0.698.</w:t>
      </w:r>
    </w:p>
    <w:p>
      <w:r>
        <w:t xml:space="preserve">The careful statement is therefore this. The hybrid metric shows </w:t>
      </w:r>
      <w:r>
        <w:rPr>
          <w:b/>
        </w:rPr>
        <w:t>no detectable association with measured blast radius</w:t>
      </w:r>
      <w:r>
        <w:t>, with a negative point estimate in every cell we examined. We do not claim that it is anti-predictive: that would assert a negative relationship the data cannot distinguish from no relationship at all. The direction preregistered under H1b is observed consistently, and the magnitude is not separable from zero.</w:t>
      </w:r>
    </w:p>
    <w:p>
      <w:pPr>
        <w:pStyle w:val="Heading2"/>
      </w:pPr>
      <w:r>
        <w:t>4.3 The motivating case</w:t>
      </w:r>
    </w:p>
    <w:p>
      <w:r>
        <w:t xml:space="preserve">The metric was originally motivated by </w:t>
      </w:r>
      <w:r>
        <w:rPr>
          <w:rFonts w:ascii="Courier New" w:hAnsi="Courier New"/>
          <w:sz w:val="22"/>
        </w:rPr>
        <w:t>compose-post-service</w:t>
      </w:r>
      <w:r>
        <w:t>, Social Network's composition service, which calls 7 services directly and has 10 transitive descendants. On its fan-out, the hybrid metric ranks it the most critical of the 11 services in the analysis set, with a score of 0.302. On transitive callers it ranks last, having a single graph ancestor. Figure 4 shows the full rank inversion across all eleven services.</w:t>
      </w:r>
    </w:p>
    <w:p>
      <w:r>
        <w:t xml:space="preserve">Measurement resolves the disagreement in favour of the caller-based ranking. Faulting </w:t>
      </w:r>
      <w:r>
        <w:rPr>
          <w:rFonts w:ascii="Courier New" w:hAnsi="Courier New"/>
          <w:sz w:val="22"/>
        </w:rPr>
        <w:t>compose-post-service</w:t>
      </w:r>
      <w:r>
        <w:t xml:space="preserve"> leaves exactly one degraded ancestor in every run: in each of its 5 kill repetitions, with a minimum and maximum of 1 and hence zero variance, and likewise under latency faults. In all 10 runs that ancestor is </w:t>
      </w:r>
      <w:r>
        <w:rPr>
          <w:rFonts w:ascii="Courier New" w:hAnsi="Courier New"/>
          <w:sz w:val="22"/>
        </w:rPr>
        <w:t>nginx-web-server</w:t>
      </w:r>
      <w:r>
        <w:t>, the gateway. Kill repetition 3 also recorded two degraded descendants, the only such run in the campaign (§4.5). The service the original metric identifies as the most critical in the application is, by measurement, the lowest on the preregistered outcome. That outcome counts degraded services; it does not measure requests or functionality lost.</w:t>
      </w:r>
    </w:p>
    <w:p>
      <w:r>
        <w:t>We present this as a worked case and not as a general finding. It concerns one service in one application, and the eleven-service correlation that would generalise it is the null result of §4.1.</w:t>
      </w:r>
    </w:p>
    <w:p>
      <w:pPr>
        <w:pStyle w:val="Heading2"/>
      </w:pPr>
      <w:r>
        <w:t>4.4 Replication under a second fault type</w:t>
      </w:r>
    </w:p>
    <w:p>
      <w:r>
        <w:t>The replication family repeats all 44 tests on latency faults. As in the confirmatory family, no test is significant after correction, the smallest uncorrected p-value being 0.0076 and its adjusted value 0.1848.</w:t>
      </w:r>
    </w:p>
    <w:p>
      <w:r>
        <w:t xml:space="preserve">The agreement between the two families needs a caveat rather than a celebration, and it is the more interesting result of the two. The median </w:t>
      </w:r>
      <w:r>
        <w:rPr>
          <w:rFonts w:ascii="Courier New" w:hAnsi="Courier New"/>
          <w:sz w:val="22"/>
        </w:rPr>
        <w:t>ancestor_affected_count</w:t>
      </w:r>
      <w:r>
        <w:t xml:space="preserve"> vector is </w:t>
      </w:r>
      <w:r>
        <w:rPr>
          <w:b/>
        </w:rPr>
        <w:t>identical</w:t>
      </w:r>
      <w:r>
        <w:t xml:space="preserve"> between kill and latency faults in both architectures. At run level the correspondence is nearly as tight: for 17 of 18 services the full set of five per-run counts is the same under both fault types. The latency family is therefore correlating the same outcome values against the same predictors as the kill family, and the two cannot disagree about the primary outcome. The replication supplies no independent evidence about the primary hypothesis.</w:t>
      </w:r>
    </w:p>
    <w:p>
      <w:r>
        <w:t xml:space="preserve">Read as a finding rather than as a limitation, this says something worth stating: which services degrade when a given service fails is essentially invariant to </w:t>
      </w:r>
      <w:r>
        <w:rPr>
          <w:i/>
        </w:rPr>
        <w:t>how</w:t>
      </w:r>
      <w:r>
        <w:t xml:space="preserve"> that service fails. A process that vanishes and a process that becomes slow propagate to the same neighbours. For recovery, the correlation between kill and latency median recovery times shows moderate agreement on Social Network (0.384) and strong agreement on Hotel Reservation (0.857, n = 7). The replication remains informative for recovery time, where the two fault types give different values (§4.8).</w:t>
      </w:r>
    </w:p>
    <w:p>
      <w:pPr>
        <w:pStyle w:val="Heading2"/>
      </w:pPr>
      <w:r>
        <w:t>4.5 Direction of propagation</w:t>
      </w:r>
    </w:p>
    <w:p>
      <w:r>
        <w:t xml:space="preserve">Across the campaign, degradation travels to callers and not to callees. No descendant of a faulted service was degraded in 179 of 180 runs, and the service-level median, which is the unit of analysis, is zero for every service in every condition.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most robust structural result in the study, and it is worth noting that it cannot be expressed as a correlation. Because both outcomes have no variance at the service level, 88 of the 154 attempted exploratory tests are undefined rather than null. A constant outcome does not yield a weak correlation; it yields no correlation at all. We report these as undefined, with the reason, in the same way we report the two degenerate predictors, rather than entering them as zeros.</w:t>
      </w:r>
    </w:p>
    <w:p>
      <w:pPr>
        <w:pStyle w:val="Heading2"/>
      </w:pPr>
      <w:r>
        <w:t>4.6 Exploratory findings</w:t>
      </w:r>
    </w:p>
    <w:p>
      <w:r>
        <w:t xml:space="preserve">Of the 66 testable exploratory tests, 2 survive correction within that family. Both concern the </w:t>
      </w:r>
      <w:r>
        <w:rPr>
          <w:i/>
        </w:rPr>
        <w:t>magnitude</w:t>
      </w:r>
      <w:r>
        <w:t xml:space="preserve"> of latency inflation under latency faults on Social Network: Δp95 correlates with </w:t>
      </w:r>
      <w:r>
        <w:rPr>
          <w:rFonts w:ascii="Courier New" w:hAnsi="Courier New"/>
          <w:sz w:val="22"/>
        </w:rPr>
        <w:t>hybrid_criticality</w:t>
      </w:r>
      <w:r>
        <w:t xml:space="preserve"> at ρ = 0.949 and with raw </w:t>
      </w:r>
      <w:r>
        <w:rPr>
          <w:rFonts w:ascii="Courier New" w:hAnsi="Courier New"/>
          <w:sz w:val="22"/>
        </w:rPr>
        <w:t>degree</w:t>
      </w:r>
      <w:r>
        <w:t xml:space="preserve"> at ρ = 0.953, both at an adjusted p of 0.0033.</w:t>
      </w:r>
    </w:p>
    <w:p>
      <w:r>
        <w:t>We label these exploratory and attach no confirmatory weight to them. Two caveats are necessary. The outcome here is not the outcome H1b concerns: how much latency inflates is a different quantity from how many ancestors degrade, and a metric performing well on the former says nothing about the latter. This result does not rescue the hybrid metric. The second caveat is that plain degree centrality performs at least as well as the hybrid metric on this outcome, so the finding gives no reason to prefer the fan-out correction over a considerably simpler measure.</w:t>
      </w:r>
    </w:p>
    <w:p>
      <w:pPr>
        <w:pStyle w:val="Heading2"/>
      </w:pPr>
      <w:r>
        <w:t>4.7 What the design could have detected</w:t>
      </w:r>
    </w:p>
    <w:p>
      <w:r>
        <w:t>Table 8 reproduces the preregistered power analysis against the realised analysis sets. Both match what was registered in size and in the number of distinct predictor levels, and the preregistered ceiling correlations reproduce exactly.</w:t>
      </w:r>
    </w:p>
    <w:p>
      <w:r>
        <w:t xml:space="preserve">Those ceilings bound what the study could ever have shown. Because </w:t>
      </w:r>
      <w:r>
        <w:rPr>
          <w:rFonts w:ascii="Courier New" w:hAnsi="Courier New"/>
          <w:sz w:val="22"/>
        </w:rPr>
        <w:t>ancestor_count</w:t>
      </w:r>
      <w:r>
        <w:t xml:space="preserve"> takes only 4 distinct values across 11 Social Network services and 2 across 7 Hotel Reservation services, ties cap the attainable correlation at 0.941 and 0.791 respectively. For Hotel Reservation the consequence is severe: under the exact permutation test our plan mandates, the best attainable p-value is 0.0952, which is above the conventional threshold before any correction is applied. The preregistration quoted p = 0.034 for this ceiling, which is the asymptotic value (Deviation 7); the exact value the plan mandates is 0.0952. Hotel Reservation could not have reached nominal significance for this predictor at any observed outcome whatsoever. This is a property of its tie structure and sample size, not of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that follow are secondary and are not corrected for multiplicity. Hazard ratios are per one unit of </w:t>
      </w:r>
      <w:r>
        <w:rPr>
          <w:rFonts w:ascii="Courier New" w:hAnsi="Courier New"/>
          <w:sz w:val="22"/>
        </w:rPr>
        <w:t>ancestor_count</w:t>
      </w:r>
      <w:r>
        <w:t xml:space="preserve">. At run level, with standard errors clustered by service, the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because the predictor has fewer than two distinct terciles there.</w:t>
      </w:r>
    </w:p>
    <w:p>
      <w:pPr>
        <w:pStyle w:val="Heading1"/>
      </w:pPr>
      <w:r>
        <w:t>5. Discussion</w:t>
      </w:r>
    </w:p>
    <w:p>
      <w:r>
        <w:rPr>
          <w:b/>
          <w:color w:val="C00000"/>
        </w:rPr>
        <w:t>[TO WRITE]</w:t>
      </w:r>
    </w:p>
    <w:p>
      <w:pPr>
        <w:pStyle w:val="Heading1"/>
      </w:pPr>
      <w:r>
        <w:t>6. Threats to Validity</w:t>
      </w:r>
    </w:p>
    <w:p>
      <w:pPr>
        <w:pStyle w:val="Heading2"/>
      </w:pPr>
      <w:r>
        <w:t>6.1 Sample size and the ceiling on any attainable correlation</w:t>
      </w:r>
    </w:p>
    <w:p>
      <w:r>
        <w:t>The unit of analysis is the service, which puts the sample size at 11 for Social Network and 7 for Hotel Reservation. These are the sizes the applications have; they were registered in advance and the realised sets match them exactly. Repetition improves the precision of each service's measured outcome, and we used 5 repetitions per cell for that reason, but it does not increase the number of points entering a correlation. A study of this design is bounded by how many services the system has.</w:t>
      </w:r>
    </w:p>
    <w:p>
      <w:r>
        <w:t xml:space="preserve">The tie structure compounds this. </w:t>
      </w:r>
      <w:r>
        <w:rPr>
          <w:rFonts w:ascii="Courier New" w:hAnsi="Courier New"/>
          <w:sz w:val="22"/>
        </w:rPr>
        <w:t>ancestor_count</w:t>
      </w:r>
      <w:r>
        <w:t xml:space="preserve"> takes 4 distinct values on Social Network and 2 on Hotel Reservation, and ties place a ceiling on Spearman's ρ irrespective of what is measured. The best attainable correlation is 0.941 and 0.791 respectively. A reader should take the confirmatory null in that light: the design had limited room to produce a significant result, and we registered these ceilings before collecting data rather than offering them afterwards as an explanation.</w:t>
      </w:r>
    </w:p>
    <w:p>
      <w:pPr>
        <w:pStyle w:val="Heading2"/>
      </w:pPr>
      <w:r>
        <w:t>6.2 Hotel Reservation could not have reached significance</w:t>
      </w:r>
    </w:p>
    <w:p>
      <w:r>
        <w:t xml:space="preserve">The Hotel Reservation limitation is stronger than low power, and we want to be exact about it. Under the exact permutation test our analysis plan mandates, a </w:t>
      </w:r>
      <w:r>
        <w:rPr>
          <w:i/>
        </w:rPr>
        <w:t>perfect</w:t>
      </w:r>
      <w:r>
        <w:t xml:space="preserve"> result on Hotel Reservation, ρ = 1.0 with the observed tie structure, yields a p-value of 0.0952. That is above the conventional 0.05 threshold before any multiplicity correction is applied. No outcome we could have measured on this application would have reached nominal significance for this predictor.</w:t>
      </w:r>
    </w:p>
    <w:p>
      <w:r>
        <w:t>Hotel Reservation is additionally saturated: its measured outcome equals its graph predictor for every service in every run, which makes any correlation computed on it a restatement of how the outcome was constructed rather than an independent prediction. We report every Hotel Reservation result as directional only, and it should not be read as either replicating or failing to replicate the Social Network result. Its value in this study is as a structurally different topology on which the propagation-direction result of §4.5 also holds, not as a second test of the correlation.</w:t>
      </w:r>
    </w:p>
    <w:p>
      <w:pPr>
        <w:pStyle w:val="Heading2"/>
      </w:pPr>
      <w:r>
        <w:t>6.3 Two applications from one benchmark suite</w:t>
      </w:r>
    </w:p>
    <w:p>
      <w:r>
        <w:t>We studied two applications from a single benchmark suite, built from one pinned upstream commit. Both are research benchmarks rather than production systems. They were chosen because they are instrumented, reproducible and widely used, which makes the experiment repeatable, but they do not sample the space of microservice architectures in any principled way. Neither application has the retry policies, circuit breakers, bulkheads or autoscaling that production deployments typically use to arrest propagation, and all of these would be expected to change how far a failure travels. Nothing here should be read as characterising production behaviour.</w:t>
      </w:r>
    </w:p>
    <w:p>
      <w:r>
        <w:t>The workload is likewise synthetic and fixed at 25 concurrent users with a fixed request mix. Since the dependency graph is reconstructed from observed traffic, a different mix would produce a different graph on the same deployment, and both the predictors and the measured outcomes would shift with it. We return to this below.</w:t>
      </w:r>
    </w:p>
    <w:p>
      <w:pPr>
        <w:pStyle w:val="Heading2"/>
      </w:pPr>
      <w:r>
        <w:t>6.4 The primary predictor is close to definitional</w:t>
      </w:r>
    </w:p>
    <w:p>
      <w:r>
        <w:t xml:space="preserve">The most serious threat to the primary result is not statistical but conceptual. We define the outcome as the number of degraded transitive callers and the predictor as the number of transitive callers, so the two coincide whenever every ancestor degrades. On Hotel Reservation they coincide always. On Social Network they coincide for 10 of 11 services, the exception being </w:t>
      </w:r>
      <w:r>
        <w:rPr>
          <w:rFonts w:ascii="Courier New" w:hAnsi="Courier New"/>
          <w:sz w:val="22"/>
        </w:rPr>
        <w:t>user-service</w:t>
      </w:r>
      <w:r>
        <w:t>, which registers 2 of its 4 ancestors in every kill repetition.</w:t>
      </w:r>
    </w:p>
    <w:p>
      <w:r>
        <w:t xml:space="preserve">The whole difference between ρ = 0.785 and a correlation of exactly 1.0 therefore rests on a single service. Our post-hoc leave-one-out check confirms this arithmetic directly: withholding </w:t>
      </w:r>
      <w:r>
        <w:rPr>
          <w:rFonts w:ascii="Courier New" w:hAnsi="Courier New"/>
          <w:sz w:val="22"/>
        </w:rPr>
        <w:t>user-service</w:t>
      </w:r>
      <w:r>
        <w:t xml:space="preserve"> yields ρ = 1.000, a swing 2.4 times larger than any other service's. We flag that check as post-hoc, specified after the confirmatory result was known, and we report it as a description of the data rather than as a test.</w:t>
      </w:r>
    </w:p>
    <w:p>
      <w:r>
        <w:t>We considered before collection whether a predictor this close to its own outcome is worth testing at all, and registered the saturation measure specifically to detect the problem. Our position is that the test remains meaningful because saturation was not guaranteed in advance and does not in fact hold. But a reader is entitled to treat the Social Network correlation as carrying roughly one service's worth of independent information, and we would not argue.</w:t>
      </w:r>
    </w:p>
    <w:p>
      <w:r>
        <w:t xml:space="preserve">Why </w:t>
      </w:r>
      <w:r>
        <w:rPr>
          <w:rFonts w:ascii="Courier New" w:hAnsi="Courier New"/>
          <w:sz w:val="22"/>
        </w:rPr>
        <w:t>user-service</w:t>
      </w:r>
      <w:r>
        <w:t xml:space="preserve"> departs is not something this study can answer. In all five of its kill repetitions the ancestors that degraded were the two on paths the workload exercises, while its other two graph ancestors never degraded, which suggests that </w:t>
      </w:r>
      <w:r>
        <w:rPr>
          <w:rFonts w:ascii="Courier New" w:hAnsi="Courier New"/>
          <w:sz w:val="22"/>
        </w:rPr>
        <w:t>ancestor_count</w:t>
      </w:r>
      <w:r>
        <w:t xml:space="preserve"> functions as an upper bound whose tightness depends on the workload mix rather than on graph structure alone. </w:t>
      </w:r>
      <w:r>
        <w:rPr>
          <w:b/>
        </w:rPr>
        <w:t>This explanation was generated after seeing the data and has not been tested. We offer it as a hypothesis for future work, not as a finding.</w:t>
      </w:r>
      <w:r>
        <w:t xml:space="preserve"> Testing it would require a workload-weighted predictor and a fresh preregistration.</w:t>
      </w:r>
    </w:p>
    <w:p>
      <w:pPr>
        <w:pStyle w:val="Heading2"/>
      </w:pPr>
      <w:r>
        <w:t>6.5 Fault removal is inferred, not verified</w:t>
      </w:r>
    </w:p>
    <w:p>
      <w:r>
        <w:t xml:space="preserve">For latency faults, the runner infers that the injected </w:t>
      </w:r>
      <w:r>
        <w:rPr>
          <w:rFonts w:ascii="Courier New" w:hAnsi="Courier New"/>
          <w:sz w:val="22"/>
        </w:rPr>
        <w:t>tc netem</w:t>
      </w:r>
      <w:r>
        <w:t xml:space="preserve"> rule has been removed from the fact that the injecting process has exited. That inference proved unreliable at least once, and §7 describes the incident and the safeguards now in place. Those safeguards bound the damage rather than eliminating the possibility. The cross-run baseline gate detects a rule that outlives the run that created it, because the contamination then shows up in later runs' fault-free baselines. A rule that leaked and then cleared within a single run would not be detected, since that run's own baseline precedes its fault.</w:t>
      </w:r>
    </w:p>
    <w:p>
      <w:r>
        <w:t xml:space="preserve">The practical consequence is that latency-fault recovery times carry a residual assumption we cannot discharge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are computed over the fault window itself. Closing this gap properly requires querying the container's queueing discipline directly rather than inferring its state, which we did not implement.</w:t>
      </w:r>
    </w:p>
    <w:p>
      <w:pPr>
        <w:pStyle w:val="Heading2"/>
      </w:pPr>
      <w:r>
        <w:t>6.6 The dependency graph is workload-dependent</w:t>
      </w:r>
    </w:p>
    <w:p>
      <w:r>
        <w:t>Reconstructing the graph from traces gives us the calls the system actually makes, which we consider the right choice for this question, but it makes the graph a property of the deployment and the workload together rather than of the software alone. Hotel Reservation illustrates the point concretely. Of the 8 edges implied by the published architecture, our traces recover 6, while 2 are never exercised, and one edge appears that the documented architecture does not list.</w:t>
      </w:r>
    </w:p>
    <w:p>
      <w:r>
        <w:t xml:space="preserve">Since </w:t>
      </w:r>
      <w:r>
        <w:rPr>
          <w:rFonts w:ascii="Courier New" w:hAnsi="Courier New"/>
          <w:sz w:val="22"/>
        </w:rPr>
        <w:t>ancestor_count</w:t>
      </w:r>
      <w:r>
        <w:t xml:space="preserve"> is computed on the reconstructed graph, a service's predictor value depends on which of its callers the workload happens to drive. The </w:t>
      </w:r>
      <w:r>
        <w:rPr>
          <w:rFonts w:ascii="Courier New" w:hAnsi="Courier New"/>
          <w:sz w:val="22"/>
        </w:rPr>
        <w:t>user</w:t>
      </w:r>
      <w:r>
        <w:t xml:space="preserve"> service has one observed caller here rather than the two the documentation implies. A different request mix would assign it a different predictor value without anything about the deployed system having changed. This limits how far any predictor–outcome relationship we report can be transported to a deployment under different traffic, and it is the same mechanism our post-hoc reading of </w:t>
      </w:r>
      <w:r>
        <w:rPr>
          <w:rFonts w:ascii="Courier New" w:hAnsi="Courier New"/>
          <w:sz w:val="22"/>
        </w:rPr>
        <w:t>user-service</w:t>
      </w:r>
      <w:r>
        <w:t xml:space="preserve"> in §6.4 invokes, which is a further reason to treat that reading as untested.</w:t>
      </w:r>
    </w:p>
    <w:p>
      <w:pPr>
        <w:pStyle w:val="Heading2"/>
      </w:pPr>
      <w:r>
        <w:t>6.7 Scope of the measurement</w:t>
      </w:r>
    </w:p>
    <w:p>
      <w:r>
        <w:t>Two further boundaries are worth stating. We measure whether a service degrades, by a preregistered threshold on its own latency or error rate, and not why it degrades; no causal mechanism for any individual service's degradation is established here. And we studied two fault types, process kill and a 500 ms network delay. CPU contention was evaluated during piloting and dropped before the campaign because its effect size was too small to classify reliably, which we record as a scope decision in §7. Resource exhaustion, partial failures, and corrupted or slow responses are all outside what we measured.</w:t>
      </w:r>
    </w:p>
    <w:p>
      <w:pPr>
        <w:pStyle w:val="Heading2"/>
      </w:pPr>
      <w:r>
        <w:t>6.8 Social Network recovery times were not replayed</w:t>
      </w:r>
    </w:p>
    <w:p>
      <w:r>
        <w:t>Social Network per-service latency used all of a service's spans rather than its server spans (§3.5, Deviation 11). The blast-radius outcomes could be replayed on server-only spans from the stored baseline and fault windows, but recovery times could not: the recovery probe's windows were not stored, so Social Network recovery times could not be replayed and stand as measured.</w:t>
      </w:r>
    </w:p>
    <w:p>
      <w:pPr>
        <w:pStyle w:val="Heading1"/>
      </w:pPr>
      <w:r>
        <w:t>7. Audit and Deviations from Preregistration</w:t>
      </w:r>
    </w:p>
    <w:p>
      <w:pPr>
        <w:pStyle w:val="Heading2"/>
      </w:pPr>
      <w:r>
        <w:t>7.1 Why this study was rebuilt</w:t>
      </w:r>
    </w:p>
    <w:p>
      <w:r>
        <w:t>An earlier version of this work was submitted for project review. A subsequent self-audit of its analysis pipeline found that parts of its reported results did not come from measurement. Impact values and recovery times that the manuscript presented as experimental findings were produced by code that drew from hard-coded numeric ranges, and the metric weights carrying the headline correlation had been selected by a grid search maximising that same correlation against the same outcome the paper then reported, with no held-out data. Results obtained that way are a maximum over a search presented as a single test.</w:t>
      </w:r>
    </w:p>
    <w:p>
      <w:r>
        <w:t>We withdrew those results in full. The affected scripts and outputs were not deleted but moved to a quarantine directory, which now holds 13 numbered items, each with a record of what was removed and why, so that the withdrawn material remains inspectable rather than disappearing from the history. The measurement pipeline, the metric implementation and the analysis were then rebuilt from the ground up, and the study reported here is an entirely new campaign.</w:t>
      </w:r>
    </w:p>
    <w:p>
      <w:r>
        <w:t>Two commitments follow from that history and shape everything in this paper. Every number we report is produced by a script reading logged data, and where a value cannot be traced to a script and an input file we record the gap rather than fill it. And the analysis was specified and locked before the campaign began, with every subsequent change to that specification logged, dated, and marked according to whether campaign data had been analysed at the time.</w:t>
      </w:r>
    </w:p>
    <w:p>
      <w:r>
        <w:t>The hybrid metric's weights, 0.4, 0.4 and 0.2,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We state this history because a reader assessing the present results is entitled to know it, and because the safeguards described throughout §3 are only meaningful in light of what they were built to prevent.</w:t>
      </w:r>
    </w:p>
    <w:p>
      <w:pPr>
        <w:pStyle w:val="Heading2"/>
      </w:pPr>
      <w:r>
        <w:t>7.2 Deviations from the locked specification</w:t>
      </w:r>
    </w:p>
    <w:p>
      <w:r>
        <w:t>Twelve deviations from the locked plan are recorded (Table 9). Across all of them, 17 runs were invalidated; every one was quarantined and re-collected rather than analysed or dropped, which is why the final dataset is complete and balanced at 180 runs. Nine of the twelve deviations invalidated no data. The three that did are deviation 1 (3 runs), deviation 2 (3 runs) and deviation 4 (11 runs). We group them below by when they occurred, since that is what determines how much they could have influenced a result.</w:t>
      </w:r>
    </w:p>
    <w:p>
      <w:r>
        <w:rPr>
          <w:b/>
        </w:rPr>
        <w:t>Before any campaign data existed.</w:t>
      </w:r>
      <w:r>
        <w:t xml:space="preserve"> One deviation was found during the pre-launch rehearsal. The blast-radius rule as locked flagged a service purely on a multiplicative condition, with no absolute floor. That was defensible while per-service percentiles were still end-to-end values in the tens of milliseconds, but the corrected per-service definition of §3.5 moved several services into the sub-millisecond range, where a multiplicative threshold responds to scheduler noise rather than to anything physical. The evidence was direct: a service's p95 rose threefold between two consecutive </w:t>
      </w:r>
      <w:r>
        <w:rPr>
          <w:i/>
        </w:rPr>
        <w:t>fault-free</w:t>
      </w:r>
      <w:r>
        <w:t xml:space="preserve"> baseline windows, and the rehearsal duly flagged it as degraded. We added the 1.0 ms absolute floor described in §3.6 and discarded the three rehearsal runs. No campaign data existed at the time and none had been analysed.</w:t>
      </w:r>
    </w:p>
    <w:p>
      <w:r>
        <w:rPr>
          <w:b/>
        </w:rPr>
        <w:t>During collection.</w:t>
      </w:r>
      <w:r>
        <w:t xml:space="preserve"> Two defects surfaced while the campaign was running. The first, found 79 minutes in, was in how the runner resolved a service name to a container. It matched by substring and took the shortest match, and because the Hotel Reservation compose project prefixes every container with </w:t>
      </w:r>
      <w:r>
        <w:rPr>
          <w:rFonts w:ascii="Courier New" w:hAnsi="Courier New"/>
          <w:sz w:val="22"/>
        </w:rPr>
        <w:t>hotelreservation-</w:t>
      </w:r>
      <w:r>
        <w:t xml:space="preserve">, which contains the substring </w:t>
      </w:r>
      <w:r>
        <w:rPr>
          <w:rFonts w:ascii="Courier New" w:hAnsi="Courier New"/>
          <w:sz w:val="22"/>
        </w:rPr>
        <w:t>reservation</w:t>
      </w:r>
      <w:r>
        <w:t xml:space="preserve">, a request to fault </w:t>
      </w:r>
      <w:r>
        <w:rPr>
          <w:rFonts w:ascii="Courier New" w:hAnsi="Courier New"/>
          <w:sz w:val="22"/>
        </w:rPr>
        <w:t>reservation</w:t>
      </w:r>
      <w:r>
        <w:t xml:space="preserve"> resolved to the </w:t>
      </w:r>
      <w:r>
        <w:rPr>
          <w:rFonts w:ascii="Courier New" w:hAnsi="Courier New"/>
          <w:sz w:val="22"/>
        </w:rPr>
        <w:t>geo</w:t>
      </w:r>
      <w:r>
        <w:t xml:space="preserve"> container instead. The run killed </w:t>
      </w:r>
      <w:r>
        <w:rPr>
          <w:rFonts w:ascii="Courier New" w:hAnsi="Courier New"/>
          <w:sz w:val="22"/>
        </w:rPr>
        <w:t>geo</w:t>
      </w:r>
      <w:r>
        <w:t xml:space="preserve"> while recording a </w:t>
      </w:r>
      <w:r>
        <w:rPr>
          <w:rFonts w:ascii="Courier New" w:hAnsi="Courier New"/>
          <w:sz w:val="22"/>
        </w:rPr>
        <w:t>reservation</w:t>
      </w:r>
      <w:r>
        <w:t xml:space="preserve"> fault, and restoration then started </w:t>
      </w:r>
      <w:r>
        <w:rPr>
          <w:rFonts w:ascii="Courier New" w:hAnsi="Courier New"/>
          <w:sz w:val="22"/>
        </w:rPr>
        <w:t>reservation</w:t>
      </w:r>
      <w:r>
        <w:t xml:space="preserve">, which had never been down, leaving </w:t>
      </w:r>
      <w:r>
        <w:rPr>
          <w:rFonts w:ascii="Courier New" w:hAnsi="Courier New"/>
          <w:sz w:val="22"/>
        </w:rPr>
        <w:t>geo</w:t>
      </w:r>
      <w:r>
        <w:t xml:space="preserve"> dead for subsequent runs. A second weakness compounded it: the health check verified only that the tracing backend and the gateway responded, and both did with </w:t>
      </w:r>
      <w:r>
        <w:rPr>
          <w:rFonts w:ascii="Courier New" w:hAnsi="Courier New"/>
          <w:sz w:val="22"/>
        </w:rPr>
        <w:t>geo</w:t>
      </w:r>
      <w:r>
        <w:t xml:space="preserve"> absent. We replaced substring matching with exact resolution by container label, which refuses to guess when a name is ambiguous, and strengthened the health gate to require every service in the graph to be running. Three runs were invalidated and re-collected. The fix itself then introduced the second defect: the new gate compared graph service names against compose service names, and these differ for the Social Network gateway, which reports itself to the tracing backend under one name and is declared in compose under another. Social Network could not pass the gate and the campaign aborted on a healthy stack. No data was affected, and we record it because a correction that introduces a fault of its own is part of the same audit trail.</w:t>
      </w:r>
    </w:p>
    <w:p>
      <w:r>
        <w:rPr>
          <w:b/>
        </w:rPr>
        <w:t>Found by the pre-analysis gates.</w:t>
      </w:r>
      <w:r>
        <w:t xml:space="preserve"> The most consequential deviation was detected immediately after the final run, before any statistic had been computed. An injected network delay rule outlived the process that created it and stayed active for the remainder of a block of Social Network latency runs, clearing only when the stack was torn down. The distortion this produced is worth describing because of its direction. The contaminated runs' </w:t>
      </w:r>
      <w:r>
        <w:rPr>
          <w:i/>
        </w:rPr>
        <w:t>fault-free baselines</w:t>
      </w:r>
      <w:r>
        <w:t xml:space="preserve"> were inflated by two to three orders of magnitude, and since the degradation rule asks whether fault-window latency exceeds twice the baseline, an inflated baseline makes the fault look smaller. The services that should have been counted were already degraded when the baseline was taken, so they could not clear their own inflated threshold and went uncounted. The primary outcome was understated by exactly two in most of the affected runs. Analysed as collected, this would have flattened the Social Network correlation while being indistinguishable from ordinary measurement noise; no individual run record looked anomalous, and only the cross-run comparison exposed it. Eleven runs were invalidated and re-collected. We now force-recreate the target container after every non-kill run, which cannot affect the run just completed but guarantees the next starts clean, and we added the baseline-sanity gate that caught the incident as a standing pre-analysis check. §6.5 states the residual limitation this leaves.</w:t>
      </w:r>
    </w:p>
    <w:p>
      <w:r>
        <w:rPr>
          <w:b/>
        </w:rPr>
        <w:t>Specification gaps and analysis decisions.</w:t>
      </w:r>
      <w:r>
        <w:t xml:space="preserve"> Two points required a decision the locked text did not make: the level at which the survival models should run, and which fault types each exploratory outcome covers. Both were escalated and resolved before the analysis was written, and both are recorded with the resolution taken. Separately, the locked plan fixed in advance that if fewer than 10% of recovery observations were censored, the rank test would be promoted to the primary result for recovery time. No observation was censored, so that rule fired as written; survival models are reported alongside but are not separately corrected, since they test the same hypotheses as the primary tests they accompany.</w:t>
      </w:r>
    </w:p>
    <w:p>
      <w:r>
        <w:rPr>
          <w:b/>
        </w:rPr>
        <w:t>Implementation and documentation.</w:t>
      </w:r>
      <w:r>
        <w:t xml:space="preserve"> The reference implementation of the rank statistic was too slow for the number of evaluations the analysis requires, so we reimplemented the statistic, the permutation test and the bootstrap in vectorised form. The replacement is algebraic rather than approximate, and an equivalence test suite pins it against the reference implementation, including on the tie-heavy inputs this dataset actually contains. We also record an internal inconsistency in the locked document itself: the p-value its power section quotes for the Hotel Reservation ceiling is the asymptotic value, which the same document forbids for inference. Under the exact test it mandates, that ceiling p-value is 0.0952 rather than the 0.034 stated. This sharpens the preregistration's own conclusion rather than contradicting it, and §6.2 gives the consequence. No analysis in this paper used the asymptotic value.</w:t>
      </w:r>
    </w:p>
    <w:p>
      <w:r>
        <w:rPr>
          <w:b/>
        </w:rPr>
        <w:t>After the analysis was complete.</w:t>
      </w:r>
      <w:r>
        <w:t xml:space="preserve"> Deviation 9 was made after the results were known, and we mark it as such. The Social Network permutation tests had fallen back to Monte Carlo sampling because exhaustive enumeration of 11 factorial orderings was judged infeasible. That judgement was wrong: the permutation null depends only on the two rank vectors, so permuting the vector carrying more ties enumerates the identical null distribution from far fewer distinct arrangements, in this case 9,240. The exact uncorrected p-value for the primary test is 0.006926 against the locked Monte Carlo estimate of 0.0080, and the adjusted value moves from 0.3451 to 0.3048.</w:t>
      </w:r>
    </w:p>
    <w:p>
      <w:r>
        <w:t>A p-value refinement made after a null result is known has the shape of a rescue attempt, so we record the safeguards explicitly. The refinement was applied to all 43 testable tests in the family rather than to the primary test alone, so it could not be aimed. It changes the computation and not the hypothesis, the statistic, the analysis unit or the family membership. The direction of the change was not knowable in advance, an independent resampling with a different seed having landed on the other side of the locked value. The verdict is unchanged either way, the exact values appear only in a supplementary table (Table 3), and the locked Monte Carlo value remains the preregistered one.</w:t>
      </w:r>
    </w:p>
    <w:p>
      <w:r>
        <w:rPr>
          <w:b/>
        </w:rPr>
        <w:t>Recorded after the analysis, by a verification of the repository.</w:t>
      </w:r>
      <w:r>
        <w:t xml:space="preserve"> Three further deviations were found by a read-only check of the repository against its own records, after the analysis was complete. None changed a stored outcome or a locked output.</w:t>
      </w:r>
    </w:p>
    <w:p>
      <w:r>
        <w:t>Deviation 10 concerns the hybrid metric's weights. The locked plan specified a cross-architecture protocol that tuned the weights on Social Network and froze them for Hotel Reservation. It was not carried out. The analysis used the weights 0.4, 0.4 and 0.2 inherited from the withdrawn analysis, where an empirical search had chosen them, and they were not re-tuned on the campaign data (§3.3, §7.1). The fixed weights were already in the analysis code before the lock, but the departure was not recorded until this verification.</w:t>
      </w:r>
    </w:p>
    <w:p>
      <w:r>
        <w:t>Deviation 11 concerns Social Network latency attribution. Social Network spans carry no span-kind tag, so its per-service latency used all of a service's spans, client spans included, while the run records labelled the samples as server spans (§3.5). A post-hoc replay on server-only spans changed 2 of 110 run-level outcomes and no service-level median, and left the primary result identical. Social Network recovery times could not be replayed, because the recovery probe's windows were not stored (§6.8).</w:t>
      </w:r>
    </w:p>
    <w:p>
      <w:r>
        <w:t>Deviation 12 concerns one Hotel Reservation latency run, which was attempted twice. The first attempt was interrupted during its recovery probe when the campaign was stopped for deviation 2. Its spans were saved, but it wrote no run record and was never analysed; the completed second attempt is the run reported.</w:t>
      </w:r>
    </w:p>
    <w:p>
      <w:pPr>
        <w:pStyle w:val="Heading2"/>
      </w:pPr>
      <w:r>
        <w:t>7.3 Verification</w:t>
      </w:r>
    </w:p>
    <w:p>
      <w:r>
        <w:t>Two checks beyond the preregistered analysis are reported as supplementary. The first is the leave-one-out recomputation of §4.1, which we mark post-hoc throughout. The second is an independent reimplementation of the primary statistic, written without reference to the analysis code, reading only the raw persisted spans and the dependency graph, and computing the statistic through a different code path. It reproduces the reported correlation and agrees with the stored per-run outcome fields on the identity of the affected services, not merely their count, in all 110 Social Network runs. This establishes that the analysis implementation is faithful to the data it was given. It does not establish that the definitions in §3.5 and §3.6 are the right ones, which is a question no recomputation can settle.</w:t>
      </w:r>
    </w:p>
    <w:p>
      <w:pPr>
        <w:pStyle w:val="Heading1"/>
      </w:pPr>
      <w:r>
        <w:t>8. Conclusions</w:t>
      </w:r>
    </w:p>
    <w:p>
      <w:r>
        <w:rPr>
          <w:b/>
          <w:color w:val="C00000"/>
        </w:rPr>
        <w:t>[TO WRITE]</w:t>
      </w:r>
    </w:p>
    <w:p>
      <w:pPr>
        <w:pStyle w:val="Heading1"/>
      </w:pPr>
      <w:r>
        <w:t>Acknowledgments</w:t>
      </w:r>
    </w:p>
    <w:p>
      <w:r>
        <w:rPr>
          <w:b/>
          <w:color w:val="C00000"/>
        </w:rPr>
        <w:t>[TO WRITE]</w:t>
      </w:r>
    </w:p>
    <w:p>
      <w:pPr>
        <w:pStyle w:val="Heading1"/>
      </w:pPr>
      <w:r>
        <w:t>Funding Statement</w:t>
      </w:r>
    </w:p>
    <w:p>
      <w:r>
        <w:rPr>
          <w:b/>
          <w:color w:val="C00000"/>
        </w:rPr>
        <w:t>[TO WRITE]</w:t>
      </w:r>
    </w:p>
    <w:p>
      <w:pPr>
        <w:pStyle w:val="Heading1"/>
      </w:pPr>
      <w:r>
        <w:t>Data Availability</w:t>
      </w:r>
    </w:p>
    <w:p>
      <w:r>
        <w:rPr>
          <w:b/>
          <w:color w:val="C00000"/>
        </w:rPr>
        <w:t>[TO WRITE]</w:t>
      </w:r>
    </w:p>
    <w:p>
      <w:pPr>
        <w:pStyle w:val="Heading1"/>
      </w:pPr>
      <w:r>
        <w:t>AI-Use Statement</w:t>
      </w:r>
    </w:p>
    <w:p>
      <w:r>
        <w:rPr>
          <w:b/>
          <w:color w:val="C00000"/>
        </w:rPr>
        <w:t>[TO WRITE]</w:t>
      </w:r>
    </w:p>
    <w:p>
      <w:pPr>
        <w:pStyle w:val="Heading1"/>
      </w:pPr>
      <w:r>
        <w:t>References</w:t>
      </w:r>
    </w:p>
    <w:p>
      <w:r>
        <w:rPr>
          <w:b/>
          <w:color w:val="C00000"/>
        </w:rPr>
        <w:t>[TO WRITE: no reference in paper/references.csv has status VERIFIED and is cited]</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