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 xml:space="preserve">Table 8. </w:t>
      </w:r>
      <w:r>
        <w:t>Preregistered power table reproduced from the actual analysis sets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architecture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n_services_actual (services)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n_services_preregistered (services)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n_matches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ancestor_count_levels_actual (levels)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ancestor_count_levels_preregistered (levels)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levels_match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ancestor_count_values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ceiling_rho_untied_outcome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ceiling_rho_preregistered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ceiling_matches_prereg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ceiling_p_exact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ceiling_p_asymptotic_NOT_FOR_INFERENCE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prereg_section_7_2_states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role</w:t>
            </w:r>
          </w:p>
        </w:tc>
      </w:tr>
      <w:tr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Social Network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1,2,2,2,2,2,3,3,3,4,4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0.941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0.941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0.0002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0.0000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confirmatory</w:t>
            </w:r>
          </w:p>
        </w:tc>
      </w:tr>
      <w:tr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Hotel Reservation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1,1,1,1,1,2,2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0.791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0.791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0.0952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0.0343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0.034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held-out, DIRECTIONAL ONLY</w:t>
            </w:r>
          </w:p>
        </w:tc>
      </w:tr>
    </w:tbl>
    <w:p>
      <w:r>
        <w:t>Units are given in parentheses in the column headers; columns without a unit are dimensionless or categorical.</w:t>
      </w:r>
    </w:p>
    <w:sectPr w:rsidR="00FC693F" w:rsidRPr="0006063C" w:rsidSect="00034616">
      <w:pgSz w:w="15840" w:h="12240" w:orient="landscape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jc w:val="left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left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jc w:val="left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left"/>
    </w:pPr>
    <w:rPr>
      <w:rFonts w:asciiTheme="majorHAnsi" w:eastAsiaTheme="majorEastAsia" w:hAnsiTheme="majorHAnsi" w:cstheme="majorBidi" w:ascii="Times New Roman" w:hAnsi="Times New Roman" w:eastAsia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