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4. </w:t>
      </w:r>
      <w:r>
        <w:t>The primary predictor-outcome test in each family and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family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architecture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predictor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n_services (services)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rho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ci_lo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ci_hi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ci_method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p_raw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p_method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p_bh_adjusted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significant_q05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 (kill)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ancestor_count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ancestor_affected_count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0.785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BCa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0.0080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10000 random permutations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0.3451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 (kill)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Hotel Reservation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ancestor_count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ancestor_affected_count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percentile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0.0476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5040 permutations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0.3451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DIRECTIONAL ONLY (saturated)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replication (latency)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ancestor_count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ancestor_affected_count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0.785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BCa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0.0076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10000 random permutations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0.1848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replication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replication (latency)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Hotel Reservation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ancestor_count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ancestor_affected_count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percentile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0.0476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exact enumeration of 5040 permutations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0.2328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DIRECTIONAL ONLY (saturated)</w:t>
            </w:r>
          </w:p>
        </w:tc>
      </w:tr>
    </w:tbl>
    <w:p>
      <w:r>
        <w:t>Units are given in parentheses in the column headers; columns without a unit are dimensionless or categorical.</w:t>
      </w:r>
    </w:p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