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7. </w:t>
      </w:r>
      <w:r>
        <w:t>H1b: hybrid_criticality vs ancestor_affected_count in all four architecture-by-fault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</w:tblGrid>
      <w:tr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family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fault_type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n_services (services)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rho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ci_lo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ci_hi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p_raw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p_bh_adjusted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rho_le_zero_as_preregistered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distinguishable_from_zero_after_fdr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-0.144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-0.810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0.698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0.6688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0.9925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directionally anti-predictive but NOT distinguishable from zero after FDR</w:t>
            </w:r>
          </w:p>
        </w:tc>
      </w:tr>
      <w:tr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kill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-0.258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-0.730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-0.167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directionally anti-predictive but NOT distinguishable from zero after FDR</w:t>
            </w:r>
          </w:p>
        </w:tc>
      </w:tr>
      <w:tr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-0.144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-0.805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0.713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0.6656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0.9152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directionally anti-predictive but NOT distinguishable from zero after FDR</w:t>
            </w:r>
          </w:p>
        </w:tc>
      </w:tr>
      <w:tr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-0.258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-0.750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-0.167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08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directionally anti-predictive but NOT distinguishable from zero after FDR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