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Table 9. </w:t>
      </w:r>
      <w:r>
        <w:t>Recovery time: Spearman (primary, BH-corrected within family), Cox and log-rank (secondary, uncorrected) for ancestor_count and hybrid_criticality. Cox hazard ratios are per unit of ancestor_count, run level with SEs clustered by service and service level; log-rank is undefined where the predictor has fewer than two distinct terciles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family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architecture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predictor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spearman_rho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p_raw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p_bh_adjusted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cox_run_hr (per ancestor)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cox_run_ci_95 (per ancestor)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cox_run_p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cox_service_hr (per ancestor)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cox_service_ci_95 (per ancestor)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cox_service_p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logrank_p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confirmatory (kill)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Social Network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ancestor_count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-0.356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0.2807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0.9264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1.173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0.876 to 1.570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0.2836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1.479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0.688 to 3.181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0.3163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0.5154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confirmatory (kill)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Social Network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hybrid_criticality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0.098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0.7699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0.9925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0.2099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confirmatory (kill)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Hotel Reservation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ancestor_count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-0.158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0.8571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0.9925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1.522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1.067 to 2.171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0.0204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2.179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0.302 to 15.722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0.4399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undefined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confirmatory (kill)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Hotel Reservation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hybrid_criticality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0.204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0.8571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0.9925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undefined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replication (latency)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Social Network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ancestor_count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-0.060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0.8647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0.998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0.816 to 1.221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0.9859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1.184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0.627 to 2.236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0.6018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0.5561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replication (latency)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Social Network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hybrid_criticality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0.767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0.0084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0.1848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0.1099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replication (latency)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Hotel Reservation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ancestor_count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-0.158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0.8571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0.882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0.578 to 1.346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0.5609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2.179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0.302 to 15.722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0.4399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undefined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replication (latency)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Hotel Reservation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hybrid_criticality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0.408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0.5714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0.8111</w:t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00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undefined</w:t>
            </w:r>
          </w:p>
        </w:tc>
      </w:tr>
    </w:tbl>
    <w:p>
      <w:r>
        <w:t>Units are given in parentheses in the column headers; columns without a unit are dimensionless or categorical.</w:t>
      </w:r>
    </w:p>
    <w:sectPr w:rsidR="00FC693F" w:rsidRPr="0006063C" w:rsidSect="00034616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left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