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FILL: date]</w:t>
      </w:r>
    </w:p>
    <w:p>
      <w:r>
        <w:t>Dear Editors of PeerJ Computer Science,</w:t>
      </w:r>
    </w:p>
    <w:p>
      <w:r>
        <w:t>We submit the manuscript "Does Call-Graph Fan-Out Predict Failure Impact in Microservices? A Preregistered Fault-Injection Study" for consideration as a research article.</w:t>
      </w:r>
    </w:p>
    <w:p>
      <w:r>
        <w:t>The study tests whether a service's position in the dependency graph tracks how many other services degrade when it fails. We compared the number of transitive callers of each service with a fan-out-weighted centrality metric in 180 fault-injection runs on two DeathStarBench applications. The hypotheses and the full analysis were preregistered and locked before any campaign data existed.</w:t>
      </w:r>
    </w:p>
    <w:p>
      <w:r>
        <w:t>The preregistered hypothesis was not confirmed. On one application under kill faults, caller count and the number of degraded callers correlated at ρ = 0.785, but none of the 44 confirmatory tests survived the Benjamini-Hochberg correction we committed to, and the fan-out metric showed no detectable association. The clearest finding concerns direction: degradation reached the callers of the faulted service, and no callee degraded in 179 of 180 runs.</w:t>
      </w:r>
    </w:p>
    <w:p>
      <w:r>
        <w:t>We believe the paper suits PeerJ Computer Science because the journal evaluates submissions on methodological soundness, not on perceived impact. The design was preregistered and every deviation from it is reported. The code and raw trace data are openly available, together with the scripts that produce every number in the manuscript.</w:t>
      </w:r>
    </w:p>
    <w:p>
      <w:r>
        <w:t>We also disclose that an earlier analysis from this project was withdrawn after a self-audit found results that had not come from measurement. Section 7 of the manuscript describes what was withdrawn and the safeguards that followed.</w:t>
      </w:r>
    </w:p>
    <w:p>
      <w:r>
        <w:t>The manuscript has not been published and is not under consideration elsewhere. An AI assistant, Claude (Anthropic), was used for code development and review and for drafting and language editing, as set out in the AI-Use Statement.</w:t>
      </w:r>
    </w:p>
    <w:p>
      <w:r>
        <w:t>Sincerely,</w:t>
      </w:r>
    </w:p>
    <w:p>
      <w:r>
        <w:t>Dakshrajsinh Tank, on behalf of all authors [TO FILL: co-authors]</w:t>
      </w:r>
    </w:p>
    <w:p>
      <w:r>
        <w:t>Vellore Institute of Technology, [TO FILL: department]</w:t>
      </w:r>
    </w:p>
    <w:p>
      <w:r>
        <w:t>[TO FILL: corresponding author name, email and postal address]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