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legends</w:t>
      </w:r>
    </w:p>
    <w:p>
      <w:r>
        <w:rPr>
          <w:b/>
        </w:rPr>
        <w:t xml:space="preserve">Figure 1. </w:t>
      </w:r>
      <w:r>
        <w:t>Per-service p95 under the old end-to-end root-span scope vs the corrected own-span scope, HR search latency fault</w:t>
      </w:r>
    </w:p>
    <w:p>
      <w:r>
        <w:rPr>
          <w:b/>
        </w:rPr>
        <w:t xml:space="preserve">Figure 2. </w:t>
      </w:r>
      <w:r>
        <w:t>ancestor_count vs measured ancestor_affected_count per SN service, with y=x and the departing services labelled</w:t>
      </w:r>
    </w:p>
    <w:p>
      <w:r>
        <w:rPr>
          <w:b/>
        </w:rPr>
        <w:t xml:space="preserve">Figure 3. </w:t>
      </w:r>
      <w:r>
        <w:t>Post-hoc: primary rho recomputed with each SN service excluded, kill faults</w:t>
      </w:r>
    </w:p>
    <w:p>
      <w:r>
        <w:rPr>
          <w:b/>
        </w:rPr>
        <w:t xml:space="preserve">Figure 4. </w:t>
      </w:r>
      <w:r>
        <w:t>Rank of all 11 SN services by hybrid_criticality vs by ancestor_count, compose-post-service highlighted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