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360" w:lineRule="auto" w:before="480" w:after="240"/>
        <w:jc w:val="center"/>
      </w:pPr>
      <w:r>
        <w:rPr>
          <w:rFonts w:ascii="Times New Roman" w:hAnsi="Times New Roman"/>
          <w:b/>
          <w:i w:val="0"/>
          <w:sz w:val="28"/>
        </w:rPr>
        <w:t>BCSE497J – Project-I</w:t>
      </w:r>
    </w:p>
    <w:p>
      <w:pPr>
        <w:spacing w:line="360" w:lineRule="auto" w:before="240" w:after="480"/>
        <w:jc w:val="center"/>
      </w:pPr>
      <w:r>
        <w:rPr>
          <w:rFonts w:ascii="Times New Roman" w:hAnsi="Times New Roman"/>
          <w:b/>
          <w:i w:val="0"/>
          <w:sz w:val="32"/>
        </w:rPr>
        <w:t>IDENTIFYING FAILURE-PRONE MICROSERVICES</w:t>
        <w:br/>
        <w:t>USING GRAPH CENTRALITY METRICS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514"/>
        <w:gridCol w:w="4514"/>
      </w:tblGrid>
      <w:tr>
        <w:tc>
          <w:tcPr>
            <w:tcW w:type="dxa" w:w="4514"/>
          </w:tcPr>
          <w:p/>
          <w:p>
            <w:pPr>
              <w:spacing w:line="360" w:lineRule="auto" w:before="0" w:after="0"/>
              <w:jc w:val="center"/>
            </w:pPr>
            <w:r>
              <w:rPr>
                <w:rFonts w:ascii="Times New Roman" w:hAnsi="Times New Roman"/>
                <w:b/>
                <w:i w:val="0"/>
                <w:sz w:val="26"/>
              </w:rPr>
              <w:t>[Reg. No. 1]</w:t>
            </w:r>
          </w:p>
        </w:tc>
        <w:tc>
          <w:tcPr>
            <w:tcW w:type="dxa" w:w="4514"/>
          </w:tcPr>
          <w:p/>
          <w:p>
            <w:pPr>
              <w:spacing w:line="360" w:lineRule="auto" w:before="0" w:after="0"/>
              <w:jc w:val="center"/>
            </w:pPr>
            <w:r>
              <w:rPr>
                <w:rFonts w:ascii="Times New Roman" w:hAnsi="Times New Roman"/>
                <w:b/>
                <w:i w:val="0"/>
                <w:sz w:val="26"/>
              </w:rPr>
              <w:t>[STUDENT NAME 1]</w:t>
            </w:r>
          </w:p>
        </w:tc>
      </w:tr>
      <w:tr>
        <w:tc>
          <w:tcPr>
            <w:tcW w:type="dxa" w:w="4514"/>
          </w:tcPr>
          <w:p/>
          <w:p>
            <w:pPr>
              <w:spacing w:line="360" w:lineRule="auto" w:before="0" w:after="0"/>
              <w:jc w:val="center"/>
            </w:pPr>
            <w:r>
              <w:rPr>
                <w:rFonts w:ascii="Times New Roman" w:hAnsi="Times New Roman"/>
                <w:b/>
                <w:i w:val="0"/>
                <w:sz w:val="26"/>
              </w:rPr>
              <w:t>[Reg. No. 2]</w:t>
            </w:r>
          </w:p>
        </w:tc>
        <w:tc>
          <w:tcPr>
            <w:tcW w:type="dxa" w:w="4514"/>
          </w:tcPr>
          <w:p/>
          <w:p>
            <w:pPr>
              <w:spacing w:line="360" w:lineRule="auto" w:before="0" w:after="0"/>
              <w:jc w:val="center"/>
            </w:pPr>
            <w:r>
              <w:rPr>
                <w:rFonts w:ascii="Times New Roman" w:hAnsi="Times New Roman"/>
                <w:b/>
                <w:i w:val="0"/>
                <w:sz w:val="26"/>
              </w:rPr>
              <w:t>[STUDENT NAME 2]</w:t>
            </w:r>
          </w:p>
        </w:tc>
      </w:tr>
      <w:tr>
        <w:tc>
          <w:tcPr>
            <w:tcW w:type="dxa" w:w="4514"/>
          </w:tcPr>
          <w:p/>
          <w:p>
            <w:pPr>
              <w:spacing w:line="360" w:lineRule="auto" w:before="0" w:after="0"/>
              <w:jc w:val="center"/>
            </w:pPr>
            <w:r>
              <w:rPr>
                <w:rFonts w:ascii="Times New Roman" w:hAnsi="Times New Roman"/>
                <w:b/>
                <w:i w:val="0"/>
                <w:sz w:val="26"/>
              </w:rPr>
              <w:t>[Reg. No. 3]</w:t>
            </w:r>
          </w:p>
        </w:tc>
        <w:tc>
          <w:tcPr>
            <w:tcW w:type="dxa" w:w="4514"/>
          </w:tcPr>
          <w:p/>
          <w:p>
            <w:pPr>
              <w:spacing w:line="360" w:lineRule="auto" w:before="0" w:after="0"/>
              <w:jc w:val="center"/>
            </w:pPr>
            <w:r>
              <w:rPr>
                <w:rFonts w:ascii="Times New Roman" w:hAnsi="Times New Roman"/>
                <w:b/>
                <w:i w:val="0"/>
                <w:sz w:val="26"/>
              </w:rPr>
              <w:t>[STUDENT NAME 3]</w:t>
            </w:r>
          </w:p>
        </w:tc>
      </w:tr>
    </w:tbl>
    <w:p/>
    <w:p>
      <w:pPr>
        <w:spacing w:line="360" w:lineRule="auto" w:before="80" w:after="400"/>
        <w:jc w:val="center"/>
      </w:pPr>
      <w:r>
        <w:rPr>
          <w:rFonts w:ascii="Times New Roman" w:hAnsi="Times New Roman"/>
          <w:b/>
          <w:i/>
          <w:sz w:val="26"/>
        </w:rPr>
        <w:t>(Mention the particulars sorted on Register Number)</w:t>
      </w:r>
    </w:p>
    <w:p>
      <w:pPr>
        <w:spacing w:line="360" w:lineRule="auto" w:before="160" w:after="80"/>
        <w:jc w:val="center"/>
      </w:pPr>
      <w:r>
        <w:rPr>
          <w:rFonts w:ascii="Times New Roman" w:hAnsi="Times New Roman"/>
          <w:b w:val="0"/>
          <w:i w:val="0"/>
          <w:sz w:val="24"/>
        </w:rPr>
        <w:t>Under the Supervision of</w:t>
      </w:r>
    </w:p>
    <w:p>
      <w:pPr>
        <w:spacing w:line="360" w:lineRule="auto" w:before="0" w:after="0"/>
        <w:jc w:val="center"/>
      </w:pPr>
      <w:r>
        <w:rPr>
          <w:rFonts w:ascii="Times New Roman" w:hAnsi="Times New Roman"/>
          <w:b/>
          <w:i w:val="0"/>
          <w:sz w:val="24"/>
        </w:rPr>
        <w:t>[PROJECT GUIDE NAME]</w:t>
      </w:r>
    </w:p>
    <w:p>
      <w:pPr>
        <w:spacing w:line="360" w:lineRule="auto" w:before="0" w:after="0"/>
        <w:jc w:val="center"/>
      </w:pPr>
      <w:r>
        <w:rPr>
          <w:rFonts w:ascii="Times New Roman" w:hAnsi="Times New Roman"/>
          <w:b w:val="0"/>
          <w:i w:val="0"/>
          <w:sz w:val="24"/>
        </w:rPr>
        <w:t>[Designation]</w:t>
      </w:r>
    </w:p>
    <w:p>
      <w:pPr>
        <w:spacing w:line="360" w:lineRule="auto" w:before="0" w:after="400"/>
        <w:jc w:val="center"/>
      </w:pPr>
      <w:r>
        <w:rPr>
          <w:rFonts w:ascii="Times New Roman" w:hAnsi="Times New Roman"/>
          <w:b w:val="0"/>
          <w:i w:val="0"/>
          <w:sz w:val="24"/>
        </w:rPr>
        <w:t>School of Computer Science and Engineering (SCOPE)</w:t>
      </w:r>
    </w:p>
    <w:p>
      <w:pPr>
        <w:spacing w:line="360" w:lineRule="auto" w:before="0" w:after="0"/>
        <w:jc w:val="center"/>
      </w:pPr>
      <w:r>
        <w:rPr>
          <w:rFonts w:ascii="Times New Roman" w:hAnsi="Times New Roman"/>
          <w:b/>
          <w:i w:val="0"/>
          <w:sz w:val="24"/>
        </w:rPr>
        <w:t>B.Tech.</w:t>
      </w:r>
    </w:p>
    <w:p>
      <w:pPr>
        <w:spacing w:line="360" w:lineRule="auto" w:before="0" w:after="0"/>
        <w:jc w:val="center"/>
      </w:pPr>
      <w:r>
        <w:rPr>
          <w:rFonts w:ascii="Times New Roman" w:hAnsi="Times New Roman"/>
          <w:b w:val="0"/>
          <w:i/>
          <w:sz w:val="24"/>
        </w:rPr>
        <w:t>in</w:t>
      </w:r>
    </w:p>
    <w:p>
      <w:pPr>
        <w:spacing w:line="360" w:lineRule="auto" w:before="0" w:after="0"/>
        <w:jc w:val="center"/>
      </w:pPr>
      <w:r>
        <w:rPr>
          <w:rFonts w:ascii="Times New Roman" w:hAnsi="Times New Roman"/>
          <w:b/>
          <w:i w:val="0"/>
          <w:sz w:val="24"/>
        </w:rPr>
        <w:t>Computer Science and Engineering</w:t>
      </w:r>
    </w:p>
    <w:p>
      <w:pPr>
        <w:spacing w:line="360" w:lineRule="auto" w:before="0" w:after="240"/>
        <w:jc w:val="center"/>
      </w:pPr>
      <w:r>
        <w:rPr>
          <w:rFonts w:ascii="Times New Roman" w:hAnsi="Times New Roman"/>
          <w:b/>
          <w:i/>
          <w:sz w:val="24"/>
        </w:rPr>
        <w:t>[Specialization if any]</w:t>
      </w:r>
    </w:p>
    <w:p>
      <w:pPr>
        <w:spacing w:line="360" w:lineRule="auto" w:before="120" w:after="320"/>
        <w:jc w:val="center"/>
      </w:pPr>
      <w:r>
        <w:rPr>
          <w:rFonts w:ascii="Times New Roman" w:hAnsi="Times New Roman"/>
          <w:b/>
          <w:i w:val="0"/>
          <w:sz w:val="28"/>
        </w:rPr>
        <w:t>School of Computer Science and Engineering</w:t>
      </w:r>
    </w:p>
    <w:p>
      <w:pPr>
        <w:spacing w:line="360" w:lineRule="auto" w:before="0" w:after="240"/>
        <w:jc w:val="center"/>
      </w:pPr>
      <w:r>
        <w:rPr>
          <w:rFonts w:ascii="Times New Roman" w:hAnsi="Times New Roman"/>
          <w:b w:val="0"/>
          <w:i/>
          <w:sz w:val="22"/>
        </w:rPr>
        <w:t>[ Insert VIT Logo Here ]</w:t>
      </w:r>
    </w:p>
    <w:p>
      <w:pPr>
        <w:spacing w:line="360" w:lineRule="auto" w:before="0" w:after="40"/>
        <w:jc w:val="center"/>
      </w:pPr>
      <w:r>
        <w:rPr>
          <w:rFonts w:ascii="Times New Roman" w:hAnsi="Times New Roman"/>
          <w:b/>
          <w:i w:val="0"/>
          <w:sz w:val="28"/>
        </w:rPr>
        <w:t>Vellore Institute of Technology</w:t>
      </w:r>
    </w:p>
    <w:p>
      <w:pPr>
        <w:spacing w:line="360" w:lineRule="auto" w:before="0" w:after="400"/>
        <w:jc w:val="center"/>
      </w:pPr>
      <w:r>
        <w:rPr>
          <w:rFonts w:ascii="Times New Roman" w:hAnsi="Times New Roman"/>
          <w:b w:val="0"/>
          <w:i/>
          <w:sz w:val="20"/>
        </w:rPr>
        <w:t>(Deemed to be University under section 3 of UGC Act, 1956)</w:t>
      </w:r>
    </w:p>
    <w:p>
      <w:pPr>
        <w:spacing w:line="360" w:lineRule="auto" w:before="160" w:after="0"/>
        <w:jc w:val="center"/>
      </w:pPr>
      <w:r>
        <w:rPr>
          <w:rFonts w:ascii="Times New Roman" w:hAnsi="Times New Roman"/>
          <w:b w:val="0"/>
          <w:i w:val="0"/>
          <w:sz w:val="24"/>
        </w:rPr>
        <w:t>September 2026</w:t>
      </w:r>
    </w:p>
    <w:p>
      <w:r>
        <w:br w:type="page"/>
      </w:r>
    </w:p>
    <w:p>
      <w:pPr>
        <w:spacing w:line="360" w:lineRule="auto" w:before="120" w:after="160"/>
        <w:jc w:val="center"/>
      </w:pPr>
      <w:r>
        <w:rPr>
          <w:rFonts w:ascii="Times New Roman" w:hAnsi="Times New Roman"/>
          <w:b/>
          <w:i w:val="0"/>
          <w:sz w:val="28"/>
        </w:rPr>
        <w:t>ABSTRACT</w:t>
      </w:r>
    </w:p>
    <w:p>
      <w:pPr>
        <w:spacing w:line="276" w:lineRule="auto" w:before="0" w:after="120"/>
        <w:ind w:firstLine="720"/>
        <w:jc w:val="both"/>
      </w:pPr>
      <w:r>
        <w:rPr>
          <w:rFonts w:ascii="Times New Roman" w:hAnsi="Times New Roman"/>
          <w:b w:val="0"/>
          <w:i w:val="0"/>
          <w:sz w:val="24"/>
        </w:rPr>
        <w:t>The rapid growth of cloud-native microservice architectures has introduced significant challenges in ensuring system resilience, as a single service failure can cascade through dependency chains and cause widespread outages. Traditional approaches to identifying failure-prone services rely on manual architectural reviews and post-incident analysis, which are both subjective and reactive. This project proposes and validates a data-driven, proactive methodology that leverages graph-theoretic centrality metrics to predict the blast radius of service failures before they occur in production.</w:t>
      </w:r>
    </w:p>
    <w:p>
      <w:pPr>
        <w:spacing w:line="276" w:lineRule="auto" w:before="0" w:after="120"/>
        <w:ind w:firstLine="720"/>
        <w:jc w:val="both"/>
      </w:pPr>
      <w:r>
        <w:rPr>
          <w:rFonts w:ascii="Times New Roman" w:hAnsi="Times New Roman"/>
          <w:b w:val="0"/>
          <w:i w:val="0"/>
          <w:sz w:val="24"/>
        </w:rPr>
        <w:t>The experimental platform is the DeathStarBench Social Network application, a peer-reviewed industry-representative benchmark comprising 12 interdependent microservices deployed on Docker Compose. A dynamic Service Dependency Graph (SDG) is automatically constructed from live Jaeger distributed traces, capturing all inter-service Remote Procedure Call (RPC) relationships and their associated latency characteristics. Seven graph centrality metrics are then computed on the SDG using the NetworkX library: Degree, In-Degree, Out-Degree, Betweenness, Closeness, Eigenvector, and PageRank centrality.</w:t>
      </w:r>
    </w:p>
    <w:p>
      <w:pPr>
        <w:spacing w:line="276" w:lineRule="auto" w:before="0" w:after="120"/>
        <w:ind w:firstLine="720"/>
        <w:jc w:val="both"/>
      </w:pPr>
      <w:r>
        <w:rPr>
          <w:rFonts w:ascii="Times New Roman" w:hAnsi="Times New Roman"/>
          <w:b w:val="0"/>
          <w:i w:val="0"/>
          <w:sz w:val="24"/>
        </w:rPr>
        <w:t>Chaos fault injection experiments are conducted using the Pumba tool, injecting container kill (SIGKILL) and network latency (100 ms via tc netem) faults across all 12 microservices with two repetitions each, totalling 48 controlled experiment runs. Blast radius is quantified across five dimensions: tail latency degradation (p95 and p99), error rate increase, number of downstream services affected, and system recovery time.</w:t>
      </w:r>
    </w:p>
    <w:p>
      <w:pPr>
        <w:spacing w:line="276" w:lineRule="auto" w:before="0" w:after="120"/>
        <w:ind w:firstLine="720"/>
        <w:jc w:val="both"/>
      </w:pPr>
      <w:r>
        <w:rPr>
          <w:rFonts w:ascii="Times New Roman" w:hAnsi="Times New Roman"/>
          <w:b w:val="0"/>
          <w:i w:val="0"/>
          <w:sz w:val="24"/>
        </w:rPr>
        <w:t>Spearman's rank correlation analysis reveals that In-Degree Centrality is the strongest single predictor of error rate spikes (ρ = 0.82, p = 0.0011), while Betweenness Centrality best predicts the downstream blast radius (ρ = 0.73, p = 0.0075). The composite centrality score achieves an exceptional correlation with all failure dimensions (ρ = −0.92 for error rate, p &lt; 0.0001). Outlier analysis identifies compose-post-service as a critical False Negative: its graph-structural rank (7th) substantially underestimates its empirical blast rank (2nd), revealing a fundamental limitation of inward-looking centrality metrics for synchronous fan-out orchestrators.</w:t>
      </w:r>
    </w:p>
    <w:p>
      <w:pPr>
        <w:spacing w:line="276" w:lineRule="auto" w:before="160" w:after="0"/>
        <w:ind w:firstLine="0"/>
        <w:jc w:val="both"/>
      </w:pPr>
      <w:r>
        <w:rPr>
          <w:rFonts w:ascii="Times New Roman" w:hAnsi="Times New Roman"/>
          <w:b/>
          <w:i/>
          <w:sz w:val="24"/>
        </w:rPr>
        <w:t>Keywords</w:t>
      </w:r>
      <w:r>
        <w:rPr>
          <w:rFonts w:ascii="Times New Roman" w:hAnsi="Times New Roman"/>
          <w:b w:val="0"/>
          <w:i/>
          <w:sz w:val="24"/>
        </w:rPr>
        <w:t xml:space="preserve"> — Microservices, Graph Centrality, Chaos Engineering, Fault Injection, Distributed Tracing, Blast Radius, Spearman Correlation, Jaeger, DeathStarBench, Service Dependency Graph.</w:t>
      </w:r>
    </w:p>
    <w:p>
      <w:r>
        <w:br w:type="page"/>
      </w:r>
    </w:p>
    <w:p>
      <w:pPr>
        <w:spacing w:line="360" w:lineRule="auto" w:before="120" w:after="160"/>
        <w:jc w:val="center"/>
      </w:pPr>
      <w:r>
        <w:rPr>
          <w:rFonts w:ascii="Times New Roman" w:hAnsi="Times New Roman"/>
          <w:b/>
          <w:i w:val="0"/>
          <w:sz w:val="28"/>
        </w:rPr>
        <w:t>TABLE OF CONTENTS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3010"/>
        <w:gridCol w:w="3010"/>
        <w:gridCol w:w="3010"/>
      </w:tblGrid>
      <w:tr>
        <w:tc>
          <w:tcPr>
            <w:tcW w:type="dxa" w:w="1008"/>
            <w:shd w:val="clear" w:color="auto" w:fill="D9D9D9"/>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i w:val="0"/>
                <w:sz w:val="24"/>
              </w:rPr>
              <w:t>Sl.No</w:t>
            </w:r>
          </w:p>
        </w:tc>
        <w:tc>
          <w:tcPr>
            <w:tcW w:type="dxa" w:w="6912"/>
            <w:shd w:val="clear" w:color="auto" w:fill="D9D9D9"/>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i w:val="0"/>
                <w:sz w:val="24"/>
              </w:rPr>
              <w:t>Contents</w:t>
            </w:r>
          </w:p>
        </w:tc>
        <w:tc>
          <w:tcPr>
            <w:tcW w:type="dxa" w:w="1152"/>
            <w:shd w:val="clear" w:color="auto" w:fill="D9D9D9"/>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i w:val="0"/>
                <w:sz w:val="24"/>
              </w:rPr>
              <w:t>Page No.</w:t>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Abstract</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i</w:t>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1.</w:t>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i w:val="0"/>
                <w:sz w:val="24"/>
              </w:rPr>
              <w:t>INTRODUCTION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1</w:t>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1.1  Background</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1</w:t>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1.2  Motivation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1</w:t>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1.3  Scope of the Project</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1</w:t>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2.</w:t>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i w:val="0"/>
                <w:sz w:val="24"/>
              </w:rPr>
              <w:t>PROJECT DESCRIPTION AND GOALS</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2.1  Literature Review</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2.2  Research Gap</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2.3  Objectives</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2.4  Problem Statement</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2.5  Project Plan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3.</w:t>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i w:val="0"/>
                <w:sz w:val="24"/>
              </w:rPr>
              <w:t>TECHNICAL SPECIFICATION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3.1  Requirements</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3.1.1  Functional</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3.1.2  Non-Functional</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3.2  Feasibility Study</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3.2.1  Technical Feasibility</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3.2.2  Economic Feasibility</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3.2.3  Social Feasibility</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3.3  System Specification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3.3.1  Hardware Specification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3.3.2  Software Specification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4.</w:t>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i w:val="0"/>
                <w:sz w:val="24"/>
              </w:rPr>
              <w:t>DESIGN APPROACH AND DETAILS</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4.1  System Architecture</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4.2  Design</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4.2.1  Data Flow Diagram</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4.2.2  Use Case Diagram</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4.2.3  Class Diagram</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val="0"/>
                <w:i w:val="0"/>
                <w:sz w:val="24"/>
              </w:rPr>
              <w:t xml:space="preserve">         4.2.4  Sequence Diagram</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r>
        <w:tc>
          <w:tcPr>
            <w:tcW w:type="dxa" w:w="1008"/>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t>5.</w:t>
            </w:r>
          </w:p>
        </w:tc>
        <w:tc>
          <w:tcPr>
            <w:tcW w:type="dxa" w:w="6912"/>
            <w:tcBorders>
              <w:top w:val="single" w:sz="4" w:space="0" w:color="000000"/>
              <w:left w:val="single" w:sz="4" w:space="0" w:color="000000"/>
              <w:bottom w:val="single" w:sz="4" w:space="0" w:color="000000"/>
              <w:right w:val="single" w:sz="4" w:space="0" w:color="000000"/>
            </w:tcBorders>
          </w:tcPr>
          <w:p>
            <w:pPr>
              <w:spacing w:line="360" w:lineRule="auto" w:before="0" w:after="0"/>
              <w:jc w:val="left"/>
            </w:pPr>
            <w:r>
              <w:rPr>
                <w:rFonts w:ascii="Times New Roman" w:hAnsi="Times New Roman"/>
                <w:b/>
                <w:i w:val="0"/>
                <w:sz w:val="24"/>
              </w:rPr>
              <w:t>REFERENCES</w:t>
            </w:r>
          </w:p>
        </w:tc>
        <w:tc>
          <w:tcPr>
            <w:tcW w:type="dxa" w:w="1152"/>
            <w:tcBorders>
              <w:top w:val="single" w:sz="4" w:space="0" w:color="000000"/>
              <w:left w:val="single" w:sz="4" w:space="0" w:color="000000"/>
              <w:bottom w:val="single" w:sz="4" w:space="0" w:color="000000"/>
              <w:right w:val="single" w:sz="4" w:space="0" w:color="000000"/>
            </w:tcBorders>
          </w:tcPr>
          <w:p>
            <w:pPr>
              <w:spacing w:line="360" w:lineRule="auto" w:before="0" w:after="0"/>
              <w:jc w:val="center"/>
            </w:pPr>
            <w:r>
              <w:rPr>
                <w:rFonts w:ascii="Times New Roman" w:hAnsi="Times New Roman"/>
                <w:b w:val="0"/>
                <w:i w:val="0"/>
                <w:sz w:val="24"/>
              </w:rPr>
            </w:r>
          </w:p>
        </w:tc>
      </w:tr>
    </w:tbl>
    <w:p>
      <w:r>
        <w:br w:type="page"/>
      </w:r>
    </w:p>
    <w:p>
      <w:pPr>
        <w:spacing w:line="360" w:lineRule="auto" w:before="120" w:after="160"/>
        <w:jc w:val="center"/>
      </w:pPr>
      <w:r>
        <w:rPr>
          <w:rFonts w:ascii="Times New Roman" w:hAnsi="Times New Roman"/>
          <w:b/>
          <w:i w:val="0"/>
          <w:sz w:val="28"/>
        </w:rPr>
        <w:t>1. INTRODUCTION</w:t>
      </w:r>
    </w:p>
    <w:p>
      <w:pPr>
        <w:spacing w:line="360" w:lineRule="auto" w:before="200" w:after="80"/>
        <w:jc w:val="left"/>
      </w:pPr>
      <w:r>
        <w:rPr>
          <w:rFonts w:ascii="Times New Roman" w:hAnsi="Times New Roman"/>
          <w:b/>
          <w:i w:val="0"/>
          <w:sz w:val="26"/>
        </w:rPr>
        <w:t>1.1 Background</w:t>
      </w:r>
    </w:p>
    <w:p>
      <w:pPr>
        <w:spacing w:line="276" w:lineRule="auto" w:before="0" w:after="120"/>
        <w:ind w:firstLine="720"/>
        <w:jc w:val="both"/>
      </w:pPr>
      <w:r>
        <w:rPr>
          <w:rFonts w:ascii="Times New Roman" w:hAnsi="Times New Roman"/>
          <w:b w:val="0"/>
          <w:i w:val="0"/>
          <w:sz w:val="24"/>
        </w:rPr>
        <w:t>The rapid digitisation of global industries has led to the widespread adoption of cloud-native software architectures, with microservices emerging as the dominant paradigm for building scalable, independently deployable applications. In a microservice architecture, a complex application is decomposed into a collection of small, focused services—each responsible for a specific business capability—that communicate over the network via Remote Procedure Calls (RPC) or HTTP APIs. While this decomposition offers compelling advantages in terms of modularity, independent scaling, and continuous deployment, it introduces a new class of systems challenges centred on inter-service dependency management.</w:t>
      </w:r>
    </w:p>
    <w:p>
      <w:pPr>
        <w:spacing w:line="276" w:lineRule="auto" w:before="0" w:after="120"/>
        <w:ind w:firstLine="720"/>
        <w:jc w:val="both"/>
      </w:pPr>
      <w:r>
        <w:rPr>
          <w:rFonts w:ascii="Times New Roman" w:hAnsi="Times New Roman"/>
          <w:b w:val="0"/>
          <w:i w:val="0"/>
          <w:sz w:val="24"/>
        </w:rPr>
        <w:t>A fundamental challenge in operating microservice systems at scale is the cascading failure problem. When a service experiences degradation—due to a crash, network partition, or resource exhaustion—upstream services that synchronously depend on it begin accumulating unresolved requests, exhausting thread pools and connection buffers. This backpressure propagates upward through the call graph, potentially triggering a system-wide outage from a failure that originated in a single, seemingly minor component. The opacity of these dependency chains, especially in systems with dozens or hundreds of services, makes it exceedingly difficult for Site Reliability Engineers (SREs) to anticipate which service failures will have the most severe system-wide impact.</w:t>
      </w:r>
    </w:p>
    <w:p>
      <w:pPr>
        <w:spacing w:line="276" w:lineRule="auto" w:before="0" w:after="120"/>
        <w:ind w:firstLine="720"/>
        <w:jc w:val="both"/>
      </w:pPr>
      <w:r>
        <w:rPr>
          <w:rFonts w:ascii="Times New Roman" w:hAnsi="Times New Roman"/>
          <w:b w:val="0"/>
          <w:i w:val="0"/>
          <w:sz w:val="24"/>
        </w:rPr>
        <w:t>Graph theory offers a principled mathematical framework for analysing the structural properties of networked systems. By modelling the microservice architecture as a directed graph—where nodes represent services and edges represent RPC dependencies—standard graph centrality metrics can quantify each service's structural importance within the communication topology. This project explores whether such structural metrics, derived from dynamic runtime distributed traces, can serve as statistically reliable predictors of real-world failure impact in a representative microservice benchmark.</w:t>
      </w:r>
    </w:p>
    <w:p>
      <w:pPr>
        <w:spacing w:line="360" w:lineRule="auto" w:before="200" w:after="80"/>
        <w:jc w:val="left"/>
      </w:pPr>
      <w:r>
        <w:rPr>
          <w:rFonts w:ascii="Times New Roman" w:hAnsi="Times New Roman"/>
          <w:b/>
          <w:i w:val="0"/>
          <w:sz w:val="26"/>
        </w:rPr>
        <w:t>1.2 Motivation</w:t>
      </w:r>
    </w:p>
    <w:p>
      <w:pPr>
        <w:spacing w:line="276" w:lineRule="auto" w:before="0" w:after="120"/>
        <w:ind w:firstLine="720"/>
        <w:jc w:val="both"/>
      </w:pPr>
      <w:r>
        <w:rPr>
          <w:rFonts w:ascii="Times New Roman" w:hAnsi="Times New Roman"/>
          <w:b w:val="0"/>
          <w:i w:val="0"/>
          <w:sz w:val="24"/>
        </w:rPr>
        <w:t>The motivation for this research arises from a critical gap between the theoretical maturity of graph analysis and its practical adoption in cloud operations. Despite the widespread availability of distributed tracing infrastructure (Jaeger, Zipkin, AWS X-Ray), most organisations use trace data purely for post-incident debugging rather than proactive structural risk analysis. SREs at cloud providers such as Google, Amazon, and Netflix invest heavily in chaos engineering programmes to discover resilience weaknesses, but these programmes are typically executed without a principled ranking of which services are most likely to cause widespread damage when they fail.</w:t>
      </w:r>
    </w:p>
    <w:p>
      <w:pPr>
        <w:spacing w:line="276" w:lineRule="auto" w:before="0" w:after="120"/>
        <w:ind w:firstLine="720"/>
        <w:jc w:val="both"/>
      </w:pPr>
      <w:r>
        <w:rPr>
          <w:rFonts w:ascii="Times New Roman" w:hAnsi="Times New Roman"/>
          <w:b w:val="0"/>
          <w:i w:val="0"/>
          <w:sz w:val="24"/>
        </w:rPr>
        <w:t>The economic consequences of this knowledge gap are severe. Unplanned microservice outages at enterprise scale carry an average direct cost of $300,000 per hour in lost revenue and remediation effort (Gartner, 2022), with additional long-term costs arising from customer churn and reputational damage. A methodology that can automatically and quantitatively rank microservices by their predicted blast radius would allow engineering teams to prioritise redundancy, autoscaling, circuit breaker placement, and chaos experiment targeting based on objective structural evidence rather than subjective intuition.</w:t>
      </w:r>
    </w:p>
    <w:p>
      <w:pPr>
        <w:spacing w:line="276" w:lineRule="auto" w:before="0" w:after="120"/>
        <w:ind w:firstLine="720"/>
        <w:jc w:val="both"/>
      </w:pPr>
      <w:r>
        <w:rPr>
          <w:rFonts w:ascii="Times New Roman" w:hAnsi="Times New Roman"/>
          <w:b w:val="0"/>
          <w:i w:val="0"/>
          <w:sz w:val="24"/>
        </w:rPr>
        <w:t>This project is motivated by the hypothesis that graph centrality metrics computed from runtime Service Dependency Graphs carry statistically significant predictive power for failure impact, providing a fast, low-cost, automated signal to guide resilience engineering decisions. Validating or refuting this hypothesis with rigorous empirical evidence constitutes the core scientific contribution of the work.</w:t>
      </w:r>
    </w:p>
    <w:p>
      <w:pPr>
        <w:spacing w:line="360" w:lineRule="auto" w:before="200" w:after="80"/>
        <w:jc w:val="left"/>
      </w:pPr>
      <w:r>
        <w:rPr>
          <w:rFonts w:ascii="Times New Roman" w:hAnsi="Times New Roman"/>
          <w:b/>
          <w:i w:val="0"/>
          <w:sz w:val="26"/>
        </w:rPr>
        <w:t>1.3 Scope of the Project</w:t>
      </w:r>
    </w:p>
    <w:p>
      <w:pPr>
        <w:spacing w:line="276" w:lineRule="auto" w:before="0" w:after="120"/>
        <w:ind w:firstLine="720"/>
        <w:jc w:val="both"/>
      </w:pPr>
      <w:r>
        <w:rPr>
          <w:rFonts w:ascii="Times New Roman" w:hAnsi="Times New Roman"/>
          <w:b w:val="0"/>
          <w:i w:val="0"/>
          <w:sz w:val="24"/>
        </w:rPr>
        <w:t>The scope of this project encompasses the complete experimental pipeline from dynamic Service Dependency Graph construction to statistical correlation analysis. The study targets the DeathStarBench Social Network application, a peer-reviewed academic benchmark representing a Twitter/Reddit-style social platform composed of 12 interconnected microservices deployed via Docker Compose. The choice of DeathStarBench ensures reproducibility and comparability with prior academic work in the distributed systems community.</w:t>
      </w:r>
    </w:p>
    <w:p>
      <w:pPr>
        <w:spacing w:line="276" w:lineRule="auto" w:before="0" w:after="120"/>
        <w:ind w:firstLine="720"/>
        <w:jc w:val="both"/>
      </w:pPr>
      <w:r>
        <w:rPr>
          <w:rFonts w:ascii="Times New Roman" w:hAnsi="Times New Roman"/>
          <w:b w:val="0"/>
          <w:i w:val="0"/>
          <w:sz w:val="24"/>
        </w:rPr>
        <w:t>The project covers the following in-scope areas: (1) automated SDG extraction from Jaeger distributed traces; (2) computation of seven graph centrality metrics using the NetworkX Python library; (3) controlled chaos fault injection using the Pumba tool with two fault types (container kill and network latency injection); (4) measurement of five blast radius dimensions (tail latency, error rate, downstream service count, recovery time); and (5) Spearman rank correlation analysis and outlier identification.</w:t>
      </w:r>
    </w:p>
    <w:p>
      <w:pPr>
        <w:spacing w:line="276" w:lineRule="auto" w:before="0" w:after="120"/>
        <w:ind w:firstLine="720"/>
        <w:jc w:val="both"/>
      </w:pPr>
      <w:r>
        <w:rPr>
          <w:rFonts w:ascii="Times New Roman" w:hAnsi="Times New Roman"/>
          <w:b w:val="0"/>
          <w:i w:val="0"/>
          <w:sz w:val="24"/>
        </w:rPr>
        <w:t>The following aspects are explicitly out of scope: microservice architectures employing asynchronous message passing (e.g., Kafka-based event-driven systems), Kubernetes-based orchestration with self-healing autoscalers, multi-node distributed deployments, and Byzantine or data-corruption fault types. These represent natural directions for future work. All experiments are conducted in an isolated local Docker environment; no production systems or real user data are involved at any stage of the research.</w:t>
      </w:r>
    </w:p>
    <w:p>
      <w:r>
        <w:br w:type="page"/>
      </w:r>
    </w:p>
    <w:p>
      <w:pPr>
        <w:spacing w:line="360" w:lineRule="auto" w:before="120" w:after="160"/>
        <w:jc w:val="center"/>
      </w:pPr>
      <w:r>
        <w:rPr>
          <w:rFonts w:ascii="Times New Roman" w:hAnsi="Times New Roman"/>
          <w:b/>
          <w:i w:val="0"/>
          <w:sz w:val="28"/>
        </w:rPr>
        <w:t>2. PROJECT DESCRIPTION AND GOALS</w:t>
      </w:r>
    </w:p>
    <w:p>
      <w:pPr>
        <w:spacing w:line="360" w:lineRule="auto" w:before="200" w:after="80"/>
        <w:jc w:val="left"/>
      </w:pPr>
      <w:r>
        <w:rPr>
          <w:rFonts w:ascii="Times New Roman" w:hAnsi="Times New Roman"/>
          <w:b/>
          <w:i w:val="0"/>
          <w:sz w:val="26"/>
        </w:rPr>
        <w:t>2.1 Literature Review</w:t>
      </w:r>
    </w:p>
    <w:p>
      <w:pPr>
        <w:spacing w:line="276" w:lineRule="auto" w:before="0" w:after="120"/>
        <w:ind w:firstLine="720"/>
        <w:jc w:val="both"/>
      </w:pPr>
      <w:r>
        <w:rPr>
          <w:rFonts w:ascii="Times New Roman" w:hAnsi="Times New Roman"/>
          <w:b w:val="0"/>
          <w:i w:val="0"/>
          <w:sz w:val="24"/>
        </w:rPr>
        <w:t>Barabási and Albert (1999) demonstrated that real-world complex networks exhibit scale-free degree distributions, where a small number of hub nodes dominate structural connectivity. This foundational result motivates the application of degree-based centrality metrics to microservice dependency graphs, where analogous hub services are expected to exhibit disproportionate failure influence.</w:t>
      </w:r>
    </w:p>
    <w:p>
      <w:pPr>
        <w:spacing w:line="276" w:lineRule="auto" w:before="0" w:after="120"/>
        <w:ind w:firstLine="720"/>
        <w:jc w:val="both"/>
      </w:pPr>
      <w:r>
        <w:rPr>
          <w:rFonts w:ascii="Times New Roman" w:hAnsi="Times New Roman"/>
          <w:b w:val="0"/>
          <w:i w:val="0"/>
          <w:sz w:val="24"/>
        </w:rPr>
        <w:t>Newman (2010) provided a rigorous treatment of betweenness centrality, defining it as the fraction of shortest inter-node paths that pass through a given vertex. In communication networks, high betweenness indicates bottleneck nodes through which information—and failure propagation—must necessarily flow. This definition maps naturally to microservice intermediaries that mediate calls between subsystems.</w:t>
      </w:r>
    </w:p>
    <w:p>
      <w:pPr>
        <w:spacing w:line="276" w:lineRule="auto" w:before="0" w:after="120"/>
        <w:ind w:firstLine="720"/>
        <w:jc w:val="both"/>
      </w:pPr>
      <w:r>
        <w:rPr>
          <w:rFonts w:ascii="Times New Roman" w:hAnsi="Times New Roman"/>
          <w:b w:val="0"/>
          <w:i w:val="0"/>
          <w:sz w:val="24"/>
        </w:rPr>
        <w:t>Page et al. (1999) introduced PageRank as a stationary random-walk probability distribution over directed link graphs. Adapted to service dependency graphs, PageRank assigns higher importance to services that are reached frequently by random call-chain traversals, providing a flow-aware centrality measure that complements simpler degree-based metrics.</w:t>
      </w:r>
    </w:p>
    <w:p>
      <w:pPr>
        <w:spacing w:line="276" w:lineRule="auto" w:before="0" w:after="120"/>
        <w:ind w:firstLine="720"/>
        <w:jc w:val="both"/>
      </w:pPr>
      <w:r>
        <w:rPr>
          <w:rFonts w:ascii="Times New Roman" w:hAnsi="Times New Roman"/>
          <w:b w:val="0"/>
          <w:i w:val="0"/>
          <w:sz w:val="24"/>
        </w:rPr>
        <w:t>Gan et al. (2019) presented DeathStarBench, a suite of end-to-end microservice benchmarks representing realistic industry workloads including social networks, media streaming services, and hotel reservation systems. Their work provides the reproducible experimental substrate used in this project, enabling direct comparisons with future academic studies.</w:t>
      </w:r>
    </w:p>
    <w:p>
      <w:pPr>
        <w:spacing w:line="276" w:lineRule="auto" w:before="0" w:after="120"/>
        <w:ind w:firstLine="720"/>
        <w:jc w:val="both"/>
      </w:pPr>
      <w:r>
        <w:rPr>
          <w:rFonts w:ascii="Times New Roman" w:hAnsi="Times New Roman"/>
          <w:b w:val="0"/>
          <w:i w:val="0"/>
          <w:sz w:val="24"/>
        </w:rPr>
        <w:t>Sigelman et al. (2010) introduced Dapper, Google's large-scale distributed systems tracing infrastructure, establishing the span-based tracing model in which every RPC is annotated with a traceID and parentSpanID. Jaeger, the open-source implementation adopted here, faithfully implements this model, enabling programmatic SDG extraction from raw trace JSON.</w:t>
      </w:r>
    </w:p>
    <w:p>
      <w:pPr>
        <w:spacing w:line="276" w:lineRule="auto" w:before="0" w:after="120"/>
        <w:ind w:firstLine="720"/>
        <w:jc w:val="both"/>
      </w:pPr>
      <w:r>
        <w:rPr>
          <w:rFonts w:ascii="Times New Roman" w:hAnsi="Times New Roman"/>
          <w:b w:val="0"/>
          <w:i w:val="0"/>
          <w:sz w:val="24"/>
        </w:rPr>
        <w:t>Basiri et al. (2016) formalised Chaos Engineering through Netflix's Chaos Monkey programme, advocating for deliberate, controlled fault injection to uncover resilience weaknesses proactively. Their principle of injecting production-representative failures into isolated test environments is the philosophical foundation of this project's fault injection methodology.</w:t>
      </w:r>
    </w:p>
    <w:p>
      <w:pPr>
        <w:spacing w:line="276" w:lineRule="auto" w:before="0" w:after="120"/>
        <w:ind w:firstLine="720"/>
        <w:jc w:val="both"/>
      </w:pPr>
      <w:r>
        <w:rPr>
          <w:rFonts w:ascii="Times New Roman" w:hAnsi="Times New Roman"/>
          <w:b w:val="0"/>
          <w:i w:val="0"/>
          <w:sz w:val="24"/>
        </w:rPr>
        <w:t>Beyer et al. (2016) articulated site reliability engineering practices at Google, including error budget management and Service Level Objective (SLO) frameworks. Their treatment of blast radius as a key concern in capacity planning directly motivates our quantitative blast-radius measurement methodology.</w:t>
      </w:r>
    </w:p>
    <w:p>
      <w:pPr>
        <w:spacing w:line="276" w:lineRule="auto" w:before="0" w:after="120"/>
        <w:ind w:firstLine="720"/>
        <w:jc w:val="both"/>
      </w:pPr>
      <w:r>
        <w:rPr>
          <w:rFonts w:ascii="Times New Roman" w:hAnsi="Times New Roman"/>
          <w:b w:val="0"/>
          <w:i w:val="0"/>
          <w:sz w:val="24"/>
        </w:rPr>
        <w:t>Nedelkoski et al. (2019) investigated automated fault localisation in microservice architectures using service dependency metric correlation. While demonstrating the relevance of inter-service relationships for root-cause identification, their reactive approach required post-failure data. This project extends their work to the proactive domain.</w:t>
      </w:r>
    </w:p>
    <w:p>
      <w:pPr>
        <w:spacing w:line="276" w:lineRule="auto" w:before="0" w:after="120"/>
        <w:ind w:firstLine="720"/>
        <w:jc w:val="both"/>
      </w:pPr>
      <w:r>
        <w:rPr>
          <w:rFonts w:ascii="Times New Roman" w:hAnsi="Times New Roman"/>
          <w:b w:val="0"/>
          <w:i w:val="0"/>
          <w:sz w:val="24"/>
        </w:rPr>
        <w:t>Ma et al. (2020) applied PageRank-inspired walk algorithms to service dependency graphs for anomaly detection, observing that high-pagerank services tended to exhibit elevated error propagation. This empirical observation provides additional prior motivation for including PageRank as a centrality predictor in the present study.</w:t>
      </w:r>
    </w:p>
    <w:p>
      <w:pPr>
        <w:spacing w:line="276" w:lineRule="auto" w:before="0" w:after="120"/>
        <w:ind w:firstLine="720"/>
        <w:jc w:val="both"/>
      </w:pPr>
      <w:r>
        <w:rPr>
          <w:rFonts w:ascii="Times New Roman" w:hAnsi="Times New Roman"/>
          <w:b w:val="0"/>
          <w:i w:val="0"/>
          <w:sz w:val="24"/>
        </w:rPr>
        <w:t>Meng et al. (2020) proposed Localisation of microservice failures using graph-based analysis of call traces, showing that combining trace-derived graph structure with statistical anomaly scores improves root-cause precision. Their graph-plus-metrics fusion approach inspired the correlation framework used here to connect structural scores with empirical blast radius measurements.</w:t>
      </w:r>
    </w:p>
    <w:p>
      <w:pPr>
        <w:spacing w:line="276" w:lineRule="auto" w:before="0" w:after="120"/>
        <w:ind w:firstLine="720"/>
        <w:jc w:val="both"/>
      </w:pPr>
      <w:r>
        <w:rPr>
          <w:rFonts w:ascii="Times New Roman" w:hAnsi="Times New Roman"/>
          <w:b w:val="0"/>
          <w:i w:val="0"/>
          <w:sz w:val="24"/>
        </w:rPr>
        <w:t>Chaos engineering platforms such as Gremlin (Reinhardt and Robbins, 2021) and LitmusChaos (CNCF, 2022) have industrialised fault injection into Kubernetes-based microservice clusters, offering rich fault-type catalogues including CPU stress, memory pressure, pod eviction, and network partition. Our work contributes to this ecosystem by providing a principled, graph-theoretic method for prioritising which services to target with such tools.</w:t>
      </w:r>
    </w:p>
    <w:p>
      <w:pPr>
        <w:spacing w:line="360" w:lineRule="auto" w:before="200" w:after="80"/>
        <w:jc w:val="left"/>
      </w:pPr>
      <w:r>
        <w:rPr>
          <w:rFonts w:ascii="Times New Roman" w:hAnsi="Times New Roman"/>
          <w:b/>
          <w:i w:val="0"/>
          <w:sz w:val="26"/>
        </w:rPr>
        <w:t>2.2 Research Gap</w:t>
      </w:r>
    </w:p>
    <w:p>
      <w:pPr>
        <w:spacing w:line="276" w:lineRule="auto" w:before="0" w:after="120"/>
        <w:ind w:firstLine="720"/>
        <w:jc w:val="both"/>
      </w:pPr>
      <w:r>
        <w:rPr>
          <w:rFonts w:ascii="Times New Roman" w:hAnsi="Times New Roman"/>
          <w:b w:val="0"/>
          <w:i w:val="0"/>
          <w:sz w:val="24"/>
        </w:rPr>
        <w:t>Although graph centrality theory is mathematically mature and distributed tracing infrastructure is now ubiquitous in production microservice deployments, a critical research gap exists at their intersection. No prior work has systematically and empirically validated whether static structural centrality metrics, derived from runtime trace-based SDGs, can predict the real-world blast radius of chaos fault-injection events across multiple independent failure dimensions.</w:t>
      </w:r>
    </w:p>
    <w:p>
      <w:pPr>
        <w:spacing w:line="276" w:lineRule="auto" w:before="0" w:after="120"/>
        <w:ind w:firstLine="720"/>
        <w:jc w:val="both"/>
      </w:pPr>
      <w:r>
        <w:rPr>
          <w:rFonts w:ascii="Times New Roman" w:hAnsi="Times New Roman"/>
          <w:b w:val="0"/>
          <w:i w:val="0"/>
          <w:sz w:val="24"/>
        </w:rPr>
        <w:t>Existing fault localisation literature focuses primarily on reactive root cause analysis — identifying the source of a failure after it has occurred. The orthogonal proactive dimension — can graph analysis rank services by failure risk before any incidents occur — remains underexplored. Furthermore, prior art typically employs either static architecture diagrams (which rapidly become stale in continuously deployed environments) or single-metric evaluations testing only one centrality measure against one failure indicator.</w:t>
      </w:r>
    </w:p>
    <w:p>
      <w:pPr>
        <w:spacing w:line="276" w:lineRule="auto" w:before="0" w:after="120"/>
        <w:ind w:firstLine="720"/>
        <w:jc w:val="both"/>
      </w:pPr>
      <w:r>
        <w:rPr>
          <w:rFonts w:ascii="Times New Roman" w:hAnsi="Times New Roman"/>
          <w:b w:val="0"/>
          <w:i w:val="0"/>
          <w:sz w:val="24"/>
        </w:rPr>
        <w:t>This project addresses the gap by contributing: (1) an automated pipeline for dynamic SDG construction from live traces; (2) a seven-metric comparative centrality study evaluated across five blast radius dimensions; and (3) a systematic outlier analysis exposing the limits of structural metrics for services with high out-degree fan-out but low in-degree, such as synchronous write orchestrators.</w:t>
      </w:r>
    </w:p>
    <w:p>
      <w:pPr>
        <w:spacing w:line="360" w:lineRule="auto" w:before="200" w:after="80"/>
        <w:jc w:val="left"/>
      </w:pPr>
      <w:r>
        <w:rPr>
          <w:rFonts w:ascii="Times New Roman" w:hAnsi="Times New Roman"/>
          <w:b/>
          <w:i w:val="0"/>
          <w:sz w:val="26"/>
        </w:rPr>
        <w:t>2.3 Objectives</w:t>
      </w:r>
    </w:p>
    <w:p>
      <w:pPr>
        <w:spacing w:line="276" w:lineRule="auto" w:before="0" w:after="120"/>
        <w:ind w:firstLine="720"/>
        <w:jc w:val="both"/>
      </w:pPr>
      <w:r>
        <w:rPr>
          <w:rFonts w:ascii="Times New Roman" w:hAnsi="Times New Roman"/>
          <w:b w:val="0"/>
          <w:i w:val="0"/>
          <w:sz w:val="24"/>
        </w:rPr>
        <w:t>The following SMART (Specific, Measurable, Achievable, Relevant, Time-Bound) objectives define the scope of this project:</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SDG Extraction: </w:t>
      </w:r>
      <w:r>
        <w:rPr>
          <w:rFonts w:ascii="Times New Roman" w:hAnsi="Times New Roman"/>
          <w:b w:val="0"/>
          <w:i w:val="0"/>
          <w:sz w:val="24"/>
        </w:rPr>
        <w:t>To dynamically construct a directed, weighted Service Dependency Graph from live Jaeger distributed traces of the DeathStarBench Social Network application, capturing all inter-service RPC dependencies and their associated latency metadata.</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Centrality Computation: </w:t>
      </w:r>
      <w:r>
        <w:rPr>
          <w:rFonts w:ascii="Times New Roman" w:hAnsi="Times New Roman"/>
          <w:b w:val="0"/>
          <w:i w:val="0"/>
          <w:sz w:val="24"/>
        </w:rPr>
        <w:t>To compute seven normalised graph centrality metrics — Degree, In-Degree, Out-Degree, Betweenness, Closeness, Eigenvector, and PageRank — for each of the 12 microservice nodes using the NetworkX Python library.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Composite Ranking: </w:t>
      </w:r>
      <w:r>
        <w:rPr>
          <w:rFonts w:ascii="Times New Roman" w:hAnsi="Times New Roman"/>
          <w:b w:val="0"/>
          <w:i w:val="0"/>
          <w:sz w:val="24"/>
        </w:rPr>
        <w:t>To derive a composite centrality score as the mean of normalised per-metric ranks, providing an aggregate structural importance ranking across all seven dimensions.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Chaos Fault Injection: </w:t>
      </w:r>
      <w:r>
        <w:rPr>
          <w:rFonts w:ascii="Times New Roman" w:hAnsi="Times New Roman"/>
          <w:b w:val="0"/>
          <w:i w:val="0"/>
          <w:sz w:val="24"/>
        </w:rPr>
        <w:t>To inject container kill (SIGKILL) and 100 ms network-latency (tc netem) faults via Pumba into each of the 12 microservices, with two experimental repetitions per (service, fault-type) combination, yielding 48 controlled experiment runs.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Blast Radius Measurement: </w:t>
      </w:r>
      <w:r>
        <w:rPr>
          <w:rFonts w:ascii="Times New Roman" w:hAnsi="Times New Roman"/>
          <w:b w:val="0"/>
          <w:i w:val="0"/>
          <w:sz w:val="24"/>
        </w:rPr>
        <w:t>To quantify fault impact across five dimensions — p95 latency delta, p99 latency delta, error rate delta, downstream services affected count, and recovery time — from Jaeger traces collected during active fault windows.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Statistical Correlation: </w:t>
      </w:r>
      <w:r>
        <w:rPr>
          <w:rFonts w:ascii="Times New Roman" w:hAnsi="Times New Roman"/>
          <w:b w:val="0"/>
          <w:i w:val="0"/>
          <w:sz w:val="24"/>
        </w:rPr>
        <w:t>To compute Spearman rank correlation coefficient (ρ) and p-values between all centrality-blast radius pairs using scipy.stats, identifying the structural properties that most reliably predict failure impact at p &lt; 0.05.</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Outlier Analysis: </w:t>
      </w:r>
      <w:r>
        <w:rPr>
          <w:rFonts w:ascii="Times New Roman" w:hAnsi="Times New Roman"/>
          <w:b w:val="0"/>
          <w:i w:val="0"/>
          <w:sz w:val="24"/>
        </w:rPr>
        <w:t>To identify and qualitatively explain services where centrality rank and empirical blast-radius rank diverge by more than N/3 positions, exposing the limits of static graph-theoretic risk prediction.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Visualisation: </w:t>
      </w:r>
      <w:r>
        <w:rPr>
          <w:rFonts w:ascii="Times New Roman" w:hAnsi="Times New Roman"/>
          <w:b w:val="0"/>
          <w:i w:val="0"/>
          <w:sz w:val="24"/>
        </w:rPr>
        <w:t>To produce Spearman correlation heatmaps, scatter plots for each centrality-blast radius pair, and composite score bar charts for communication of findings to SRE practitioners.</w:t>
      </w:r>
    </w:p>
    <w:p>
      <w:pPr>
        <w:spacing w:line="360" w:lineRule="auto" w:before="200" w:after="80"/>
        <w:jc w:val="left"/>
      </w:pPr>
      <w:r>
        <w:rPr>
          <w:rFonts w:ascii="Times New Roman" w:hAnsi="Times New Roman"/>
          <w:b/>
          <w:i w:val="0"/>
          <w:sz w:val="26"/>
        </w:rPr>
        <w:t>2.4 Problem Statement</w:t>
      </w:r>
    </w:p>
    <w:p>
      <w:pPr>
        <w:spacing w:line="276" w:lineRule="auto" w:before="0" w:after="120"/>
        <w:ind w:firstLine="720"/>
        <w:jc w:val="both"/>
      </w:pPr>
      <w:r>
        <w:rPr>
          <w:rFonts w:ascii="Times New Roman" w:hAnsi="Times New Roman"/>
          <w:b w:val="0"/>
          <w:i w:val="0"/>
          <w:sz w:val="24"/>
        </w:rPr>
        <w:t>In modern cloud-native architectures, the failure of a single microservice can cascade through dependency chains and produce system-wide outages. Site Reliability Engineers currently lack a principled, data-driven methodology to proactively identify which microservices pose the greatest systemic risk, forcing reliance on subjective expertise or post-incident analysis.</w:t>
      </w:r>
    </w:p>
    <w:p>
      <w:pPr>
        <w:spacing w:line="276" w:lineRule="auto" w:before="0" w:after="120"/>
        <w:ind w:firstLine="720"/>
        <w:jc w:val="both"/>
      </w:pPr>
      <w:r>
        <w:rPr>
          <w:rFonts w:ascii="Times New Roman" w:hAnsi="Times New Roman"/>
          <w:b w:val="0"/>
          <w:i w:val="0"/>
          <w:sz w:val="24"/>
        </w:rPr>
        <w:t>This project addresses the following research problem: Can graph-theoretic centrality metrics, derived from dynamically extracted runtime Service Dependency Graphs, serve as statistically significant and practically useful predictors of the blast radius caused by fault injection in a representative microservice architecture?</w:t>
      </w:r>
    </w:p>
    <w:p>
      <w:pPr>
        <w:spacing w:line="276" w:lineRule="auto" w:before="0" w:after="120"/>
        <w:ind w:firstLine="720"/>
        <w:jc w:val="both"/>
      </w:pPr>
      <w:r>
        <w:rPr>
          <w:rFonts w:ascii="Times New Roman" w:hAnsi="Times New Roman"/>
          <w:b w:val="0"/>
          <w:i w:val="0"/>
          <w:sz w:val="24"/>
        </w:rPr>
        <w:t>The problem encompasses three sub-challenges: (1) dynamic, automated construction of accurate SDGs from distributed trace data; (2) empirical blast-radius quantification across multiple orthogonal dimensions via controlled chaos experiments; and (3) rigorous statistical validation of the structural-to-operational centrality correspondence hypothesis. Solving this problem enables a shift from reactive incident response to proactive, evidence-based resilience engineering.</w:t>
      </w:r>
    </w:p>
    <w:p>
      <w:pPr>
        <w:spacing w:line="360" w:lineRule="auto" w:before="200" w:after="80"/>
        <w:jc w:val="left"/>
      </w:pPr>
      <w:r>
        <w:rPr>
          <w:rFonts w:ascii="Times New Roman" w:hAnsi="Times New Roman"/>
          <w:b/>
          <w:i w:val="0"/>
          <w:sz w:val="26"/>
        </w:rPr>
        <w:t>2.5 Project Plan</w:t>
      </w:r>
    </w:p>
    <w:p>
      <w:pPr>
        <w:spacing w:line="276" w:lineRule="auto" w:before="0" w:after="120"/>
        <w:ind w:firstLine="720"/>
        <w:jc w:val="both"/>
      </w:pPr>
      <w:r>
        <w:rPr>
          <w:rFonts w:ascii="Times New Roman" w:hAnsi="Times New Roman"/>
          <w:b w:val="0"/>
          <w:i w:val="0"/>
          <w:sz w:val="24"/>
        </w:rPr>
        <w:t>The project is executed over an eight-month timeline, organised into eight sequential phases aligned with the six-stage experimental pipeline. Each phase produces a concrete deliverable that feeds directly into the subsequent stage. The Gantt chart below illustrates task durations, sequencing, and overlapping phases across the project timeline.</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792"/>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Task</w:t>
            </w:r>
          </w:p>
        </w:tc>
        <w:tc>
          <w:tcPr>
            <w:tcW w:type="dxa" w:w="3168"/>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Activity</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M1</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M2</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M3</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M4</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M5</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M6</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M7</w:t>
            </w:r>
          </w:p>
        </w:tc>
        <w:tc>
          <w:tcPr>
            <w:tcW w:type="dxa" w:w="763"/>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i w:val="0"/>
                <w:sz w:val="18"/>
              </w:rPr>
              <w:t>M8</w:t>
            </w:r>
          </w:p>
        </w:tc>
      </w:tr>
      <w:tr>
        <w:tc>
          <w:tcPr>
            <w:tcW w:type="dxa" w:w="792"/>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1</w:t>
            </w:r>
          </w:p>
        </w:tc>
        <w:tc>
          <w:tcPr>
            <w:tcW w:type="dxa" w:w="3168"/>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Literature Survey</w:t>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2</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Environment Setup &amp; Deployment</w:t>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3</w:t>
            </w:r>
          </w:p>
        </w:tc>
        <w:tc>
          <w:tcPr>
            <w:tcW w:type="dxa" w:w="3168"/>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SDG Extraction Pipeline</w:t>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4</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Centrality Computation Module</w:t>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5</w:t>
            </w:r>
          </w:p>
        </w:tc>
        <w:tc>
          <w:tcPr>
            <w:tcW w:type="dxa" w:w="3168"/>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Fault Injection &amp; Measurement</w:t>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6</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Statistical Analysis &amp; Plots</w:t>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7</w:t>
            </w:r>
          </w:p>
        </w:tc>
        <w:tc>
          <w:tcPr>
            <w:tcW w:type="dxa" w:w="3168"/>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Testing &amp; Validation</w:t>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EEF2FA"/>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r>
        <w:tc>
          <w:tcPr>
            <w:tcW w:type="dxa" w:w="792"/>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rPr>
                <w:rFonts w:ascii="Times New Roman" w:hAnsi="Times New Roman"/>
                <w:b w:val="0"/>
                <w:i w:val="0"/>
                <w:sz w:val="18"/>
              </w:rPr>
              <w:t>Task 8</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left"/>
            </w:pPr>
            <w:r>
              <w:rPr>
                <w:rFonts w:ascii="Times New Roman" w:hAnsi="Times New Roman"/>
                <w:b w:val="0"/>
                <w:i w:val="0"/>
                <w:sz w:val="18"/>
              </w:rPr>
              <w:t>Documentation &amp; Report Writing</w:t>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c>
          <w:tcPr>
            <w:tcW w:type="dxa" w:w="763"/>
            <w:shd w:val="clear" w:color="auto" w:fill="4472C4"/>
            <w:tcBorders>
              <w:top w:val="single" w:sz="4" w:space="0" w:color="000000"/>
              <w:left w:val="single" w:sz="4" w:space="0" w:color="000000"/>
              <w:bottom w:val="single" w:sz="4" w:space="0" w:color="000000"/>
              <w:right w:val="single" w:sz="4" w:space="0" w:color="000000"/>
            </w:tcBorders>
          </w:tcPr>
          <w:p>
            <w:pPr>
              <w:spacing w:line="240" w:lineRule="auto" w:before="20" w:after="20"/>
              <w:jc w:val="center"/>
            </w:pPr>
            <w:r/>
          </w:p>
        </w:tc>
      </w:tr>
    </w:tbl>
    <w:p>
      <w:pPr>
        <w:spacing w:line="276" w:lineRule="auto" w:before="40" w:after="160"/>
        <w:jc w:val="center"/>
      </w:pPr>
      <w:r>
        <w:rPr>
          <w:rFonts w:ascii="Times New Roman" w:hAnsi="Times New Roman"/>
          <w:b w:val="0"/>
          <w:i/>
          <w:sz w:val="22"/>
        </w:rPr>
        <w:t>Fig. 1. Project Gantt Chart — Eight-Month Experiment Timeline</w:t>
      </w:r>
    </w:p>
    <w:p>
      <w:r>
        <w:br w:type="page"/>
      </w:r>
    </w:p>
    <w:p>
      <w:pPr>
        <w:spacing w:line="360" w:lineRule="auto" w:before="120" w:after="160"/>
        <w:jc w:val="center"/>
      </w:pPr>
      <w:r>
        <w:rPr>
          <w:rFonts w:ascii="Times New Roman" w:hAnsi="Times New Roman"/>
          <w:b/>
          <w:i w:val="0"/>
          <w:sz w:val="28"/>
        </w:rPr>
        <w:t>3. TECHNICAL SPECIFICATION</w:t>
      </w:r>
    </w:p>
    <w:p>
      <w:pPr>
        <w:spacing w:line="360" w:lineRule="auto" w:before="200" w:after="80"/>
        <w:jc w:val="left"/>
      </w:pPr>
      <w:r>
        <w:rPr>
          <w:rFonts w:ascii="Times New Roman" w:hAnsi="Times New Roman"/>
          <w:b/>
          <w:i w:val="0"/>
          <w:sz w:val="26"/>
        </w:rPr>
        <w:t>3.1 Requirements</w:t>
      </w:r>
    </w:p>
    <w:p>
      <w:pPr>
        <w:spacing w:line="360" w:lineRule="auto" w:before="140" w:after="60"/>
        <w:jc w:val="left"/>
      </w:pPr>
      <w:r>
        <w:rPr>
          <w:rFonts w:ascii="Times New Roman" w:hAnsi="Times New Roman"/>
          <w:b/>
          <w:i/>
          <w:sz w:val="24"/>
        </w:rPr>
        <w:t>3.1.1   Functional</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Trace Collection: </w:t>
      </w:r>
      <w:r>
        <w:rPr>
          <w:rFonts w:ascii="Times New Roman" w:hAnsi="Times New Roman"/>
          <w:b w:val="0"/>
          <w:i w:val="0"/>
          <w:sz w:val="24"/>
        </w:rPr>
        <w:t>The system shall query the Jaeger REST API (/api/traces) to collect distributed trace data within a configurable lookback window and trace-count limit, exporting raw spans as structured JSON.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SDG Construction: </w:t>
      </w:r>
      <w:r>
        <w:rPr>
          <w:rFonts w:ascii="Times New Roman" w:hAnsi="Times New Roman"/>
          <w:b w:val="0"/>
          <w:i w:val="0"/>
          <w:sz w:val="24"/>
        </w:rPr>
        <w:t>The system shall parse Jaeger trace JSON to resolve parentSpanID→spanID relationships and map processID to service name, constructing a directed weighted NetworkX DiGraph annotated with call count and average latency.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Graph Export: </w:t>
      </w:r>
      <w:r>
        <w:rPr>
          <w:rFonts w:ascii="Times New Roman" w:hAnsi="Times New Roman"/>
          <w:b w:val="0"/>
          <w:i w:val="0"/>
          <w:sz w:val="24"/>
        </w:rPr>
        <w:t>The system shall export the SDG to GraphML format (for Gephi) and JSON node-link format for downstream programmatic analysis.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Centrality Computation: </w:t>
      </w:r>
      <w:r>
        <w:rPr>
          <w:rFonts w:ascii="Times New Roman" w:hAnsi="Times New Roman"/>
          <w:b w:val="0"/>
          <w:i w:val="0"/>
          <w:sz w:val="24"/>
        </w:rPr>
        <w:t>The system shall compute seven normalised centrality metrics per node: Degree, In-Degree, Out-Degree, Betweenness, Closeness, Eigenvector, and PageRank (damping = 0.85).</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Composite Scoring: </w:t>
      </w:r>
      <w:r>
        <w:rPr>
          <w:rFonts w:ascii="Times New Roman" w:hAnsi="Times New Roman"/>
          <w:b w:val="0"/>
          <w:i w:val="0"/>
          <w:sz w:val="24"/>
        </w:rPr>
        <w:t>The system shall compute a composite centrality score as the mean of normalised per-metric ranks and produce a composite rank for each service.</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Fault Injection: </w:t>
      </w:r>
      <w:r>
        <w:rPr>
          <w:rFonts w:ascii="Times New Roman" w:hAnsi="Times New Roman"/>
          <w:b w:val="0"/>
          <w:i w:val="0"/>
          <w:sz w:val="24"/>
        </w:rPr>
        <w:t>The system shall orchestrate chaos cycles using Pumba, supporting Container Kill (SIGKILL) and Network Latency (tc netem) fault types with configurable duration, jitter, and repetition count.</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Blast Radius Measurement: </w:t>
      </w:r>
      <w:r>
        <w:rPr>
          <w:rFonts w:ascii="Times New Roman" w:hAnsi="Times New Roman"/>
          <w:b w:val="0"/>
          <w:i w:val="0"/>
          <w:sz w:val="24"/>
        </w:rPr>
        <w:t>During each fault window the system shall query Jaeger to compute p95/p99 tail latency deltas, error rate deltas, downstream affected service count, and container recovery time in seconds.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Statistical Correlation: </w:t>
      </w:r>
      <w:r>
        <w:rPr>
          <w:rFonts w:ascii="Times New Roman" w:hAnsi="Times New Roman"/>
          <w:b w:val="0"/>
          <w:i w:val="0"/>
          <w:sz w:val="24"/>
        </w:rPr>
        <w:t>The system shall compute Spearman correlation and p-values for all 40 centrality-blast radius pairs using scipy.stats.spearmanr.</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Visualisation: </w:t>
      </w:r>
      <w:r>
        <w:rPr>
          <w:rFonts w:ascii="Times New Roman" w:hAnsi="Times New Roman"/>
          <w:b w:val="0"/>
          <w:i w:val="0"/>
          <w:sz w:val="24"/>
        </w:rPr>
        <w:t>The system shall produce correlation heatmaps, per-pair scatter plots, and composite score bar charts using Matplotlib and Seaborn.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Outlier Detection: </w:t>
      </w:r>
      <w:r>
        <w:rPr>
          <w:rFonts w:ascii="Times New Roman" w:hAnsi="Times New Roman"/>
          <w:b w:val="0"/>
          <w:i w:val="0"/>
          <w:sz w:val="24"/>
        </w:rPr>
        <w:t>The system shall identify False Positives and False Negatives based on absolute rank discrepancy between centrality rank and blast-radius rank exceeding a configurable fraction threshold (default N/3).</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Integration Testing: </w:t>
      </w:r>
      <w:r>
        <w:rPr>
          <w:rFonts w:ascii="Times New Roman" w:hAnsi="Times New Roman"/>
          <w:b w:val="0"/>
          <w:i w:val="0"/>
          <w:sz w:val="24"/>
        </w:rPr>
        <w:t>After each fault recovery cycle the system shall execute pytest integration tests verifying core user flows to confirm functional system correctness.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Experiment Logging: </w:t>
      </w:r>
      <w:r>
        <w:rPr>
          <w:rFonts w:ascii="Times New Roman" w:hAnsi="Times New Roman"/>
          <w:b w:val="0"/>
          <w:i w:val="0"/>
          <w:sz w:val="24"/>
        </w:rPr>
        <w:t>The system shall append all run records to a persistent CSV log file for full reproducibility and audit traceability.</w:t>
      </w:r>
    </w:p>
    <w:p>
      <w:pPr>
        <w:spacing w:line="360" w:lineRule="auto" w:before="140" w:after="60"/>
        <w:jc w:val="left"/>
      </w:pPr>
      <w:r>
        <w:rPr>
          <w:rFonts w:ascii="Times New Roman" w:hAnsi="Times New Roman"/>
          <w:b/>
          <w:i/>
          <w:sz w:val="24"/>
        </w:rPr>
        <w:t>3.1.2   Non-Functional</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Performance: </w:t>
      </w:r>
      <w:r>
        <w:rPr>
          <w:rFonts w:ascii="Times New Roman" w:hAnsi="Times New Roman"/>
          <w:b w:val="0"/>
          <w:i w:val="0"/>
          <w:sz w:val="24"/>
        </w:rPr>
        <w:t>Trace collection and SDG construction shall complete within 5 minutes for a 2-hour lookback with 2,000 traces. Centrality computation shall complete within 30 seconds for graphs of up to 100 nodes.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Scalability: </w:t>
      </w:r>
      <w:r>
        <w:rPr>
          <w:rFonts w:ascii="Times New Roman" w:hAnsi="Times New Roman"/>
          <w:b w:val="0"/>
          <w:i w:val="0"/>
          <w:sz w:val="24"/>
        </w:rPr>
        <w:t>The pipeline shall support applications with up to 100 microservice nodes without architectural modification.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Reliability: </w:t>
      </w:r>
      <w:r>
        <w:rPr>
          <w:rFonts w:ascii="Times New Roman" w:hAnsi="Times New Roman"/>
          <w:b w:val="0"/>
          <w:i w:val="0"/>
          <w:sz w:val="24"/>
        </w:rPr>
        <w:t>The fault injection module shall guarantee container restart and service recovery verification before initiating the next experiment run.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Reproducibility: </w:t>
      </w:r>
      <w:r>
        <w:rPr>
          <w:rFonts w:ascii="Times New Roman" w:hAnsi="Times New Roman"/>
          <w:b w:val="0"/>
          <w:i w:val="0"/>
          <w:sz w:val="24"/>
        </w:rPr>
        <w:t>All stochastic components shall use a fixed random seed (seed = 42). Experiment parameters and Pumba command arguments shall be fully logged.</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Portability: </w:t>
      </w:r>
      <w:r>
        <w:rPr>
          <w:rFonts w:ascii="Times New Roman" w:hAnsi="Times New Roman"/>
          <w:b w:val="0"/>
          <w:i w:val="0"/>
          <w:sz w:val="24"/>
        </w:rPr>
        <w:t>The system shall operate on Windows 11 (WSL2), macOS 13+, and Ubuntu 22.04 LTS on any platform supporting Docker Desktop 4.0+ and Python 3.11+.</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Maintainability: </w:t>
      </w:r>
      <w:r>
        <w:rPr>
          <w:rFonts w:ascii="Times New Roman" w:hAnsi="Times New Roman"/>
          <w:b w:val="0"/>
          <w:i w:val="0"/>
          <w:sz w:val="24"/>
        </w:rPr>
        <w:t>The codebase shall be organised into single-responsibility modules with docstrings, type annotations, and pytest coverage.</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Security: </w:t>
      </w:r>
      <w:r>
        <w:rPr>
          <w:rFonts w:ascii="Times New Roman" w:hAnsi="Times New Roman"/>
          <w:b w:val="0"/>
          <w:i w:val="0"/>
          <w:sz w:val="24"/>
        </w:rPr>
        <w:t>Fault injection shall operate only within the isolated Docker bridge network. No production systems shall be targeted.</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Usability: </w:t>
      </w:r>
      <w:r>
        <w:rPr>
          <w:rFonts w:ascii="Times New Roman" w:hAnsi="Times New Roman"/>
          <w:b w:val="0"/>
          <w:i w:val="0"/>
          <w:sz w:val="24"/>
        </w:rPr>
        <w:t>All phases shall be executable via a single orchestrator script (run_full_experiment.py). A --dry-run mode shall allow plan inspection without execution.</w:t>
      </w:r>
    </w:p>
    <w:p>
      <w:pPr>
        <w:spacing w:line="360" w:lineRule="auto" w:before="200" w:after="80"/>
        <w:jc w:val="left"/>
      </w:pPr>
      <w:r>
        <w:rPr>
          <w:rFonts w:ascii="Times New Roman" w:hAnsi="Times New Roman"/>
          <w:b/>
          <w:i w:val="0"/>
          <w:sz w:val="26"/>
        </w:rPr>
        <w:t>3.2 Feasibility Study</w:t>
      </w:r>
    </w:p>
    <w:p>
      <w:pPr>
        <w:spacing w:line="360" w:lineRule="auto" w:before="140" w:after="60"/>
        <w:jc w:val="left"/>
      </w:pPr>
      <w:r>
        <w:rPr>
          <w:rFonts w:ascii="Times New Roman" w:hAnsi="Times New Roman"/>
          <w:b/>
          <w:i/>
          <w:sz w:val="24"/>
        </w:rPr>
        <w:t>3.2.1   Technical Feasibility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Technology Availability: </w:t>
      </w:r>
      <w:r>
        <w:rPr>
          <w:rFonts w:ascii="Times New Roman" w:hAnsi="Times New Roman"/>
          <w:b w:val="0"/>
          <w:i w:val="0"/>
          <w:sz w:val="24"/>
        </w:rPr>
        <w:t>All core components — Docker, Python 3.11, Jaeger, NetworkX, SciPy, and Pumba — are mature, open-source, and actively maintained with extensive community documentation.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Algorithm Availability: </w:t>
      </w:r>
      <w:r>
        <w:rPr>
          <w:rFonts w:ascii="Times New Roman" w:hAnsi="Times New Roman"/>
          <w:b w:val="0"/>
          <w:i w:val="0"/>
          <w:sz w:val="24"/>
        </w:rPr>
        <w:t>All seven centrality metrics are single-call standard functions in NetworkX. Spearman correlation is provided by scipy.stats. No novel algorithm development is required.</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Benchmark Availability: </w:t>
      </w:r>
      <w:r>
        <w:rPr>
          <w:rFonts w:ascii="Times New Roman" w:hAnsi="Times New Roman"/>
          <w:b w:val="0"/>
          <w:i w:val="0"/>
          <w:sz w:val="24"/>
        </w:rPr>
        <w:t>DeathStarBench is a peer-reviewed, publicly available benchmark deployable via Docker Compose on commodity hardware, providing a reproducible and representative experimental substrate.</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Hardware Accessibility: </w:t>
      </w:r>
      <w:r>
        <w:rPr>
          <w:rFonts w:ascii="Times New Roman" w:hAnsi="Times New Roman"/>
          <w:b w:val="0"/>
          <w:i w:val="0"/>
          <w:sz w:val="24"/>
        </w:rPr>
        <w:t>The full experiment stack runs on a single workstation with 16 GB RAM and 8 CPU cores — standard equipment in any university CS laboratory.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Integration Feasibility: </w:t>
      </w:r>
      <w:r>
        <w:rPr>
          <w:rFonts w:ascii="Times New Roman" w:hAnsi="Times New Roman"/>
          <w:b w:val="0"/>
          <w:i w:val="0"/>
          <w:sz w:val="24"/>
        </w:rPr>
        <w:t>All components communicate through standard interfaces: HTTP REST (Jaeger API), Docker SDK for Python (container management), and Linux network namespaces (Pumba tc netem injection).</w:t>
      </w:r>
    </w:p>
    <w:p>
      <w:pPr>
        <w:spacing w:line="360" w:lineRule="auto" w:before="140" w:after="60"/>
        <w:jc w:val="left"/>
      </w:pPr>
      <w:r>
        <w:rPr>
          <w:rFonts w:ascii="Times New Roman" w:hAnsi="Times New Roman"/>
          <w:b/>
          <w:i/>
          <w:sz w:val="24"/>
        </w:rPr>
        <w:t>3.2.2   Economic Feasibility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Zero Licensing Cost: </w:t>
      </w:r>
      <w:r>
        <w:rPr>
          <w:rFonts w:ascii="Times New Roman" w:hAnsi="Times New Roman"/>
          <w:b w:val="0"/>
          <w:i w:val="0"/>
          <w:sz w:val="24"/>
        </w:rPr>
        <w:t>All software components are open-source under permissive licences (Apache 2.0, MIT, BSD). No commercial licensing fees are incurred.</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Infrastructure Cost: </w:t>
      </w:r>
      <w:r>
        <w:rPr>
          <w:rFonts w:ascii="Times New Roman" w:hAnsi="Times New Roman"/>
          <w:b w:val="0"/>
          <w:i w:val="0"/>
          <w:sz w:val="24"/>
        </w:rPr>
        <w:t>Experiments run entirely on existing hardware. Optional cloud deployment on an AWS EC2 spot instance costs under ₹500 for a complete experiment run.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Return on Investment: </w:t>
      </w:r>
      <w:r>
        <w:rPr>
          <w:rFonts w:ascii="Times New Roman" w:hAnsi="Times New Roman"/>
          <w:b w:val="0"/>
          <w:i w:val="0"/>
          <w:sz w:val="24"/>
        </w:rPr>
        <w:t>A single prevented enterprise production outage costs an average of $300,000/hour (Gartner, 2022), providing overwhelming ROI for targeted resilience investment guided by this methodology.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Maintenance Cost: </w:t>
      </w:r>
      <w:r>
        <w:rPr>
          <w:rFonts w:ascii="Times New Roman" w:hAnsi="Times New Roman"/>
          <w:b w:val="0"/>
          <w:i w:val="0"/>
          <w:sz w:val="24"/>
        </w:rPr>
        <w:t>The open-source toolchain requires no licence renewals. Quarterly dependency updates require less than one engineering day.</w:t>
      </w:r>
    </w:p>
    <w:p>
      <w:pPr>
        <w:spacing w:line="360" w:lineRule="auto" w:before="140" w:after="60"/>
        <w:jc w:val="left"/>
      </w:pPr>
      <w:r>
        <w:rPr>
          <w:rFonts w:ascii="Times New Roman" w:hAnsi="Times New Roman"/>
          <w:b/>
          <w:i/>
          <w:sz w:val="24"/>
        </w:rPr>
        <w:t>3.2.3   Social Feasibility</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Industry Relevance: </w:t>
      </w:r>
      <w:r>
        <w:rPr>
          <w:rFonts w:ascii="Times New Roman" w:hAnsi="Times New Roman"/>
          <w:b w:val="0"/>
          <w:i w:val="0"/>
          <w:sz w:val="24"/>
        </w:rPr>
        <w:t>The methodology directly addresses a pain point experienced by SRE teams. The output — a ranked risk table — is immediately actionable without graph theory expertise.</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User Acceptance: </w:t>
      </w:r>
      <w:r>
        <w:rPr>
          <w:rFonts w:ascii="Times New Roman" w:hAnsi="Times New Roman"/>
          <w:b w:val="0"/>
          <w:i w:val="0"/>
          <w:sz w:val="24"/>
        </w:rPr>
        <w:t>SREs are already familiar with distributed tracing tools (Jaeger, Zipkin) and container orchestration. The system builds on existing tooling, minimising adoption friction.</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Ethical Considerations: </w:t>
      </w:r>
      <w:r>
        <w:rPr>
          <w:rFonts w:ascii="Times New Roman" w:hAnsi="Times New Roman"/>
          <w:b w:val="0"/>
          <w:i w:val="0"/>
          <w:sz w:val="24"/>
        </w:rPr>
        <w:t>All fault injection experiments run in an isolated Docker environment using a benchmark application. No real user data or production systems are involved.</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Impact on Workforce: </w:t>
      </w:r>
      <w:r>
        <w:rPr>
          <w:rFonts w:ascii="Times New Roman" w:hAnsi="Times New Roman"/>
          <w:b w:val="0"/>
          <w:i w:val="0"/>
          <w:sz w:val="24"/>
        </w:rPr>
        <w:t>Automated risk ranking augments SRE capabilities rather than replacing human judgement, freeing engineers from manual dependency audits.</w:t>
      </w:r>
    </w:p>
    <w:p>
      <w:pPr>
        <w:spacing w:line="276" w:lineRule="auto" w:before="0" w:after="80"/>
        <w:ind w:firstLine="0" w:left="432"/>
        <w:jc w:val="both"/>
      </w:pPr>
      <w:r>
        <w:rPr>
          <w:rFonts w:ascii="Times New Roman" w:hAnsi="Times New Roman"/>
          <w:b w:val="0"/>
          <w:i w:val="0"/>
          <w:sz w:val="24"/>
        </w:rPr>
        <w:t xml:space="preserve">• </w:t>
      </w:r>
      <w:r>
        <w:rPr>
          <w:rFonts w:ascii="Times New Roman" w:hAnsi="Times New Roman"/>
          <w:b/>
          <w:i w:val="0"/>
          <w:sz w:val="24"/>
        </w:rPr>
        <w:t xml:space="preserve">Knowledge Dissemination: </w:t>
      </w:r>
      <w:r>
        <w:rPr>
          <w:rFonts w:ascii="Times New Roman" w:hAnsi="Times New Roman"/>
          <w:b w:val="0"/>
          <w:i w:val="0"/>
          <w:sz w:val="24"/>
        </w:rPr>
        <w:t>Findings are documented in this project report. The full experimental pipeline is made publicly available for academic replication and extension.</w:t>
      </w:r>
    </w:p>
    <w:p>
      <w:pPr>
        <w:spacing w:line="360" w:lineRule="auto" w:before="200" w:after="80"/>
        <w:jc w:val="left"/>
      </w:pPr>
      <w:r>
        <w:rPr>
          <w:rFonts w:ascii="Times New Roman" w:hAnsi="Times New Roman"/>
          <w:b/>
          <w:i w:val="0"/>
          <w:sz w:val="26"/>
        </w:rPr>
        <w:t>3.3 System Specification</w:t>
      </w:r>
    </w:p>
    <w:p>
      <w:pPr>
        <w:spacing w:line="360" w:lineRule="auto" w:before="140" w:after="60"/>
        <w:jc w:val="left"/>
      </w:pPr>
      <w:r>
        <w:rPr>
          <w:rFonts w:ascii="Times New Roman" w:hAnsi="Times New Roman"/>
          <w:b/>
          <w:i/>
          <w:sz w:val="24"/>
        </w:rPr>
        <w:t>3.3.1   Hardware Specification</w:t>
      </w:r>
    </w:p>
    <w:p>
      <w:pPr>
        <w:spacing w:line="276" w:lineRule="auto" w:before="0" w:after="120"/>
        <w:ind w:firstLine="720"/>
        <w:jc w:val="both"/>
      </w:pPr>
      <w:r>
        <w:rPr>
          <w:rFonts w:ascii="Times New Roman" w:hAnsi="Times New Roman"/>
          <w:b w:val="0"/>
          <w:i w:val="0"/>
          <w:sz w:val="24"/>
        </w:rPr>
        <w:t>The following hardware is required to deploy the complete DeathStarBench microservice stack alongside the fault injection orchestrator and analysis pipeline:</w:t>
      </w:r>
    </w:p>
    <w:tbl>
      <w:tblPr>
        <w:tblW w:type="auto" w:w="0"/>
        <w:jc w:val="center"/>
        <w:tblLook w:firstColumn="1" w:firstRow="1" w:lastColumn="0" w:lastRow="0" w:noHBand="0" w:noVBand="1" w:val="04A0"/>
      </w:tblPr>
      <w:tblGrid>
        <w:gridCol w:w="3010"/>
        <w:gridCol w:w="3010"/>
        <w:gridCol w:w="3010"/>
      </w:tblGrid>
      <w:tr>
        <w:tc>
          <w:tcPr>
            <w:tcW w:type="dxa" w:w="1728"/>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i w:val="0"/>
                <w:sz w:val="20"/>
              </w:rPr>
              <w:t>Component</w:t>
            </w:r>
          </w:p>
        </w:tc>
        <w:tc>
          <w:tcPr>
            <w:tcW w:type="dxa" w:w="3600"/>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i w:val="0"/>
                <w:sz w:val="20"/>
              </w:rPr>
              <w:t>Minimum Specification</w:t>
            </w:r>
          </w:p>
        </w:tc>
        <w:tc>
          <w:tcPr>
            <w:tcW w:type="dxa" w:w="3744"/>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i w:val="0"/>
                <w:sz w:val="20"/>
              </w:rPr>
              <w:t>Recommended Specification</w:t>
            </w:r>
          </w:p>
        </w:tc>
      </w:tr>
      <w:tr>
        <w:tc>
          <w:tcPr>
            <w:tcW w:type="dxa" w:w="172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Processor</w:t>
            </w:r>
          </w:p>
        </w:tc>
        <w:tc>
          <w:tcPr>
            <w:tcW w:type="dxa" w:w="3600"/>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Intel Core i5 / AMD Ryzen 5</w:t>
              <w:br/>
              <w:t>(4 cores, ≥ 2.0 GHz)</w:t>
            </w:r>
          </w:p>
        </w:tc>
        <w:tc>
          <w:tcPr>
            <w:tcW w:type="dxa" w:w="3744"/>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Intel Core i7 / AMD Ryzen 7</w:t>
              <w:br/>
              <w:t>(8 cores, ≥ 3.0 GHz)</w:t>
            </w:r>
          </w:p>
        </w:tc>
      </w:tr>
      <w:tr>
        <w:tc>
          <w:tcPr>
            <w:tcW w:type="dxa" w:w="172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Memory (RAM)</w:t>
            </w:r>
          </w:p>
        </w:tc>
        <w:tc>
          <w:tcPr>
            <w:tcW w:type="dxa" w:w="3600"/>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8 GB DDR4</w:t>
            </w:r>
          </w:p>
        </w:tc>
        <w:tc>
          <w:tcPr>
            <w:tcW w:type="dxa" w:w="3744"/>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16 – 32 GB DDR4</w:t>
            </w:r>
          </w:p>
        </w:tc>
      </w:tr>
      <w:tr>
        <w:tc>
          <w:tcPr>
            <w:tcW w:type="dxa" w:w="172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Storage</w:t>
            </w:r>
          </w:p>
        </w:tc>
        <w:tc>
          <w:tcPr>
            <w:tcW w:type="dxa" w:w="3600"/>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30 GB free SSD / HDD</w:t>
            </w:r>
          </w:p>
        </w:tc>
        <w:tc>
          <w:tcPr>
            <w:tcW w:type="dxa" w:w="3744"/>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50 GB free NVMe SSD</w:t>
            </w:r>
          </w:p>
        </w:tc>
      </w:tr>
      <w:tr>
        <w:tc>
          <w:tcPr>
            <w:tcW w:type="dxa" w:w="172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GPU</w:t>
            </w:r>
          </w:p>
        </w:tc>
        <w:tc>
          <w:tcPr>
            <w:tcW w:type="dxa" w:w="3600"/>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Not required</w:t>
            </w:r>
          </w:p>
        </w:tc>
        <w:tc>
          <w:tcPr>
            <w:tcW w:type="dxa" w:w="3744"/>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Not required (CPU-only workload)</w:t>
            </w:r>
          </w:p>
        </w:tc>
      </w:tr>
      <w:tr>
        <w:tc>
          <w:tcPr>
            <w:tcW w:type="dxa" w:w="172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Network</w:t>
            </w:r>
          </w:p>
        </w:tc>
        <w:tc>
          <w:tcPr>
            <w:tcW w:type="dxa" w:w="3600"/>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Local Docker bridge network</w:t>
            </w:r>
          </w:p>
        </w:tc>
        <w:tc>
          <w:tcPr>
            <w:tcW w:type="dxa" w:w="3744"/>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Gigabit LAN (multi-host experiments)</w:t>
            </w:r>
          </w:p>
        </w:tc>
      </w:tr>
      <w:tr>
        <w:tc>
          <w:tcPr>
            <w:tcW w:type="dxa" w:w="172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Monitor</w:t>
            </w:r>
          </w:p>
        </w:tc>
        <w:tc>
          <w:tcPr>
            <w:tcW w:type="dxa" w:w="3600"/>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1920 × 1080 (Full HD)</w:t>
            </w:r>
          </w:p>
        </w:tc>
        <w:tc>
          <w:tcPr>
            <w:tcW w:type="dxa" w:w="3744"/>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20"/>
              </w:rPr>
              <w:t>Full HD or higher</w:t>
            </w:r>
          </w:p>
        </w:tc>
      </w:tr>
    </w:tbl>
    <w:p>
      <w:pPr>
        <w:spacing w:line="276" w:lineRule="auto" w:before="40" w:after="160"/>
        <w:jc w:val="center"/>
      </w:pPr>
      <w:r>
        <w:rPr>
          <w:rFonts w:ascii="Times New Roman" w:hAnsi="Times New Roman"/>
          <w:b w:val="0"/>
          <w:i/>
          <w:sz w:val="22"/>
        </w:rPr>
        <w:t>Table 1. Hardware Specification</w:t>
      </w:r>
    </w:p>
    <w:p>
      <w:pPr>
        <w:spacing w:line="360" w:lineRule="auto" w:before="140" w:after="60"/>
        <w:jc w:val="left"/>
      </w:pPr>
      <w:r>
        <w:rPr>
          <w:rFonts w:ascii="Times New Roman" w:hAnsi="Times New Roman"/>
          <w:b/>
          <w:i/>
          <w:sz w:val="24"/>
        </w:rPr>
        <w:t>3.3.2   Software Specification</w:t>
      </w:r>
    </w:p>
    <w:p>
      <w:pPr>
        <w:spacing w:line="276" w:lineRule="auto" w:before="0" w:after="120"/>
        <w:ind w:firstLine="720"/>
        <w:jc w:val="both"/>
      </w:pPr>
      <w:r>
        <w:rPr>
          <w:rFonts w:ascii="Times New Roman" w:hAnsi="Times New Roman"/>
          <w:b w:val="0"/>
          <w:i w:val="0"/>
          <w:sz w:val="24"/>
        </w:rPr>
        <w:t>All software components used in this project are open-source and cross-platform compatible. The complete software ecosystem required to execute the six-phase experiment pipeline is listed in Table 2:</w:t>
      </w:r>
    </w:p>
    <w:tbl>
      <w:tblPr>
        <w:tblW w:type="auto" w:w="0"/>
        <w:jc w:val="center"/>
        <w:tblLook w:firstColumn="1" w:firstRow="1" w:lastColumn="0" w:lastRow="0" w:noHBand="0" w:noVBand="1" w:val="04A0"/>
      </w:tblPr>
      <w:tblGrid>
        <w:gridCol w:w="3010"/>
        <w:gridCol w:w="3010"/>
        <w:gridCol w:w="3010"/>
      </w:tblGrid>
      <w:tr>
        <w:tc>
          <w:tcPr>
            <w:tcW w:type="dxa" w:w="2016"/>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i w:val="0"/>
                <w:sz w:val="18"/>
              </w:rPr>
              <w:t>Category</w:t>
            </w:r>
          </w:p>
        </w:tc>
        <w:tc>
          <w:tcPr>
            <w:tcW w:type="dxa" w:w="3168"/>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i w:val="0"/>
                <w:sz w:val="18"/>
              </w:rPr>
              <w:t>Tool / Version</w:t>
            </w:r>
          </w:p>
        </w:tc>
        <w:tc>
          <w:tcPr>
            <w:tcW w:type="dxa" w:w="3888"/>
            <w:shd w:val="clear" w:color="auto" w:fill="D9D9D9"/>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i w:val="0"/>
                <w:sz w:val="18"/>
              </w:rPr>
              <w:t>Purpose</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Operating System</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Windows 11 + WSL2 / Ubuntu 22.04 /</w:t>
              <w:br/>
              <w:t>macOS 13+</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Host environment for Docker &amp; Python</w:t>
            </w:r>
          </w:p>
        </w:tc>
      </w:tr>
      <w:tr>
        <w:tc>
          <w:tcPr>
            <w:tcW w:type="dxa" w:w="2016"/>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Programming Language</w:t>
            </w:r>
          </w:p>
        </w:tc>
        <w:tc>
          <w:tcPr>
            <w:tcW w:type="dxa" w:w="316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Python 3.11+</w:t>
            </w:r>
          </w:p>
        </w:tc>
        <w:tc>
          <w:tcPr>
            <w:tcW w:type="dxa" w:w="388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All pipeline scripts and orchestration</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Development Env.</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VS Code / PyCharm</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Code editing, debugging, project management</w:t>
            </w:r>
          </w:p>
        </w:tc>
      </w:tr>
      <w:tr>
        <w:tc>
          <w:tcPr>
            <w:tcW w:type="dxa" w:w="2016"/>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Graph Library</w:t>
            </w:r>
          </w:p>
        </w:tc>
        <w:tc>
          <w:tcPr>
            <w:tcW w:type="dxa" w:w="316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NetworkX 3.1</w:t>
            </w:r>
          </w:p>
        </w:tc>
        <w:tc>
          <w:tcPr>
            <w:tcW w:type="dxa" w:w="388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SDG construction &amp; 7 centrality metrics</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Data Analysis</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Pandas 2.0, NumPy 1.24, SciPy 1.11</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Aggregation, ranking, Spearman correlation</w:t>
            </w:r>
          </w:p>
        </w:tc>
      </w:tr>
      <w:tr>
        <w:tc>
          <w:tcPr>
            <w:tcW w:type="dxa" w:w="2016"/>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Visualisation</w:t>
            </w:r>
          </w:p>
        </w:tc>
        <w:tc>
          <w:tcPr>
            <w:tcW w:type="dxa" w:w="316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Matplotlib 3.7, Seaborn 0.12</w:t>
            </w:r>
          </w:p>
        </w:tc>
        <w:tc>
          <w:tcPr>
            <w:tcW w:type="dxa" w:w="388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Heatmaps, scatter plots, bar charts</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Container Platform</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Docker Desktop 4.0+ (WSL2 backend)</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Multi-container microservice deployment</w:t>
            </w:r>
          </w:p>
        </w:tc>
      </w:tr>
      <w:tr>
        <w:tc>
          <w:tcPr>
            <w:tcW w:type="dxa" w:w="2016"/>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Distributed Tracing</w:t>
            </w:r>
          </w:p>
        </w:tc>
        <w:tc>
          <w:tcPr>
            <w:tcW w:type="dxa" w:w="316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Jaeger All-in-One v1.62.0</w:t>
            </w:r>
          </w:p>
        </w:tc>
        <w:tc>
          <w:tcPr>
            <w:tcW w:type="dxa" w:w="388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Trace collection, span storage, REST API</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Load Generation</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Locust 2.15 / wrk2 (Docker image)</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Synthetic HTTP traffic at 50 req/s</w:t>
            </w:r>
          </w:p>
        </w:tc>
      </w:tr>
      <w:tr>
        <w:tc>
          <w:tcPr>
            <w:tcW w:type="dxa" w:w="2016"/>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Chaos Engineering</w:t>
            </w:r>
          </w:p>
        </w:tc>
        <w:tc>
          <w:tcPr>
            <w:tcW w:type="dxa" w:w="316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Pumba (alexei-led/pumba)</w:t>
            </w:r>
          </w:p>
        </w:tc>
        <w:tc>
          <w:tcPr>
            <w:tcW w:type="dxa" w:w="388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Container SIGKILL &amp; tc netem latency</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HTTP Client</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Requests 2.31</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Jaeger API &amp; DeathStarBench API calls</w:t>
            </w:r>
          </w:p>
        </w:tc>
      </w:tr>
      <w:tr>
        <w:tc>
          <w:tcPr>
            <w:tcW w:type="dxa" w:w="2016"/>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Testing Framework</w:t>
            </w:r>
          </w:p>
        </w:tc>
        <w:tc>
          <w:tcPr>
            <w:tcW w:type="dxa" w:w="316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pytest 7.4</w:t>
            </w:r>
          </w:p>
        </w:tc>
        <w:tc>
          <w:tcPr>
            <w:tcW w:type="dxa" w:w="3888"/>
            <w:shd w:val="clear" w:color="auto" w:fill="F5F5F5"/>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Post-fault recovery integration tests</w:t>
            </w:r>
          </w:p>
        </w:tc>
      </w:tr>
      <w:tr>
        <w:tc>
          <w:tcPr>
            <w:tcW w:type="dxa" w:w="2016"/>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Build System</w:t>
            </w:r>
          </w:p>
        </w:tc>
        <w:tc>
          <w:tcPr>
            <w:tcW w:type="dxa" w:w="316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setuptools 68.0, pip</w:t>
            </w:r>
          </w:p>
        </w:tc>
        <w:tc>
          <w:tcPr>
            <w:tcW w:type="dxa" w:w="3888"/>
            <w:shd w:val="clear" w:color="auto" w:fill="FFFFFF"/>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Pr>
                <w:rFonts w:ascii="Times New Roman" w:hAnsi="Times New Roman"/>
                <w:b w:val="0"/>
                <w:i w:val="0"/>
                <w:sz w:val="18"/>
              </w:rPr>
              <w:t>Package management &amp; dependency install</w:t>
            </w:r>
          </w:p>
        </w:tc>
      </w:tr>
    </w:tbl>
    <w:p>
      <w:pPr>
        <w:spacing w:line="276" w:lineRule="auto" w:before="40" w:after="160"/>
        <w:jc w:val="center"/>
      </w:pPr>
      <w:r>
        <w:rPr>
          <w:rFonts w:ascii="Times New Roman" w:hAnsi="Times New Roman"/>
          <w:b w:val="0"/>
          <w:i/>
          <w:sz w:val="22"/>
        </w:rPr>
        <w:t>Table 2. Software Specification</w:t>
      </w:r>
    </w:p>
    <w:p>
      <w:r>
        <w:br w:type="page"/>
      </w:r>
    </w:p>
    <w:p>
      <w:pPr>
        <w:spacing w:line="360" w:lineRule="auto" w:before="120" w:after="160"/>
        <w:jc w:val="center"/>
      </w:pPr>
      <w:r>
        <w:rPr>
          <w:rFonts w:ascii="Times New Roman" w:hAnsi="Times New Roman"/>
          <w:b/>
          <w:i w:val="0"/>
          <w:sz w:val="28"/>
        </w:rPr>
        <w:t>4. DESIGN APPROACH AND DETAILS</w:t>
      </w:r>
    </w:p>
    <w:p>
      <w:pPr>
        <w:spacing w:line="360" w:lineRule="auto" w:before="200" w:after="80"/>
        <w:jc w:val="left"/>
      </w:pPr>
      <w:r>
        <w:rPr>
          <w:rFonts w:ascii="Times New Roman" w:hAnsi="Times New Roman"/>
          <w:b/>
          <w:i w:val="0"/>
          <w:sz w:val="26"/>
        </w:rPr>
        <w:t>4.1 System Architecture</w:t>
      </w:r>
    </w:p>
    <w:p>
      <w:pPr>
        <w:spacing w:line="276" w:lineRule="auto" w:before="0" w:after="120"/>
        <w:ind w:firstLine="720"/>
        <w:jc w:val="both"/>
      </w:pPr>
      <w:r>
        <w:rPr>
          <w:rFonts w:ascii="Times New Roman" w:hAnsi="Times New Roman"/>
          <w:b w:val="0"/>
          <w:i w:val="0"/>
          <w:sz w:val="24"/>
        </w:rPr>
        <w:t>The system is structured as a six-phase sequential pipeline in which each phase produces a concrete artefact consumed by the next. The pipeline begins with environment deployment, proceeds through data collection and graph construction, executes chaos experiments, and concludes with statistical analysis and visualisation. The master orchestrator script (run_full_experiment.py) chains all phases via subprocess calls, supporting selective phase skipping via CLI flags.</w:t>
      </w:r>
    </w:p>
    <w:p>
      <w:pPr>
        <w:spacing w:line="276" w:lineRule="auto" w:before="0" w:after="120"/>
        <w:ind w:firstLine="720"/>
        <w:jc w:val="both"/>
      </w:pPr>
      <w:r>
        <w:rPr>
          <w:rFonts w:ascii="Times New Roman" w:hAnsi="Times New Roman"/>
          <w:b w:val="0"/>
          <w:i w:val="0"/>
          <w:sz w:val="24"/>
        </w:rPr>
        <w:t>Phase 1 (Infrastructure) deploys the DeathStarBench Social Network application via Docker Compose, initialises a synthetic social graph of ~1,000 users from the Stanford SNAP socfb-Reed98 dataset, and generates baseline traffic at 50 req/s using Locust or wrk2. Phase 2 (SDG Construction) queries the Jaeger REST API to fetch raw distributed traces, then parses span parent-child relationships to build the directed Service Dependency Graph exported as sdg.json and sdg.graphml.</w:t>
      </w:r>
    </w:p>
    <w:p>
      <w:pPr>
        <w:spacing w:line="276" w:lineRule="auto" w:before="0" w:after="120"/>
        <w:ind w:firstLine="720"/>
        <w:jc w:val="both"/>
      </w:pPr>
      <w:r>
        <w:rPr>
          <w:rFonts w:ascii="Times New Roman" w:hAnsi="Times New Roman"/>
          <w:b w:val="0"/>
          <w:i w:val="0"/>
          <w:sz w:val="24"/>
        </w:rPr>
        <w:t>Phase 3 (Centrality) runs compute_centrality.py to calculate all seven metrics via NetworkX, producing centrality_table.csv and the JSON equivalent. Phase 4 (Fault Injection) iterates over all 12 services, executing a 30-second warm-up, baseline measurement, fault injection (via Pumba), 60-second fault window measurement, container restart, and 30-second cooldown for each (service, fault-type, repetition) triple. Phase 5 (Verification) executes pytest integration tests to confirm functional recovery. Phase 6 (Analysis) runs Spearman correlation, outlier detection, and plot generation scripts.</w:t>
      </w:r>
    </w:p>
    <w:p w:rsidR="00000000">
      <w:pPr>
        <w:spacing w:line="240" w:lineRule="auto" w:before="160" w:after="80"/>
        <w:jc w:val="center"/>
        <w:pBdr>
          <w:top w:val="single" w:sz="6" w:space="4" w:color="4472C4"/>
          <w:left w:val="single" w:sz="6" w:space="4" w:color="4472C4"/>
          <w:bottom w:val="single" w:sz="6" w:space="4" w:color="4472C4"/>
          <w:right w:val="single" w:sz="6" w:space="4" w:color="4472C4"/>
        </w:pBdr>
      </w:pPr>
      <w:r>
        <w:rPr>
          <w:rFonts w:ascii="Times New Roman" w:hAnsi="Times New Roman"/>
          <w:b w:val="0"/>
          <w:i/>
          <w:sz w:val="22"/>
        </w:rPr>
        <w:t>[ INSERT SYSTEM ARCHITECTURE DIAGRAM HERE ]</w:t>
        <w:br/>
        <w:t>Recommended: Six-phase flowchart showing:</w:t>
        <w:br/>
        <w:t>Phase 1 (Docker Deploy) → Phase 2 (Jaeger Traces → SDG) → Phase 3 (Centrality) → Phase 4 (Pumba Fault Injection) → Phase 5 (pytest) → Phase 6 (Spearman Analysis → Plots)</w:t>
      </w:r>
    </w:p>
    <w:p>
      <w:pPr>
        <w:spacing w:line="276" w:lineRule="auto" w:before="40" w:after="160"/>
        <w:jc w:val="center"/>
      </w:pPr>
      <w:r>
        <w:rPr>
          <w:rFonts w:ascii="Times New Roman" w:hAnsi="Times New Roman"/>
          <w:b w:val="0"/>
          <w:i/>
          <w:sz w:val="22"/>
        </w:rPr>
        <w:t>Fig. 2. System Architecture — Six-Phase Experiment Pipeline</w:t>
      </w:r>
    </w:p>
    <w:p>
      <w:pPr>
        <w:spacing w:line="360" w:lineRule="auto" w:before="200" w:after="80"/>
        <w:jc w:val="left"/>
      </w:pPr>
      <w:r>
        <w:rPr>
          <w:rFonts w:ascii="Times New Roman" w:hAnsi="Times New Roman"/>
          <w:b/>
          <w:i w:val="0"/>
          <w:sz w:val="26"/>
        </w:rPr>
        <w:t>4.2 Design</w:t>
      </w:r>
    </w:p>
    <w:p>
      <w:pPr>
        <w:spacing w:line="360" w:lineRule="auto" w:before="140" w:after="60"/>
        <w:jc w:val="left"/>
      </w:pPr>
      <w:r>
        <w:rPr>
          <w:rFonts w:ascii="Times New Roman" w:hAnsi="Times New Roman"/>
          <w:b/>
          <w:i/>
          <w:sz w:val="24"/>
        </w:rPr>
        <w:t>4.2.1   Data Flow Diagram</w:t>
      </w:r>
    </w:p>
    <w:p>
      <w:pPr>
        <w:spacing w:line="276" w:lineRule="auto" w:before="0" w:after="120"/>
        <w:ind w:firstLine="720"/>
        <w:jc w:val="both"/>
      </w:pPr>
      <w:r>
        <w:rPr>
          <w:rFonts w:ascii="Times New Roman" w:hAnsi="Times New Roman"/>
          <w:b w:val="0"/>
          <w:i w:val="0"/>
          <w:sz w:val="24"/>
        </w:rPr>
        <w:t>The Data Flow Diagram (DFD) at Level 0 (Context Diagram) shows the system as a single process receiving inputs from two external entities — the Jaeger Tracing Server (distributing span data) and the Docker Daemon (providing container state) — and producing outputs to three sinks: the Experiment Log CSV, the Analysis Plots directory, and the Centrality Table.</w:t>
      </w:r>
    </w:p>
    <w:p>
      <w:pPr>
        <w:spacing w:line="276" w:lineRule="auto" w:before="0" w:after="120"/>
        <w:ind w:firstLine="720"/>
        <w:jc w:val="both"/>
      </w:pPr>
      <w:r>
        <w:rPr>
          <w:rFonts w:ascii="Times New Roman" w:hAnsi="Times New Roman"/>
          <w:b w:val="0"/>
          <w:i w:val="0"/>
          <w:sz w:val="24"/>
        </w:rPr>
        <w:t>At Level 1, the DFD decomposes into six major processes corresponding to the pipeline phases: (1) Trace Ingestion — queries Jaeger, normalises span JSON; (2) Graph Builder — extracts parent-child service edges, constructs NetworkX DiGraph; (3) Centrality Engine — computes seven metrics, writes centrality_table.csv; (4) Fault Orchestrator — dispatches Pumba commands, manages timing; (5) Blast Radius Collector — queries Jaeger during fault windows, appends to experiment_log.csv; (6) Statistical Analyser — runs Spearman correlation, generates plots, identifies outliers.</w:t>
      </w:r>
    </w:p>
    <w:p>
      <w:pPr>
        <w:spacing w:line="240" w:lineRule="auto" w:before="160" w:after="80"/>
        <w:jc w:val="center"/>
        <w:pBdr>
          <w:top w:val="single" w:sz="6" w:space="4" w:color="4472C4"/>
          <w:left w:val="single" w:sz="6" w:space="4" w:color="4472C4"/>
          <w:bottom w:val="single" w:sz="6" w:space="4" w:color="4472C4"/>
          <w:right w:val="single" w:sz="6" w:space="4" w:color="4472C4"/>
        </w:pBdr>
      </w:pPr>
      <w:r>
        <w:rPr>
          <w:rFonts w:ascii="Times New Roman" w:hAnsi="Times New Roman"/>
          <w:b w:val="0"/>
          <w:i/>
          <w:sz w:val="22"/>
        </w:rPr>
        <w:t>[ INSERT DATA FLOW DIAGRAM HERE ]</w:t>
        <w:br/>
        <w:t>Level 0: External Entities (Jaeger Server, Docker Daemon) → System → Outputs (CSV logs, Plots)</w:t>
        <w:br/>
        <w:t>Level 1: Decomposed into six process bubbles with data stores (raw_traces.json, sdg.json, centrality_table.csv, experiment_log.csv)</w:t>
      </w:r>
    </w:p>
    <w:p>
      <w:pPr>
        <w:spacing w:line="276" w:lineRule="auto" w:before="40" w:after="160"/>
        <w:jc w:val="center"/>
      </w:pPr>
      <w:r>
        <w:rPr>
          <w:rFonts w:ascii="Times New Roman" w:hAnsi="Times New Roman"/>
          <w:b w:val="0"/>
          <w:i/>
          <w:sz w:val="22"/>
        </w:rPr>
        <w:t>Fig. 3. Data Flow Diagram (Level 1)</w:t>
      </w:r>
    </w:p>
    <w:p>
      <w:pPr>
        <w:spacing w:line="360" w:lineRule="auto" w:before="140" w:after="60"/>
        <w:jc w:val="left"/>
      </w:pPr>
      <w:r>
        <w:rPr>
          <w:rFonts w:ascii="Times New Roman" w:hAnsi="Times New Roman"/>
          <w:b/>
          <w:i/>
          <w:sz w:val="24"/>
        </w:rPr>
        <w:t>4.2.2   Use Case Diagram</w:t>
      </w:r>
    </w:p>
    <w:p>
      <w:pPr>
        <w:spacing w:line="276" w:lineRule="auto" w:before="0" w:after="120"/>
        <w:ind w:firstLine="720"/>
        <w:jc w:val="both"/>
      </w:pPr>
      <w:r>
        <w:rPr>
          <w:rFonts w:ascii="Times New Roman" w:hAnsi="Times New Roman"/>
          <w:b w:val="0"/>
          <w:i w:val="0"/>
          <w:sz w:val="24"/>
        </w:rPr>
        <w:t>The Use Case Diagram identifies two primary actors: the Research Engineer (who configures and triggers the experiment pipeline) and the SRE Analyst (who consumes the results). The Research Engineer interacts with use cases including: Configure Experiment Parameters, Deploy DeathStarBench Stack, Execute Fault Injection Pipeline, and Review Correlation Results. The SRE Analyst interacts with: View Centrality Rankings, Inspect Blast Radius Measurements, Analyse Correlation Heatmap, and Identify High-Risk Services.</w:t>
      </w:r>
    </w:p>
    <w:p>
      <w:pPr>
        <w:spacing w:line="276" w:lineRule="auto" w:before="0" w:after="120"/>
        <w:ind w:firstLine="720"/>
        <w:jc w:val="both"/>
      </w:pPr>
      <w:r>
        <w:rPr>
          <w:rFonts w:ascii="Times New Roman" w:hAnsi="Times New Roman"/>
          <w:b w:val="0"/>
          <w:i w:val="0"/>
          <w:sz w:val="24"/>
        </w:rPr>
        <w:t>Secondary include relationships connect: Execute Fault Injection Pipeline &lt;&lt;includes&gt;&gt; Inject Container Kill Fault, Inject Network Latency Fault, Collect Jaeger Metrics, and Run Integration Tests. The Jaeger Server is modelled as an external system actor providing trace data to the pipeline.</w:t>
      </w:r>
    </w:p>
    <w:p>
      <w:pPr>
        <w:spacing w:line="240" w:lineRule="auto" w:before="160" w:after="80"/>
        <w:jc w:val="center"/>
        <w:pBdr>
          <w:top w:val="single" w:sz="6" w:space="4" w:color="4472C4"/>
          <w:left w:val="single" w:sz="6" w:space="4" w:color="4472C4"/>
          <w:bottom w:val="single" w:sz="6" w:space="4" w:color="4472C4"/>
          <w:right w:val="single" w:sz="6" w:space="4" w:color="4472C4"/>
        </w:pBdr>
      </w:pPr>
      <w:r>
        <w:rPr>
          <w:rFonts w:ascii="Times New Roman" w:hAnsi="Times New Roman"/>
          <w:b w:val="0"/>
          <w:i/>
          <w:sz w:val="22"/>
        </w:rPr>
        <w:t>[ INSERT USE CASE DIAGRAM HERE ]</w:t>
        <w:br/>
        <w:t>Actors: Research Engineer, SRE Analyst, Jaeger Server (external)</w:t>
        <w:br/>
        <w:t>Use Cases: Configure Experiment, Deploy Stack, Execute Fault Injection, View Centrality Rankings, Analyse Correlations, Identify High-Risk Services</w:t>
      </w:r>
    </w:p>
    <w:p>
      <w:pPr>
        <w:spacing w:line="276" w:lineRule="auto" w:before="40" w:after="160"/>
        <w:jc w:val="center"/>
      </w:pPr>
      <w:r>
        <w:rPr>
          <w:rFonts w:ascii="Times New Roman" w:hAnsi="Times New Roman"/>
          <w:b w:val="0"/>
          <w:i/>
          <w:sz w:val="22"/>
        </w:rPr>
        <w:t>Fig. 4. Use Case Diagram</w:t>
      </w:r>
    </w:p>
    <w:p>
      <w:pPr>
        <w:spacing w:line="360" w:lineRule="auto" w:before="140" w:after="60"/>
        <w:jc w:val="left"/>
      </w:pPr>
      <w:r>
        <w:rPr>
          <w:rFonts w:ascii="Times New Roman" w:hAnsi="Times New Roman"/>
          <w:b/>
          <w:i/>
          <w:sz w:val="24"/>
        </w:rPr>
        <w:t>4.2.3   Class Diagram</w:t>
      </w:r>
    </w:p>
    <w:p>
      <w:pPr>
        <w:spacing w:line="276" w:lineRule="auto" w:before="0" w:after="120"/>
        <w:ind w:firstLine="720"/>
        <w:jc w:val="both"/>
      </w:pPr>
      <w:r>
        <w:rPr>
          <w:rFonts w:ascii="Times New Roman" w:hAnsi="Times New Roman"/>
          <w:b w:val="0"/>
          <w:i w:val="0"/>
          <w:sz w:val="24"/>
        </w:rPr>
        <w:t>The class diagram models the core Python modules as classes with attributes and methods. Key classes include: TraceCollector (attributes: jaeger_url, lookback, limit; methods: fetch_traces(), save_raw_json()); GraphBuilder (attributes: traces_path, output_dir; methods: extract_edges(), build_graph(), export_graphml(), export_json()); CentralityComputer (attributes: graph, output_dir; methods: compute_all(), add_ranks(), add_composite(), save_csv()); FaultSpec (attributes: fault_type, duration_seconds, latency_ms; methods: pumba_command()); ExperimentConfig (attributes: services, fault_types, repetitions; methods: total_runs(), estimated_time()); MetricsCollector (attributes: jaeger_url; methods: get_traces_in_window(), compute_latency_percentiles(), compute_error_rate()); CorrelationAnalyser (attributes: centrality_df, blast_df; methods: aggregate_by_service(), compute_spearman()); OutlierDetector (attributes: merged_df, threshold; methods: identify(), classify(), save()).</w:t>
      </w:r>
    </w:p>
    <w:p>
      <w:pPr>
        <w:spacing w:line="240" w:lineRule="auto" w:before="160" w:after="80"/>
        <w:jc w:val="center"/>
        <w:pBdr>
          <w:top w:val="single" w:sz="6" w:space="4" w:color="4472C4"/>
          <w:left w:val="single" w:sz="6" w:space="4" w:color="4472C4"/>
          <w:bottom w:val="single" w:sz="6" w:space="4" w:color="4472C4"/>
          <w:right w:val="single" w:sz="6" w:space="4" w:color="4472C4"/>
        </w:pBdr>
      </w:pPr>
      <w:r>
        <w:rPr>
          <w:rFonts w:ascii="Times New Roman" w:hAnsi="Times New Roman"/>
          <w:b w:val="0"/>
          <w:i/>
          <w:sz w:val="22"/>
        </w:rPr>
        <w:t>[ INSERT CLASS DIAGRAM HERE ]</w:t>
        <w:br/>
        <w:t>Key Classes: TraceCollector, GraphBuilder, CentralityComputer, FaultSpec, ExperimentConfig, MetricsCollector, ResultsLogger, CorrelationAnalyser, OutlierDetector, PlotGenerator</w:t>
        <w:br/>
        <w:t>Show attributes, methods, and associations/dependencies between classes.</w:t>
      </w:r>
    </w:p>
    <w:p>
      <w:pPr>
        <w:spacing w:line="276" w:lineRule="auto" w:before="40" w:after="160"/>
        <w:jc w:val="center"/>
      </w:pPr>
      <w:r>
        <w:rPr>
          <w:rFonts w:ascii="Times New Roman" w:hAnsi="Times New Roman"/>
          <w:b w:val="0"/>
          <w:i/>
          <w:sz w:val="22"/>
        </w:rPr>
        <w:t>Fig. 5. Class Diagram</w:t>
      </w:r>
    </w:p>
    <w:p>
      <w:pPr>
        <w:spacing w:line="360" w:lineRule="auto" w:before="140" w:after="60"/>
        <w:jc w:val="left"/>
      </w:pPr>
      <w:r>
        <w:rPr>
          <w:rFonts w:ascii="Times New Roman" w:hAnsi="Times New Roman"/>
          <w:b/>
          <w:i/>
          <w:sz w:val="24"/>
        </w:rPr>
        <w:t>4.2.4   Sequence Diagram</w:t>
      </w:r>
    </w:p>
    <w:p>
      <w:pPr>
        <w:spacing w:line="276" w:lineRule="auto" w:before="0" w:after="120"/>
        <w:ind w:firstLine="720"/>
        <w:jc w:val="both"/>
      </w:pPr>
      <w:r>
        <w:rPr>
          <w:rFonts w:ascii="Times New Roman" w:hAnsi="Times New Roman"/>
          <w:b w:val="0"/>
          <w:i w:val="0"/>
          <w:sz w:val="24"/>
        </w:rPr>
        <w:t>The sequence diagram illustrates the message-passing interactions during a single fault injection experiment run. Participants include: FaultRunner, LoadGenerator, TargetContainer, Pumba, JaegerServer, MetricsCollector, and ResultsLogger. The sequence begins with FaultRunner instructing LoadGenerator to start warm-up traffic for 30 seconds. After warm-up, FaultRunner records the baseline window start timestamp and queries JaegerServer for baseline traces. FaultRunner then invokes Pumba to inject the fault into TargetContainer and continues traffic for 60 seconds. MetricsCollector queries JaegerServer for fault-window traces and computes all blast radius metrics. FaultRunner instructs Pumba to remove the fault and waits for TargetContainer to recover. ResultsLogger appends the run record to experiment_log.csv.</w:t>
      </w:r>
    </w:p>
    <w:p>
      <w:pPr>
        <w:spacing w:line="240" w:lineRule="auto" w:before="160" w:after="80"/>
        <w:jc w:val="center"/>
        <w:pBdr>
          <w:top w:val="single" w:sz="6" w:space="4" w:color="4472C4"/>
          <w:left w:val="single" w:sz="6" w:space="4" w:color="4472C4"/>
          <w:bottom w:val="single" w:sz="6" w:space="4" w:color="4472C4"/>
          <w:right w:val="single" w:sz="6" w:space="4" w:color="4472C4"/>
        </w:pBdr>
      </w:pPr>
      <w:r>
        <w:rPr>
          <w:rFonts w:ascii="Times New Roman" w:hAnsi="Times New Roman"/>
          <w:b w:val="0"/>
          <w:i/>
          <w:sz w:val="22"/>
        </w:rPr>
        <w:t>[ INSERT SEQUENCE DIAGRAM HERE ]</w:t>
        <w:br/>
        <w:t>Participants: FaultRunner, LoadGenerator, TargetContainer, Pumba, JaegerServer, MetricsCollector, ResultsLogger</w:t>
        <w:br/>
        <w:t>Key interactions: Warm-up (30s) → Baseline Measurement → Inject Fault → Fault Window (60s) → Collect Metrics → Remove Fault → Recovery → Log Results</w:t>
      </w:r>
    </w:p>
    <w:p>
      <w:pPr>
        <w:spacing w:line="276" w:lineRule="auto" w:before="40" w:after="160"/>
        <w:jc w:val="center"/>
      </w:pPr>
      <w:r>
        <w:rPr>
          <w:rFonts w:ascii="Times New Roman" w:hAnsi="Times New Roman"/>
          <w:b w:val="0"/>
          <w:i/>
          <w:sz w:val="22"/>
        </w:rPr>
        <w:t>Fig. 6. Sequence Diagram — Single Fault Injection Run</w:t>
      </w:r>
    </w:p>
    <w:p>
      <w:r>
        <w:br w:type="page"/>
      </w:r>
    </w:p>
    <w:p>
      <w:pPr>
        <w:spacing w:line="360" w:lineRule="auto" w:before="120" w:after="160"/>
        <w:jc w:val="center"/>
      </w:pPr>
      <w:r>
        <w:rPr>
          <w:rFonts w:ascii="Times New Roman" w:hAnsi="Times New Roman"/>
          <w:b/>
          <w:i w:val="0"/>
          <w:sz w:val="28"/>
        </w:rPr>
        <w:t>5. REFERENCES</w:t>
      </w:r>
    </w:p>
    <w:p>
      <w:pPr>
        <w:spacing w:line="276" w:lineRule="auto" w:before="160" w:after="80"/>
        <w:ind w:firstLine="0"/>
        <w:jc w:val="left"/>
      </w:pPr>
      <w:r>
        <w:rPr>
          <w:rFonts w:ascii="Times New Roman" w:hAnsi="Times New Roman"/>
          <w:b/>
          <w:i w:val="0"/>
          <w:sz w:val="24"/>
        </w:rPr>
        <w:t>Web links:</w:t>
      </w:r>
    </w:p>
    <w:p>
      <w:pPr>
        <w:spacing w:line="276" w:lineRule="auto" w:before="0" w:after="80"/>
        <w:ind w:hanging="504" w:left="504"/>
        <w:jc w:val="both"/>
      </w:pPr>
      <w:r>
        <w:rPr>
          <w:rFonts w:ascii="Times New Roman" w:hAnsi="Times New Roman"/>
          <w:b w:val="0"/>
          <w:i w:val="0"/>
          <w:sz w:val="24"/>
        </w:rPr>
        <w:t xml:space="preserve">1.  </w:t>
      </w:r>
      <w:r>
        <w:rPr>
          <w:rFonts w:ascii="Times New Roman" w:hAnsi="Times New Roman"/>
          <w:b w:val="0"/>
          <w:i w:val="0"/>
          <w:sz w:val="24"/>
        </w:rPr>
        <w:t>https://github.com/delimitrou/DeathStarBench - DeathStarBench benchmark suite source code repository. Accessed August 2026.</w:t>
      </w:r>
    </w:p>
    <w:p>
      <w:pPr>
        <w:spacing w:line="276" w:lineRule="auto" w:before="0" w:after="80"/>
        <w:ind w:hanging="504" w:left="504"/>
        <w:jc w:val="both"/>
      </w:pPr>
      <w:r>
        <w:rPr>
          <w:rFonts w:ascii="Times New Roman" w:hAnsi="Times New Roman"/>
          <w:b w:val="0"/>
          <w:i w:val="0"/>
          <w:sz w:val="24"/>
        </w:rPr>
        <w:t xml:space="preserve">2.  </w:t>
      </w:r>
      <w:r>
        <w:rPr>
          <w:rFonts w:ascii="Times New Roman" w:hAnsi="Times New Roman"/>
          <w:b w:val="0"/>
          <w:i w:val="0"/>
          <w:sz w:val="24"/>
        </w:rPr>
        <w:t>https://www.jaegertracing.io/docs - Jaeger Distributed Tracing official documentation. Accessed August 2026.</w:t>
      </w:r>
    </w:p>
    <w:p>
      <w:pPr>
        <w:spacing w:line="276" w:lineRule="auto" w:before="0" w:after="80"/>
        <w:ind w:hanging="504" w:left="504"/>
        <w:jc w:val="both"/>
      </w:pPr>
      <w:r>
        <w:rPr>
          <w:rFonts w:ascii="Times New Roman" w:hAnsi="Times New Roman"/>
          <w:b w:val="0"/>
          <w:i w:val="0"/>
          <w:sz w:val="24"/>
        </w:rPr>
        <w:t xml:space="preserve">3.  </w:t>
      </w:r>
      <w:r>
        <w:rPr>
          <w:rFonts w:ascii="Times New Roman" w:hAnsi="Times New Roman"/>
          <w:b w:val="0"/>
          <w:i w:val="0"/>
          <w:sz w:val="24"/>
        </w:rPr>
        <w:t>https://github.com/alexei-led/pumba - Pumba chaos testing and network emulation tool repository. Accessed August 2026.</w:t>
      </w:r>
    </w:p>
    <w:p>
      <w:pPr>
        <w:spacing w:line="276" w:lineRule="auto" w:before="0" w:after="80"/>
        <w:ind w:hanging="504" w:left="504"/>
        <w:jc w:val="both"/>
      </w:pPr>
      <w:r>
        <w:rPr>
          <w:rFonts w:ascii="Times New Roman" w:hAnsi="Times New Roman"/>
          <w:b w:val="0"/>
          <w:i w:val="0"/>
          <w:sz w:val="24"/>
        </w:rPr>
        <w:t xml:space="preserve">4.  </w:t>
      </w:r>
      <w:r>
        <w:rPr>
          <w:rFonts w:ascii="Times New Roman" w:hAnsi="Times New Roman"/>
          <w:b w:val="0"/>
          <w:i w:val="0"/>
          <w:sz w:val="24"/>
        </w:rPr>
        <w:t>https://networkx.org/documentation/stable - NetworkX graph library documentation. Accessed August 2026.</w:t>
      </w:r>
    </w:p>
    <w:p>
      <w:pPr>
        <w:spacing w:line="276" w:lineRule="auto" w:before="0" w:after="80"/>
        <w:ind w:hanging="504" w:left="504"/>
        <w:jc w:val="both"/>
      </w:pPr>
      <w:r>
        <w:rPr>
          <w:rFonts w:ascii="Times New Roman" w:hAnsi="Times New Roman"/>
          <w:b w:val="0"/>
          <w:i w:val="0"/>
          <w:sz w:val="24"/>
        </w:rPr>
        <w:t xml:space="preserve">5.  </w:t>
      </w:r>
      <w:r>
        <w:rPr>
          <w:rFonts w:ascii="Times New Roman" w:hAnsi="Times New Roman"/>
          <w:b w:val="0"/>
          <w:i w:val="0"/>
          <w:sz w:val="24"/>
        </w:rPr>
        <w:t>https://landing.google.com/sre/sre-book - Google Site Reliability Engineering Book online edition. Accessed August 2026.</w:t>
      </w:r>
    </w:p>
    <w:p>
      <w:pPr>
        <w:spacing w:line="276" w:lineRule="auto" w:before="160" w:after="80"/>
        <w:ind w:firstLine="0"/>
        <w:jc w:val="left"/>
      </w:pPr>
      <w:r>
        <w:rPr>
          <w:rFonts w:ascii="Times New Roman" w:hAnsi="Times New Roman"/>
          <w:b/>
          <w:i w:val="0"/>
          <w:sz w:val="24"/>
        </w:rPr>
        <w:t>Journals: IEEE Format</w:t>
      </w:r>
    </w:p>
    <w:p>
      <w:pPr>
        <w:spacing w:line="276" w:lineRule="auto" w:before="0" w:after="80"/>
        <w:ind w:hanging="504" w:left="504"/>
        <w:jc w:val="both"/>
      </w:pPr>
      <w:r>
        <w:rPr>
          <w:rFonts w:ascii="Times New Roman" w:hAnsi="Times New Roman"/>
          <w:b w:val="0"/>
          <w:i w:val="0"/>
          <w:sz w:val="24"/>
        </w:rPr>
        <w:t xml:space="preserve">1.  </w:t>
      </w:r>
      <w:r>
        <w:rPr>
          <w:rFonts w:ascii="Times New Roman" w:hAnsi="Times New Roman"/>
          <w:b w:val="0"/>
          <w:i w:val="0"/>
          <w:sz w:val="24"/>
        </w:rPr>
        <w:t>S. Sigelman et al., Dapper a large-scale distributed systems tracing infrastructure, Google Technical Report, 2010.</w:t>
      </w:r>
    </w:p>
    <w:p>
      <w:pPr>
        <w:spacing w:line="276" w:lineRule="auto" w:before="0" w:after="80"/>
        <w:ind w:hanging="504" w:left="504"/>
        <w:jc w:val="both"/>
      </w:pPr>
      <w:r>
        <w:rPr>
          <w:rFonts w:ascii="Times New Roman" w:hAnsi="Times New Roman"/>
          <w:b w:val="0"/>
          <w:i w:val="0"/>
          <w:sz w:val="24"/>
        </w:rPr>
        <w:t xml:space="preserve">2.  </w:t>
      </w:r>
      <w:r>
        <w:rPr>
          <w:rFonts w:ascii="Times New Roman" w:hAnsi="Times New Roman"/>
          <w:b w:val="0"/>
          <w:i w:val="0"/>
          <w:sz w:val="24"/>
        </w:rPr>
        <w:t>Y. Meng et al., Localizing failure root causes in a microservice through causality inference, Proc. ICWS, 2020.</w:t>
      </w:r>
    </w:p>
    <w:p>
      <w:pPr>
        <w:spacing w:line="276" w:lineRule="auto" w:before="0" w:after="80"/>
        <w:ind w:hanging="504" w:left="504"/>
        <w:jc w:val="both"/>
      </w:pPr>
      <w:r>
        <w:rPr>
          <w:rFonts w:ascii="Times New Roman" w:hAnsi="Times New Roman"/>
          <w:b w:val="0"/>
          <w:i w:val="0"/>
          <w:sz w:val="24"/>
        </w:rPr>
        <w:t xml:space="preserve">3.  </w:t>
      </w:r>
      <w:r>
        <w:rPr>
          <w:rFonts w:ascii="Times New Roman" w:hAnsi="Times New Roman"/>
          <w:b w:val="0"/>
          <w:i w:val="0"/>
          <w:sz w:val="24"/>
        </w:rPr>
        <w:t>M. Ma et al., Diagnosing root causes of intermittent slow queries via causal inference, Proc. VLDB Endow., 2020.</w:t>
      </w:r>
    </w:p>
    <w:p>
      <w:pPr>
        <w:spacing w:line="276" w:lineRule="auto" w:before="160" w:after="80"/>
        <w:ind w:firstLine="0"/>
        <w:jc w:val="left"/>
      </w:pPr>
      <w:r>
        <w:rPr>
          <w:rFonts w:ascii="Times New Roman" w:hAnsi="Times New Roman"/>
          <w:b/>
          <w:i w:val="0"/>
          <w:sz w:val="24"/>
        </w:rPr>
        <w:t>Conference: IEEE Format</w:t>
      </w:r>
    </w:p>
    <w:p>
      <w:pPr>
        <w:spacing w:line="276" w:lineRule="auto" w:before="0" w:after="80"/>
        <w:ind w:hanging="504" w:left="504"/>
        <w:jc w:val="both"/>
      </w:pPr>
      <w:r>
        <w:rPr>
          <w:rFonts w:ascii="Times New Roman" w:hAnsi="Times New Roman"/>
          <w:b w:val="0"/>
          <w:i w:val="0"/>
          <w:sz w:val="24"/>
        </w:rPr>
        <w:t xml:space="preserve">1.  </w:t>
      </w:r>
      <w:r>
        <w:rPr>
          <w:rFonts w:ascii="Times New Roman" w:hAnsi="Times New Roman"/>
          <w:b w:val="0"/>
          <w:i w:val="0"/>
          <w:sz w:val="24"/>
        </w:rPr>
        <w:t xml:space="preserve">A. Basiri et al., Chaos engineering, </w:t>
      </w:r>
      <w:r>
        <w:rPr>
          <w:rFonts w:ascii="Times New Roman" w:hAnsi="Times New Roman"/>
          <w:b w:val="0"/>
          <w:i/>
          <w:sz w:val="24"/>
        </w:rPr>
        <w:t>IEEE Software,</w:t>
      </w:r>
      <w:r>
        <w:rPr>
          <w:rFonts w:ascii="Times New Roman" w:hAnsi="Times New Roman"/>
          <w:b w:val="0"/>
          <w:i w:val="0"/>
          <w:sz w:val="24"/>
        </w:rPr>
        <w:t xml:space="preserve"> vol. 33, no. 3, pp. 35-41, May 2016.</w:t>
      </w:r>
    </w:p>
    <w:p>
      <w:pPr>
        <w:spacing w:line="276" w:lineRule="auto" w:before="0" w:after="80"/>
        <w:ind w:hanging="504" w:left="504"/>
        <w:jc w:val="both"/>
      </w:pPr>
      <w:r>
        <w:rPr>
          <w:rFonts w:ascii="Times New Roman" w:hAnsi="Times New Roman"/>
          <w:b w:val="0"/>
          <w:i w:val="0"/>
          <w:sz w:val="24"/>
        </w:rPr>
        <w:t xml:space="preserve">2.  </w:t>
      </w:r>
      <w:r>
        <w:rPr>
          <w:rFonts w:ascii="Times New Roman" w:hAnsi="Times New Roman"/>
          <w:b w:val="0"/>
          <w:i w:val="0"/>
          <w:sz w:val="24"/>
        </w:rPr>
        <w:t xml:space="preserve">P. Leitner and J. Cito, Patterns in the chaos, </w:t>
      </w:r>
      <w:r>
        <w:rPr>
          <w:rFonts w:ascii="Times New Roman" w:hAnsi="Times New Roman"/>
          <w:b w:val="0"/>
          <w:i/>
          <w:sz w:val="24"/>
        </w:rPr>
        <w:t>ACM TOIT,</w:t>
      </w:r>
      <w:r>
        <w:rPr>
          <w:rFonts w:ascii="Times New Roman" w:hAnsi="Times New Roman"/>
          <w:b w:val="0"/>
          <w:i w:val="0"/>
          <w:sz w:val="24"/>
        </w:rPr>
        <w:t xml:space="preserve"> vol. 16, no. 3, Apr. 2016.</w:t>
      </w:r>
    </w:p>
    <w:p>
      <w:pPr>
        <w:spacing w:line="276" w:lineRule="auto" w:before="0" w:after="80"/>
        <w:ind w:hanging="504" w:left="504"/>
        <w:jc w:val="both"/>
      </w:pPr>
      <w:r>
        <w:rPr>
          <w:rFonts w:ascii="Times New Roman" w:hAnsi="Times New Roman"/>
          <w:b w:val="0"/>
          <w:i w:val="0"/>
          <w:sz w:val="24"/>
        </w:rPr>
        <w:t xml:space="preserve">3.  </w:t>
      </w:r>
      <w:r>
        <w:rPr>
          <w:rFonts w:ascii="Times New Roman" w:hAnsi="Times New Roman"/>
          <w:b w:val="0"/>
          <w:i w:val="0"/>
          <w:sz w:val="24"/>
        </w:rPr>
        <w:t xml:space="preserve">Y. Xu et al., POD-failure tolerance for Internet services, in </w:t>
      </w:r>
      <w:r>
        <w:rPr>
          <w:rFonts w:ascii="Times New Roman" w:hAnsi="Times New Roman"/>
          <w:b w:val="0"/>
          <w:i/>
          <w:sz w:val="24"/>
        </w:rPr>
        <w:t>Proc. USENIX ATC,</w:t>
      </w:r>
      <w:r>
        <w:rPr>
          <w:rFonts w:ascii="Times New Roman" w:hAnsi="Times New Roman"/>
          <w:b w:val="0"/>
          <w:i w:val="0"/>
          <w:sz w:val="24"/>
        </w:rPr>
        <w:t xml:space="preserve"> 2018.</w:t>
      </w:r>
    </w:p>
    <w:p>
      <w:pPr>
        <w:spacing w:line="276" w:lineRule="auto" w:before="160" w:after="80"/>
        <w:ind w:firstLine="0"/>
        <w:jc w:val="left"/>
      </w:pPr>
      <w:r>
        <w:rPr>
          <w:rFonts w:ascii="Times New Roman" w:hAnsi="Times New Roman"/>
          <w:b/>
          <w:i w:val="0"/>
          <w:sz w:val="24"/>
        </w:rPr>
        <w:t>Books:</w:t>
      </w:r>
    </w:p>
    <w:p>
      <w:pPr>
        <w:spacing w:line="276" w:lineRule="auto" w:before="0" w:after="80"/>
        <w:ind w:hanging="504" w:left="504"/>
        <w:jc w:val="both"/>
      </w:pPr>
      <w:r>
        <w:rPr>
          <w:rFonts w:ascii="Times New Roman" w:hAnsi="Times New Roman"/>
          <w:b w:val="0"/>
          <w:i w:val="0"/>
          <w:sz w:val="24"/>
        </w:rPr>
        <w:t xml:space="preserve">1.  </w:t>
      </w:r>
      <w:r>
        <w:rPr>
          <w:rFonts w:ascii="Times New Roman" w:hAnsi="Times New Roman"/>
          <w:b w:val="0"/>
          <w:i w:val="0"/>
          <w:sz w:val="24"/>
        </w:rPr>
        <w:t xml:space="preserve">M. E. J. Newman, </w:t>
      </w:r>
      <w:r>
        <w:rPr>
          <w:rFonts w:ascii="Times New Roman" w:hAnsi="Times New Roman"/>
          <w:b w:val="0"/>
          <w:i/>
          <w:sz w:val="24"/>
        </w:rPr>
        <w:t>Networks: An Introduction.</w:t>
      </w:r>
      <w:r>
        <w:rPr>
          <w:rFonts w:ascii="Times New Roman" w:hAnsi="Times New Roman"/>
          <w:b w:val="0"/>
          <w:i w:val="0"/>
          <w:sz w:val="24"/>
        </w:rPr>
        <w:t xml:space="preserve"> Oxford University Press, 2010.</w:t>
      </w:r>
    </w:p>
    <w:p>
      <w:pPr>
        <w:spacing w:line="276" w:lineRule="auto" w:before="0" w:after="80"/>
        <w:ind w:hanging="504" w:left="504"/>
        <w:jc w:val="both"/>
      </w:pPr>
      <w:r>
        <w:rPr>
          <w:rFonts w:ascii="Times New Roman" w:hAnsi="Times New Roman"/>
          <w:b w:val="0"/>
          <w:i w:val="0"/>
          <w:sz w:val="24"/>
        </w:rPr>
        <w:t xml:space="preserve">2.  </w:t>
      </w:r>
      <w:r>
        <w:rPr>
          <w:rFonts w:ascii="Times New Roman" w:hAnsi="Times New Roman"/>
          <w:b w:val="0"/>
          <w:i w:val="0"/>
          <w:sz w:val="24"/>
        </w:rPr>
        <w:t xml:space="preserve">B. Beyer, C. Jones, J. Petoff, and N. R. Murphy, Eds., </w:t>
      </w:r>
      <w:r>
        <w:rPr>
          <w:rFonts w:ascii="Times New Roman" w:hAnsi="Times New Roman"/>
          <w:b w:val="0"/>
          <w:i/>
          <w:sz w:val="24"/>
        </w:rPr>
        <w:t>Site Reliability Engineering: How Google Runs Production Systems.</w:t>
      </w:r>
      <w:r>
        <w:rPr>
          <w:rFonts w:ascii="Times New Roman" w:hAnsi="Times New Roman"/>
          <w:b w:val="0"/>
          <w:i w:val="0"/>
          <w:sz w:val="24"/>
        </w:rPr>
        <w:t xml:space="preserve"> O'Reilly Media, 2016.</w:t>
      </w:r>
    </w:p>
    <w:p>
      <w:pPr>
        <w:spacing w:line="276" w:lineRule="auto" w:before="0" w:after="80"/>
        <w:ind w:hanging="504" w:left="504"/>
        <w:jc w:val="both"/>
      </w:pPr>
      <w:r>
        <w:rPr>
          <w:rFonts w:ascii="Times New Roman" w:hAnsi="Times New Roman"/>
          <w:b w:val="0"/>
          <w:i w:val="0"/>
          <w:sz w:val="24"/>
        </w:rPr>
        <w:t xml:space="preserve">3.  </w:t>
      </w:r>
      <w:r>
        <w:rPr>
          <w:rFonts w:ascii="Times New Roman" w:hAnsi="Times New Roman"/>
          <w:b w:val="0"/>
          <w:i w:val="0"/>
          <w:sz w:val="24"/>
        </w:rPr>
        <w:t xml:space="preserve">S. Newman, </w:t>
      </w:r>
      <w:r>
        <w:rPr>
          <w:rFonts w:ascii="Times New Roman" w:hAnsi="Times New Roman"/>
          <w:b w:val="0"/>
          <w:i/>
          <w:sz w:val="24"/>
        </w:rPr>
        <w:t>Building Microservices: Designing Fine-Grained Systems,</w:t>
      </w:r>
      <w:r>
        <w:rPr>
          <w:rFonts w:ascii="Times New Roman" w:hAnsi="Times New Roman"/>
          <w:b w:val="0"/>
          <w:i w:val="0"/>
          <w:sz w:val="24"/>
        </w:rPr>
        <w:t xml:space="preserve"> 2nd ed. O'Reilly Media, 2021.</w:t>
      </w:r>
    </w:p>
    <w:p>
      <w:pPr>
        <w:spacing w:line="276" w:lineRule="auto" w:before="0" w:after="80"/>
        <w:ind w:hanging="504" w:left="504"/>
        <w:jc w:val="both"/>
      </w:pPr>
      <w:r>
        <w:rPr>
          <w:rFonts w:ascii="Times New Roman" w:hAnsi="Times New Roman"/>
          <w:b w:val="0"/>
          <w:i w:val="0"/>
          <w:sz w:val="24"/>
        </w:rPr>
        <w:t xml:space="preserve">4.  </w:t>
      </w:r>
      <w:r>
        <w:rPr>
          <w:rFonts w:ascii="Times New Roman" w:hAnsi="Times New Roman"/>
          <w:b w:val="0"/>
          <w:i w:val="0"/>
          <w:sz w:val="24"/>
        </w:rPr>
        <w:t>L. Page, S. Brin, R. Motwani, and T. Winograd, The PageRank citation ranking: Bringing order to the web, Stanford InfoLab Technical Report, 1999.</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