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center"/>
      </w:pPr>
      <w:r>
        <w:rPr>
          <w:b/>
          <w:sz w:val="28"/>
        </w:rPr>
        <w:t>B.Tech. BCSE497J - Project-I</w:t>
      </w:r>
    </w:p>
    <w:p>
      <w:pPr>
        <w:spacing w:line="360" w:lineRule="auto" w:after="360"/>
        <w:jc w:val="center"/>
      </w:pPr>
      <w:r>
        <w:rPr>
          <w:b/>
          <w:sz w:val="36"/>
        </w:rPr>
        <w:t>IDENTIFYING FAILURE-PRONE MICROSERVICES USING GRAPH CENTRALITY METRICS</w:t>
      </w:r>
    </w:p>
    <w:p>
      <w:pPr>
        <w:spacing w:line="360" w:lineRule="auto" w:after="0"/>
        <w:jc w:val="center"/>
      </w:pPr>
      <w:r>
        <w:rPr>
          <w:b w:val="0"/>
          <w:sz w:val="24"/>
        </w:rPr>
        <w:t>Submitted in partial fulfillment of the requirements for the degree of</w:t>
      </w:r>
    </w:p>
    <w:p>
      <w:pPr>
        <w:spacing w:line="360" w:lineRule="auto" w:after="0"/>
        <w:jc w:val="center"/>
      </w:pPr>
      <w:r>
        <w:rPr>
          <w:b/>
          <w:sz w:val="26"/>
        </w:rPr>
        <w:t>Bachelor of Technology</w:t>
      </w:r>
    </w:p>
    <w:p>
      <w:pPr>
        <w:spacing w:line="360" w:lineRule="auto" w:after="0"/>
        <w:jc w:val="center"/>
      </w:pPr>
      <w:r>
        <w:rPr>
          <w:b w:val="0"/>
          <w:sz w:val="24"/>
        </w:rPr>
        <w:t>in</w:t>
      </w:r>
    </w:p>
    <w:p>
      <w:pPr>
        <w:spacing w:line="360" w:lineRule="auto" w:after="120"/>
        <w:jc w:val="center"/>
      </w:pPr>
      <w:r>
        <w:rPr>
          <w:b/>
          <w:sz w:val="26"/>
        </w:rPr>
        <w:t>Computer Science and Engineering with Specialization in Data Science</w:t>
      </w:r>
    </w:p>
    <w:p>
      <w:pPr>
        <w:spacing w:line="360" w:lineRule="auto" w:after="120"/>
        <w:jc w:val="center"/>
      </w:pPr>
      <w:r>
        <w:rPr>
          <w:b w:val="0"/>
          <w:sz w:val="24"/>
        </w:rPr>
        <w:t>by</w:t>
      </w:r>
    </w:p>
    <w:tbl>
      <w:tblPr>
        <w:tblW w:type="auto" w:w="0"/>
        <w:jc w:val="center"/>
        <w:tblLook w:firstColumn="1" w:firstRow="1" w:lastColumn="0" w:lastRow="0" w:noHBand="0" w:noVBand="1" w:val="04A0"/>
      </w:tblPr>
      <w:tblGrid>
        <w:gridCol w:w="4394"/>
        <w:gridCol w:w="4394"/>
      </w:tblGrid>
      <w:tr>
        <w:tc>
          <w:tcPr>
            <w:tcW w:type="dxa" w:w="4394"/>
          </w:tcPr>
          <w:p>
            <w:r>
              <w:rPr>
                <w:b/>
                <w:sz w:val="26"/>
              </w:rPr>
              <w:t>23BDS0299</w:t>
            </w:r>
          </w:p>
        </w:tc>
        <w:tc>
          <w:tcPr>
            <w:tcW w:type="dxa" w:w="4394"/>
          </w:tcPr>
          <w:p>
            <w:r>
              <w:rPr>
                <w:b/>
                <w:sz w:val="26"/>
              </w:rPr>
              <w:t>DAKSHRAJSINH TANK</w:t>
            </w:r>
          </w:p>
        </w:tc>
      </w:tr>
    </w:tbl>
    <w:p>
      <w:pPr>
        <w:spacing w:line="360" w:lineRule="auto" w:after="240"/>
        <w:jc w:val="center"/>
      </w:pPr>
      <w:r>
        <w:rPr>
          <w:b w:val="0"/>
          <w:sz w:val="24"/>
        </w:rPr>
      </w:r>
    </w:p>
    <w:p>
      <w:pPr>
        <w:spacing w:line="360" w:lineRule="auto" w:after="120"/>
        <w:jc w:val="center"/>
      </w:pPr>
      <w:r>
        <w:rPr>
          <w:b/>
          <w:sz w:val="24"/>
        </w:rPr>
        <w:t>Under the Supervision of</w:t>
      </w:r>
    </w:p>
    <w:p>
      <w:pPr>
        <w:spacing w:line="360" w:lineRule="auto" w:after="0"/>
        <w:jc w:val="center"/>
      </w:pPr>
      <w:r>
        <w:rPr>
          <w:b/>
          <w:sz w:val="26"/>
        </w:rPr>
        <w:t>Dr. Badrinath N</w:t>
      </w:r>
    </w:p>
    <w:p>
      <w:pPr>
        <w:spacing w:line="360" w:lineRule="auto" w:after="0"/>
        <w:jc w:val="center"/>
      </w:pPr>
      <w:r>
        <w:rPr>
          <w:b w:val="0"/>
          <w:sz w:val="24"/>
        </w:rPr>
        <w:t>Associate Professor</w:t>
      </w:r>
    </w:p>
    <w:p>
      <w:pPr>
        <w:spacing w:line="360" w:lineRule="auto" w:after="480"/>
        <w:jc w:val="center"/>
      </w:pPr>
      <w:r>
        <w:rPr>
          <w:b w:val="0"/>
          <w:sz w:val="24"/>
        </w:rPr>
        <w:t>School of Computer Science and Engineering (SCOPE)</w:t>
      </w:r>
    </w:p>
    <w:p>
      <w:pPr>
        <w:jc w:val="center"/>
      </w:pPr>
      <w:r>
        <w:drawing>
          <wp:inline xmlns:a="http://schemas.openxmlformats.org/drawingml/2006/main" xmlns:pic="http://schemas.openxmlformats.org/drawingml/2006/picture">
            <wp:extent cx="3157200" cy="873534"/>
            <wp:docPr id="1" name="Picture 1"/>
            <wp:cNvGraphicFramePr>
              <a:graphicFrameLocks noChangeAspect="1"/>
            </wp:cNvGraphicFramePr>
            <a:graphic>
              <a:graphicData uri="http://schemas.openxmlformats.org/drawingml/2006/picture">
                <pic:pic>
                  <pic:nvPicPr>
                    <pic:cNvPr id="0" name="vit_logo.jpg"/>
                    <pic:cNvPicPr/>
                  </pic:nvPicPr>
                  <pic:blipFill>
                    <a:blip r:embed="rId9"/>
                    <a:stretch>
                      <a:fillRect/>
                    </a:stretch>
                  </pic:blipFill>
                  <pic:spPr>
                    <a:xfrm>
                      <a:off x="0" y="0"/>
                      <a:ext cx="3157200" cy="873534"/>
                    </a:xfrm>
                    <a:prstGeom prst="rect"/>
                  </pic:spPr>
                </pic:pic>
              </a:graphicData>
            </a:graphic>
          </wp:inline>
        </w:drawing>
      </w:r>
    </w:p>
    <w:p>
      <w:pPr>
        <w:spacing w:line="360" w:lineRule="auto" w:after="0"/>
        <w:jc w:val="center"/>
      </w:pPr>
      <w:r>
        <w:rPr>
          <w:b/>
          <w:sz w:val="24"/>
        </w:rPr>
        <w:t>October 2026</w:t>
      </w:r>
    </w:p>
    <w:p>
      <w:pPr>
        <w:sectPr>
          <w:pgSz w:w="11906" w:h="16838"/>
          <w:pgMar w:top="1417" w:right="1417" w:bottom="1417" w:left="1701" w:header="720" w:footer="720" w:gutter="0"/>
          <w:cols w:space="720"/>
          <w:docGrid w:linePitch="360"/>
        </w:sectPr>
      </w:pPr>
    </w:p>
    <w:p>
      <w:r>
        <w:br w:type="page"/>
      </w:r>
    </w:p>
    <w:p>
      <w:pPr>
        <w:spacing w:line="360" w:lineRule="auto" w:after="360"/>
        <w:jc w:val="center"/>
      </w:pPr>
      <w:r>
        <w:rPr>
          <w:b/>
          <w:sz w:val="32"/>
        </w:rPr>
        <w:t>DECLARATION</w:t>
      </w:r>
    </w:p>
    <w:p>
      <w:pPr>
        <w:spacing w:line="360" w:lineRule="auto"/>
        <w:jc w:val="both"/>
      </w:pPr>
      <w:r>
        <w:t xml:space="preserve">I hereby declare that the project entitled </w:t>
      </w:r>
      <w:r>
        <w:rPr>
          <w:b/>
        </w:rPr>
        <w:t>Identifying Failure-Prone Microservices Using Graph Centrality Metrics</w:t>
      </w:r>
      <w:r>
        <w:t xml:space="preserve"> submitted by me, for the award of the degree of Bachelor of Technology in Computer Science and Engineering with Specialization in Data Science to VIT is a record of bonafide work carried out by me under the supervision of Dr. Badrinath N.</w:t>
      </w:r>
    </w:p>
    <w:p>
      <w:pPr>
        <w:spacing w:line="360" w:lineRule="auto"/>
        <w:jc w:val="both"/>
      </w:pPr>
      <w:r>
        <w:t>I further declare that the work reported in this project has not been submitted and will not be submitted, either in part or in full, for the award of any other degree or diploma in this institute or any other institute or university.</w:t>
      </w:r>
    </w:p>
    <w:p/>
    <w:p>
      <w:pPr>
        <w:jc w:val="left"/>
      </w:pPr>
      <w:r>
        <w:t>Place : Vellore</w:t>
      </w:r>
    </w:p>
    <w:p>
      <w:pPr>
        <w:jc w:val="left"/>
      </w:pPr>
      <w:r>
        <w:t>Date :</w:t>
      </w:r>
    </w:p>
    <w:p>
      <w:pPr>
        <w:jc w:val="right"/>
      </w:pPr>
    </w:p>
    <w:p>
      <w:pPr>
        <w:jc w:val="right"/>
      </w:pPr>
      <w:r>
        <w:t>Signature of the Candidate</w:t>
      </w:r>
    </w:p>
    <w:p>
      <w:r>
        <w:br w:type="page"/>
      </w:r>
    </w:p>
    <w:p>
      <w:pPr>
        <w:spacing w:line="360" w:lineRule="auto" w:after="360"/>
        <w:jc w:val="center"/>
      </w:pPr>
      <w:r>
        <w:rPr>
          <w:b/>
          <w:sz w:val="32"/>
        </w:rPr>
        <w:t>CERTIFICATE</w:t>
      </w:r>
    </w:p>
    <w:p>
      <w:pPr>
        <w:spacing w:line="360" w:lineRule="auto"/>
        <w:jc w:val="both"/>
      </w:pPr>
      <w:r>
        <w:t xml:space="preserve">This is to certify that the project entitled </w:t>
      </w:r>
      <w:r>
        <w:rPr>
          <w:b/>
        </w:rPr>
        <w:t>Identifying Failure-Prone Microservices Using Graph Centrality Metrics</w:t>
      </w:r>
      <w:r>
        <w:t xml:space="preserve"> submitted by Dakshrajsinh Tank (23BDS0299), School of Computer Science and Engineering, VIT, for the award of the degree of Bachelor of Technology in Computer Science and Engineering with Specialization in Data Science, is a record of bonafide work carried out by him under my supervision during Fall Semester 2026-27, as per the VIT code of academic and research ethics.</w:t>
      </w:r>
    </w:p>
    <w:p>
      <w:pPr>
        <w:spacing w:line="360" w:lineRule="auto"/>
        <w:jc w:val="both"/>
      </w:pPr>
      <w: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
      <w:pPr>
        <w:jc w:val="left"/>
      </w:pPr>
      <w:r>
        <w:t>Place : Vellore</w:t>
      </w:r>
    </w:p>
    <w:p>
      <w:pPr>
        <w:jc w:val="left"/>
      </w:pPr>
      <w:r>
        <w:t>Date :</w:t>
      </w:r>
    </w:p>
    <w:p>
      <w:pPr>
        <w:jc w:val="right"/>
      </w:pPr>
    </w:p>
    <w:p>
      <w:pPr>
        <w:jc w:val="right"/>
      </w:pPr>
      <w:r>
        <w:t>Signature of the Guide</w:t>
      </w:r>
    </w:p>
    <w:p>
      <w:pPr>
        <w:jc w:val="right"/>
      </w:pPr>
    </w:p>
    <w:p>
      <w:pPr>
        <w:jc w:val="right"/>
      </w:pPr>
      <w:r>
        <w:t>Examiner(s)</w:t>
      </w:r>
    </w:p>
    <w:p>
      <w:pPr>
        <w:jc w:val="right"/>
      </w:pPr>
    </w:p>
    <w:p>
      <w:pPr>
        <w:jc w:val="right"/>
      </w:pPr>
      <w:r>
        <w:t>[Head of the Department]</w:t>
      </w:r>
    </w:p>
    <w:p>
      <w:pPr>
        <w:jc w:val="right"/>
      </w:pPr>
      <w:r>
        <w:t>Computer Science and Engineering with Specialization in Data Science</w:t>
      </w:r>
    </w:p>
    <w:p>
      <w:r>
        <w:br w:type="page"/>
      </w:r>
    </w:p>
    <w:p>
      <w:pPr>
        <w:spacing w:line="360" w:lineRule="auto" w:after="360"/>
        <w:jc w:val="center"/>
      </w:pPr>
      <w:r>
        <w:rPr>
          <w:b/>
          <w:sz w:val="32"/>
        </w:rPr>
        <w:t>ACKNOWLEDGEMENTS</w:t>
      </w:r>
    </w:p>
    <w:p>
      <w:pPr>
        <w:jc w:val="both"/>
      </w:pPr>
      <w:r>
        <w:t>I thank the management of Vellore Institute of Technology for the opportunity and the facilities to carry out this project, and Dr. Jaisankar N, Dean of the School of Computer Science and Engineering (SCOPE), for the support of the School.</w:t>
      </w:r>
    </w:p>
    <w:p>
      <w:pPr>
        <w:jc w:val="both"/>
      </w:pPr>
      <w:r>
        <w:t>I am grateful to my guide, Dr. Badrinath N, for his supervision throughout the project, and in particular for supporting the decision to rebuild the study from measurement once problems with the first version were found.</w:t>
      </w:r>
    </w:p>
    <w:p>
      <w:pPr>
        <w:jc w:val="both"/>
      </w:pPr>
      <w:r>
        <w:t>An AI assistant (Claude, by Anthropic) was used during the project to help write and review code and to draft and edit the text of this report from the project's own records. I ran the experiments, checked the content of this report against the logged data, and take responsibility for it.</w:t>
      </w:r>
    </w:p>
    <w:p>
      <w:pPr>
        <w:jc w:val="right"/>
      </w:pPr>
      <w:r>
        <w:t>Dakshrajsinh Tank</w:t>
      </w:r>
    </w:p>
    <w:p>
      <w:r>
        <w:br w:type="page"/>
      </w:r>
    </w:p>
    <w:p>
      <w:pPr>
        <w:spacing w:line="360" w:lineRule="auto" w:after="120"/>
        <w:jc w:val="center"/>
      </w:pPr>
      <w:r>
        <w:rPr>
          <w:b/>
          <w:sz w:val="28"/>
        </w:rPr>
        <w:t>TABLE OF CONTENTS</w:t>
      </w:r>
    </w:p>
    <w:p>
      <w:r>
        <w:fldChar w:fldCharType="begin"/>
      </w:r>
      <w:r>
        <w:instrText xml:space="preserve">TOC \o "1-3" \h \z \u</w:instrText>
      </w:r>
      <w:r>
        <w:fldChar w:fldCharType="separate"/>
      </w:r>
      <w:r>
        <w:t>Right-click and choose Update Field</w:t>
      </w:r>
      <w:r>
        <w:fldChar w:fldCharType="end"/>
      </w:r>
    </w:p>
    <w:p>
      <w:r>
        <w:br w:type="page"/>
      </w:r>
    </w:p>
    <w:p>
      <w:pPr>
        <w:spacing w:line="360" w:lineRule="auto" w:after="120"/>
        <w:jc w:val="center"/>
      </w:pPr>
      <w:r>
        <w:rPr>
          <w:b/>
          <w:sz w:val="28"/>
        </w:rPr>
        <w:t>LIST OF FIGURES</w:t>
      </w:r>
    </w:p>
    <w:p>
      <w:r>
        <w:fldChar w:fldCharType="begin"/>
      </w:r>
      <w:r>
        <w:instrText xml:space="preserve">TOC \h \z \t "Figure Caption,1"</w:instrText>
      </w:r>
      <w:r>
        <w:fldChar w:fldCharType="separate"/>
      </w:r>
      <w:r>
        <w:t>Right-click and choose Update Field</w:t>
      </w:r>
      <w:r>
        <w:fldChar w:fldCharType="end"/>
      </w:r>
    </w:p>
    <w:p>
      <w:r>
        <w:br w:type="page"/>
      </w:r>
    </w:p>
    <w:p>
      <w:pPr>
        <w:spacing w:line="360" w:lineRule="auto" w:after="120"/>
        <w:jc w:val="center"/>
      </w:pPr>
      <w:r>
        <w:rPr>
          <w:b/>
          <w:sz w:val="28"/>
        </w:rPr>
        <w:t>LIST OF TABLES</w:t>
      </w:r>
    </w:p>
    <w:p>
      <w:r>
        <w:fldChar w:fldCharType="begin"/>
      </w:r>
      <w:r>
        <w:instrText xml:space="preserve">TOC \h \z \t "Table Caption,1"</w:instrText>
      </w:r>
      <w:r>
        <w:fldChar w:fldCharType="separate"/>
      </w:r>
      <w:r>
        <w:t>Right-click and choose Update Field</w:t>
      </w:r>
      <w:r>
        <w:fldChar w:fldCharType="end"/>
      </w:r>
    </w:p>
    <w:p>
      <w:r>
        <w:br w:type="page"/>
      </w:r>
    </w:p>
    <w:p>
      <w:pPr>
        <w:spacing w:line="360" w:lineRule="auto" w:after="120"/>
        <w:jc w:val="center"/>
      </w:pPr>
      <w:r>
        <w:rPr>
          <w:b/>
          <w:sz w:val="28"/>
        </w:rPr>
        <w:t>LIST OF ABBREVIATIONS</w:t>
      </w:r>
    </w:p>
    <w:tbl>
      <w:tblPr>
        <w:tblW w:type="auto" w:w="0"/>
        <w:tblLook w:firstColumn="1" w:firstRow="1" w:lastColumn="0" w:lastRow="0" w:noHBand="0" w:noVBand="1" w:val="04A0"/>
      </w:tblPr>
      <w:tblGrid>
        <w:gridCol w:w="4394"/>
        <w:gridCol w:w="4394"/>
      </w:tblGrid>
      <w:tr>
        <w:tc>
          <w:tcPr>
            <w:tcW w:type="dxa" w:w="1701"/>
          </w:tcPr>
          <w:p>
            <w:r>
              <w:rPr>
                <w:b/>
              </w:rPr>
              <w:t>ABBR</w:t>
            </w:r>
          </w:p>
        </w:tc>
        <w:tc>
          <w:tcPr>
            <w:tcW w:type="dxa" w:w="6803"/>
          </w:tcPr>
          <w:p>
            <w:r>
              <w:t>MEANING</w:t>
            </w:r>
          </w:p>
        </w:tc>
      </w:tr>
      <w:tr>
        <w:tc>
          <w:tcPr>
            <w:tcW w:type="dxa" w:w="1701"/>
          </w:tcPr>
          <w:p>
            <w:r>
              <w:rPr>
                <w:b/>
              </w:rPr>
              <w:t>BCa</w:t>
            </w:r>
          </w:p>
        </w:tc>
        <w:tc>
          <w:tcPr>
            <w:tcW w:type="dxa" w:w="6803"/>
          </w:tcPr>
          <w:p>
            <w:r>
              <w:t>Bias-corrected and accelerated (bootstrap interval)</w:t>
            </w:r>
          </w:p>
        </w:tc>
      </w:tr>
      <w:tr>
        <w:tc>
          <w:tcPr>
            <w:tcW w:type="dxa" w:w="1701"/>
          </w:tcPr>
          <w:p>
            <w:r>
              <w:rPr>
                <w:b/>
              </w:rPr>
              <w:t>BH</w:t>
            </w:r>
          </w:p>
        </w:tc>
        <w:tc>
          <w:tcPr>
            <w:tcW w:type="dxa" w:w="6803"/>
          </w:tcPr>
          <w:p>
            <w:r>
              <w:t>Benjamini-Hochberg (false discovery rate procedure)</w:t>
            </w:r>
          </w:p>
        </w:tc>
      </w:tr>
      <w:tr>
        <w:tc>
          <w:tcPr>
            <w:tcW w:type="dxa" w:w="1701"/>
          </w:tcPr>
          <w:p>
            <w:r>
              <w:rPr>
                <w:b/>
              </w:rPr>
              <w:t>CSV</w:t>
            </w:r>
          </w:p>
        </w:tc>
        <w:tc>
          <w:tcPr>
            <w:tcW w:type="dxa" w:w="6803"/>
          </w:tcPr>
          <w:p>
            <w:r>
              <w:t>Comma-separated values</w:t>
            </w:r>
          </w:p>
        </w:tc>
      </w:tr>
      <w:tr>
        <w:tc>
          <w:tcPr>
            <w:tcW w:type="dxa" w:w="1701"/>
          </w:tcPr>
          <w:p>
            <w:r>
              <w:rPr>
                <w:b/>
              </w:rPr>
              <w:t>DFD</w:t>
            </w:r>
          </w:p>
        </w:tc>
        <w:tc>
          <w:tcPr>
            <w:tcW w:type="dxa" w:w="6803"/>
          </w:tcPr>
          <w:p>
            <w:r>
              <w:t>Data flow diagram</w:t>
            </w:r>
          </w:p>
        </w:tc>
      </w:tr>
      <w:tr>
        <w:tc>
          <w:tcPr>
            <w:tcW w:type="dxa" w:w="1701"/>
          </w:tcPr>
          <w:p>
            <w:r>
              <w:rPr>
                <w:b/>
              </w:rPr>
              <w:t>FDR</w:t>
            </w:r>
          </w:p>
        </w:tc>
        <w:tc>
          <w:tcPr>
            <w:tcW w:type="dxa" w:w="6803"/>
          </w:tcPr>
          <w:p>
            <w:r>
              <w:t>False discovery rate</w:t>
            </w:r>
          </w:p>
        </w:tc>
      </w:tr>
      <w:tr>
        <w:tc>
          <w:tcPr>
            <w:tcW w:type="dxa" w:w="1701"/>
          </w:tcPr>
          <w:p>
            <w:r>
              <w:rPr>
                <w:b/>
              </w:rPr>
              <w:t>HC</w:t>
            </w:r>
          </w:p>
        </w:tc>
        <w:tc>
          <w:tcPr>
            <w:tcW w:type="dxa" w:w="6803"/>
          </w:tcPr>
          <w:p>
            <w:r>
              <w:t>Hybrid criticality (the fan-out-weighted metric of the original proposal)</w:t>
            </w:r>
          </w:p>
        </w:tc>
      </w:tr>
      <w:tr>
        <w:tc>
          <w:tcPr>
            <w:tcW w:type="dxa" w:w="1701"/>
          </w:tcPr>
          <w:p>
            <w:r>
              <w:rPr>
                <w:b/>
              </w:rPr>
              <w:t>HR</w:t>
            </w:r>
          </w:p>
        </w:tc>
        <w:tc>
          <w:tcPr>
            <w:tcW w:type="dxa" w:w="6803"/>
          </w:tcPr>
          <w:p>
            <w:r>
              <w:t>Hotel Reservation (DeathStarBench application)</w:t>
            </w:r>
          </w:p>
        </w:tc>
      </w:tr>
      <w:tr>
        <w:tc>
          <w:tcPr>
            <w:tcW w:type="dxa" w:w="1701"/>
          </w:tcPr>
          <w:p>
            <w:r>
              <w:rPr>
                <w:b/>
              </w:rPr>
              <w:t>p95, p99</w:t>
            </w:r>
          </w:p>
        </w:tc>
        <w:tc>
          <w:tcPr>
            <w:tcW w:type="dxa" w:w="6803"/>
          </w:tcPr>
          <w:p>
            <w:r>
              <w:t>95th and 99th latency percentiles</w:t>
            </w:r>
          </w:p>
        </w:tc>
      </w:tr>
      <w:tr>
        <w:tc>
          <w:tcPr>
            <w:tcW w:type="dxa" w:w="1701"/>
          </w:tcPr>
          <w:p>
            <w:r>
              <w:rPr>
                <w:b/>
              </w:rPr>
              <w:t>RPC</w:t>
            </w:r>
          </w:p>
        </w:tc>
        <w:tc>
          <w:tcPr>
            <w:tcW w:type="dxa" w:w="6803"/>
          </w:tcPr>
          <w:p>
            <w:r>
              <w:t>Remote procedure call</w:t>
            </w:r>
          </w:p>
        </w:tc>
      </w:tr>
      <w:tr>
        <w:tc>
          <w:tcPr>
            <w:tcW w:type="dxa" w:w="1701"/>
          </w:tcPr>
          <w:p>
            <w:r>
              <w:rPr>
                <w:b/>
              </w:rPr>
              <w:t>SN</w:t>
            </w:r>
          </w:p>
        </w:tc>
        <w:tc>
          <w:tcPr>
            <w:tcW w:type="dxa" w:w="6803"/>
          </w:tcPr>
          <w:p>
            <w:r>
              <w:t>Social Network (DeathStarBench application)</w:t>
            </w:r>
          </w:p>
        </w:tc>
      </w:tr>
      <w:tr>
        <w:tc>
          <w:tcPr>
            <w:tcW w:type="dxa" w:w="1701"/>
          </w:tcPr>
          <w:p>
            <w:r>
              <w:rPr>
                <w:b/>
              </w:rPr>
              <w:t>SRE</w:t>
            </w:r>
          </w:p>
        </w:tc>
        <w:tc>
          <w:tcPr>
            <w:tcW w:type="dxa" w:w="6803"/>
          </w:tcPr>
          <w:p>
            <w:r>
              <w:t>Site reliability engineering</w:t>
            </w:r>
          </w:p>
        </w:tc>
      </w:tr>
      <w:tr>
        <w:tc>
          <w:tcPr>
            <w:tcW w:type="dxa" w:w="1701"/>
          </w:tcPr>
          <w:p>
            <w:r>
              <w:rPr>
                <w:b/>
              </w:rPr>
              <w:t>WSL</w:t>
            </w:r>
          </w:p>
        </w:tc>
        <w:tc>
          <w:tcPr>
            <w:tcW w:type="dxa" w:w="6803"/>
          </w:tcPr>
          <w:p>
            <w:r>
              <w:t>Windows Subsystem for Linux</w:t>
            </w:r>
          </w:p>
        </w:tc>
      </w:tr>
    </w:tbl>
    <w:p>
      <w:r>
        <w:br w:type="page"/>
      </w:r>
    </w:p>
    <w:p>
      <w:pPr>
        <w:spacing w:line="360" w:lineRule="auto" w:after="120"/>
        <w:jc w:val="center"/>
      </w:pPr>
      <w:r>
        <w:rPr>
          <w:b/>
          <w:sz w:val="28"/>
        </w:rPr>
        <w:t>ABSTRACT</w:t>
      </w:r>
    </w:p>
    <w:p>
      <w:pPr>
        <w:jc w:val="both"/>
      </w:pPr>
      <w:r>
        <w:t>Operators of microservice applications have to decide which services to harden first, and a tempting shortcut is to rank services by their place in the call graph instead of injecting faults into each one. A widespread intuition, and the starting point of this project, is that a service which calls many others is the most dangerous to lose. A failed service, however, mainly hurts the services that wait on it, which are its callers, so a ranking by callers could be the better guide.</w:t>
      </w:r>
    </w:p>
    <w:p>
      <w:pPr>
        <w:jc w:val="both"/>
      </w:pPr>
      <w:r>
        <w:t>This project tested both views with a fault-injection campaign on two applications of the DeathStarBench benchmark suite, Social Network and Hotel Reservation, deployed with Docker on a single laptop host. The hypotheses and every analysis choice were written down and locked before the campaign began. Dependency graphs were rebuilt from Jaeger traces, every analysable service received a process kill and a 500 ms network delay with 5 repetitions each, giving 180 runs, and the latency and error rate of each service were measured on the spans that the service itself emits. Every degraded service was then classified as a caller (ancestor), a callee (descendant) or an unrelated service of the faulted one.</w:t>
      </w:r>
    </w:p>
    <w:p>
      <w:pPr>
        <w:jc w:val="both"/>
      </w:pPr>
      <w:r>
        <w:t>On Social Network under kill faults, the number of transitive callers of a service and the number of callers that degraded correlated at Spearman ρ = 0.785, but none of the 44 confirmatory tests survived Benjamini-Hochberg correction (adjusted p = 0.3451), and the latency-fault replication gave the same verdict. Much of that correlation holds by construction, because most services degraded every caller they had. The fan-out-weighted centrality metric of the original proposal correlated negatively with degraded callers for both applications and both fault types, and in no case could it be told apart from zero. The clearest finding concerns direction: no callee of the faulted service degraded in 179 of 180 runs, so failures travelled to callers and almost never to callees.</w:t>
      </w:r>
    </w:p>
    <w:p>
      <w:pPr>
        <w:jc w:val="both"/>
      </w:pPr>
      <w:r>
        <w:t>The project therefore answers its title question mostly in the negative: the centrality metric it set out to validate did not identify the failure-prone services. It also shows that charging a request's end-to-end latency to every service on its path flags unrelated services, and it provides scripts that regenerate every number in this report from the logged data.</w:t>
      </w:r>
    </w:p>
    <w:p>
      <w:pPr>
        <w:jc w:val="both"/>
      </w:pPr>
      <w:r>
        <w:rPr>
          <w:b/>
        </w:rPr>
        <w:t>Keywords:</w:t>
      </w:r>
      <w:r>
        <w:t xml:space="preserve"> microservices, fault injection, distributed tracing, graph centrality, failure propagation, preregistration.</w:t>
      </w:r>
    </w:p>
    <w:p>
      <w:pPr>
        <w:sectPr>
          <w:footerReference w:type="default" r:id="rId10"/>
          <w:pgSz w:w="11906" w:h="16838"/>
          <w:pgMar w:top="1417" w:right="1417" w:bottom="1417" w:left="1701" w:header="720" w:footer="720" w:gutter="0"/>
          <w:cols w:space="720"/>
          <w:docGrid w:linePitch="360"/>
          <w:pgNumType w:fmt="lowerRoman" w:start="1"/>
        </w:sectPr>
      </w:pPr>
    </w:p>
    <w:p>
      <w:r>
        <w:br w:type="page"/>
      </w:r>
    </w:p>
    <w:p>
      <w:pPr>
        <w:spacing w:line="360" w:lineRule="auto" w:after="0"/>
        <w:jc w:val="center"/>
      </w:pPr>
      <w:r>
        <w:rPr>
          <w:b/>
          <w:sz w:val="28"/>
        </w:rPr>
        <w:t>CHAPTER 1</w:t>
      </w:r>
    </w:p>
    <w:p>
      <w:pPr>
        <w:pStyle w:val="Heading1"/>
      </w:pPr>
      <w:r>
        <w:t>1. INTRODUCTION</w:t>
      </w:r>
    </w:p>
    <w:p>
      <w:pPr>
        <w:pStyle w:val="Heading2"/>
      </w:pPr>
      <w:r>
        <w:t>1.1 Background</w:t>
      </w:r>
    </w:p>
    <w:p>
      <w:pPr>
        <w:jc w:val="both"/>
      </w:pPr>
      <w:r>
        <w:t>A microservice application is split into many small services that communicate over the network and can be developed, deployed and scaled independently [1, 2]. That independence is the reason teams adopt the style, but it moves complexity into operations: practitioners report real pains alongside the gains [3], performance engineering for such systems still has open problems [4], and outage studies and industrial surveys show that failures in service-based systems are frequent and slow to diagnose [5, 6]. When one service fails, the effect can spread through the services that depend on it.</w:t>
      </w:r>
    </w:p>
    <w:p>
      <w:pPr>
        <w:jc w:val="both"/>
      </w:pPr>
      <w:r>
        <w:t>Distributed tracing records, for each request, which service called which, so the call graph of a running application can be recovered from its traces [7]. Graph theory offers many measures of how central a node is [8], and network measures computed on software dependency graphs have helped predict where defects occur [9]. This suggests reading a service's risk from its position in the call graph.</w:t>
      </w:r>
    </w:p>
    <w:p>
      <w:pPr>
        <w:pStyle w:val="Heading2"/>
      </w:pPr>
      <w:r>
        <w:t>1.2 Motivations</w:t>
      </w:r>
    </w:p>
    <w:p>
      <w:pPr>
        <w:jc w:val="both"/>
      </w:pPr>
      <w:r>
        <w:t>The direct way to learn which service does the most damage when it fails is to inject faults into every service, once for each fault type and with repetitions. That is slow and costly on a large system. A ranking computed from the call graph would be almost free, so it is worth knowing whether such a ranking can be trusted.</w:t>
      </w:r>
    </w:p>
    <w:p>
      <w:pPr>
        <w:jc w:val="both"/>
      </w:pPr>
      <w:r>
        <w:t>The project began with a specific ranking: a hybrid criticality metric that boosts out-degree centrality by fan-out, on the argument that a service calling many others cuts many links when it fails. There is an argument in the opposite direction. When a service fails, the services left waiting are the ones that call it; the services it calls simply receive less traffic. If that is right, the number of services that degrade should follow a service's callers, and a fan-out ranking would be wrong exactly for the services it rates highest. Settling this question with measurement, rather than with intuition, was the motivation for the project.</w:t>
      </w:r>
    </w:p>
    <w:p>
      <w:pPr>
        <w:pStyle w:val="Heading2"/>
      </w:pPr>
      <w:r>
        <w:t>1.3 Scope of the Project</w:t>
      </w:r>
    </w:p>
    <w:p>
      <w:pPr>
        <w:jc w:val="both"/>
      </w:pPr>
      <w:r>
        <w:t>The study covers the Social Network and Hotel Reservation applications of DeathStarBench [10], built from one pinned commit and run with Docker Compose on a single laptop host, one application at a time. two fault types were used: a process kill and an injected network delay. Load came from a synthetic workload with a fixed request mix. The call graphs were reconstructed from traces collected under that workload.</w:t>
      </w:r>
    </w:p>
    <w:p>
      <w:pPr>
        <w:jc w:val="both"/>
      </w:pPr>
      <w:r>
        <w:t>Outside the scope are production systems, Kubernetes orchestration, multi-host deployments, containment mechanisms such as retries and circuit breakers, and fault types other than kill and delay. CPU contention was tried in the pilot and dropped because its effect was too small to classify reliably. The results describe these two benchmark applications under this workload and are not a claim about production behaviour.</w:t>
      </w:r>
    </w:p>
    <w:p>
      <w:pPr>
        <w:pStyle w:val="Heading2"/>
      </w:pPr>
      <w:r>
        <w:t>1.4 Changes Since the Review-2 Draft</w:t>
      </w:r>
    </w:p>
    <w:p>
      <w:pPr>
        <w:jc w:val="both"/>
      </w:pPr>
      <w:r>
        <w:t>The draft report presented at Review 2 reported strong correlations between centrality metrics and failure impact. After that review, an audit of the project's own pipeline found that those results were not supported by measurement: part of the measurement log consumed by the correlation scripts had been generated by a script rather than measured, the recovery-time column did not measure what its definition said, and the metric weights had been chosen by searching for the weighting that maximised the same correlation that was then reported.</w:t>
      </w:r>
    </w:p>
    <w:p>
      <w:pPr>
        <w:jc w:val="both"/>
      </w:pPr>
      <w:r>
        <w:t>The preliminary results of the Review-2 draft are therefore withdrawn. The affected files were moved to a quarantine folder rather than deleted (14 items, each with a note of why), the measurement code was corrected, the hypotheses and analysis were locked in advance, and a new campaign was run. Everything in this report comes from that new campaign. The registered project title is kept unchanged as required, but it should be read as the question the project tested; the answer, as Chapter 7 shows, is largely negative.</w:t>
      </w:r>
    </w:p>
    <w:p>
      <w:r>
        <w:br w:type="page"/>
      </w:r>
    </w:p>
    <w:p>
      <w:pPr>
        <w:spacing w:line="360" w:lineRule="auto" w:after="0"/>
        <w:jc w:val="center"/>
      </w:pPr>
      <w:r>
        <w:rPr>
          <w:b/>
          <w:sz w:val="28"/>
        </w:rPr>
        <w:t>CHAPTER 2</w:t>
      </w:r>
    </w:p>
    <w:p>
      <w:pPr>
        <w:pStyle w:val="Heading1"/>
      </w:pPr>
      <w:r>
        <w:t>2. PROJECT DESCRIPTION AND GOALS</w:t>
      </w:r>
    </w:p>
    <w:p>
      <w:pPr>
        <w:pStyle w:val="Heading2"/>
      </w:pPr>
      <w:r>
        <w:t>2.1 Literature Review</w:t>
      </w:r>
    </w:p>
    <w:p>
      <w:pPr>
        <w:jc w:val="both"/>
      </w:pPr>
      <w:r>
        <w:rPr>
          <w:b/>
        </w:rPr>
        <w:t>Microservices and their operation.</w:t>
      </w:r>
      <w:r>
        <w:t xml:space="preserve"> Dragoni and colleagues trace the evolution of the microservice style and define its main traits [1], and Jamshidi and colleagues review its history and the challenges ahead [2]. A systematic review of grey literature collects the pains and gains reported by practitioners [3], and Heinrich and colleagues set out research challenges in performance engineering for microservices [4]. On failures, Gunawi and colleagues draw lessons from hundreds of cloud service outages [5], and Zhou and colleagues combine an industrial survey of fault analysis in microservice systems with a benchmark system and an empirical study [6]. The applications studied here come from DeathStarBench, an open-source suite of end-to-end microservice benchmarks [10].</w:t>
      </w:r>
    </w:p>
    <w:p>
      <w:pPr>
        <w:jc w:val="both"/>
      </w:pPr>
      <w:r>
        <w:rPr>
          <w:b/>
        </w:rPr>
        <w:t>Graph measures.</w:t>
      </w:r>
      <w:r>
        <w:t xml:space="preserve"> Freeman clarified several distinct notions of centrality, from direct ties to shortest paths, and gave them normalised forms [8]. Brandes made betweenness practical on large graphs with a faster algorithm [11]. Bonacich proposed a family of power-based centrality measures related to eigenvector centrality [12], PageRank came from the design of a web search engine [13], and Lengauer and Tarjan gave a fast algorithm for dominators in flow graphs [14]. The NetworkX library used here implements these measures [15].</w:t>
      </w:r>
    </w:p>
    <w:p>
      <w:pPr>
        <w:jc w:val="both"/>
      </w:pPr>
      <w:r>
        <w:rPr>
          <w:b/>
        </w:rPr>
        <w:t>Robustness of networks.</w:t>
      </w:r>
      <w:r>
        <w:t xml:space="preserve"> Albert, Jeong and Barabási studied how complex networks tolerate random errors and targeted attacks [16], and Motter and Lai examined attacks that act through cascades [17]. These studies remove nodes from a graph; in a running microservice system the failed service stays in the graph and its effect shows up as latency and errors in other services, which must be measured on the running system.</w:t>
      </w:r>
    </w:p>
    <w:p>
      <w:pPr>
        <w:jc w:val="both"/>
      </w:pPr>
      <w:r>
        <w:rPr>
          <w:b/>
        </w:rPr>
        <w:t>Graphs in software engineering.</w:t>
      </w:r>
      <w:r>
        <w:t xml:space="preserve"> Zimmermann and Nagappan showed that network measures on the dependency graph of a large system help predict which components contain defects [9]. Ma and colleagues built a service dependency graph to analyse and test microservice systems [18]. This project shares the premise that position in a dependency graph carries information about risk, but its outcome is the run-time spread of a failure under load.</w:t>
      </w:r>
    </w:p>
    <w:p>
      <w:pPr>
        <w:jc w:val="both"/>
      </w:pPr>
      <w:r>
        <w:rPr>
          <w:b/>
        </w:rPr>
        <w:t>Fault injection and chaos engineering.</w:t>
      </w:r>
      <w:r>
        <w:t xml:space="preserve"> Basiri and colleagues describe chaos engineering at Netflix, where controlled experiments build confidence that a system tolerates failure [19], and later its automation in production [20]. Gremlin tests the resilience of microservices by injecting faults between services [21], and Meiklejohn and colleagues bring fault injection testing down to individual services [22]. Lineage-driven fault injection reasons backwards from a correct outcome to choose the faults most likely to break it [23]. Huang and colleagues describe gray failure, where a component keeps running but works badly [24]; an injected delay is a controlled form of such a partial failure. These tools look for bugs or check fallbacks; here faults are used as a measuring instrument in a fixed, balanced design.</w:t>
      </w:r>
    </w:p>
    <w:p>
      <w:pPr>
        <w:jc w:val="both"/>
      </w:pPr>
      <w:r>
        <w:rPr>
          <w:b/>
        </w:rPr>
        <w:t>Tracing and call graphs.</w:t>
      </w:r>
      <w:r>
        <w:t xml:space="preserve"> Dapper introduced the span model followed by most tracing systems, in which a request becomes a tree of spans with parent links [7]; the parent-child links between spans of different services give the caller-to-callee edges used in this project. Luo and colleagues found that call graphs in Alibaba's production traces are highly dynamic [25], a reminder that a graph built from traces depends on the traffic that produced it.</w:t>
      </w:r>
    </w:p>
    <w:p>
      <w:pPr>
        <w:jc w:val="both"/>
      </w:pPr>
      <w:r>
        <w:rPr>
          <w:b/>
        </w:rPr>
        <w:t>Failure diagnosis.</w:t>
      </w:r>
      <w:r>
        <w:t xml:space="preserve"> Pinpoint addressed problem determination in large Internet services [26]. For microservices, Microscope locates performance problems using causal graphs [27], MicroRCA ranks candidate root causes on a graph of the running system [28], and Seer applies large-scale data analysis to performance debugging [29]. Soldani and Brogi survey anomaly detection and root-cause analysis for service-based cloud applications [30]. These methods start after an anomaly has begun; this project asks whether graph structure alone, before any fault, indicates which services matter most.</w:t>
      </w:r>
    </w:p>
    <w:p>
      <w:pPr>
        <w:jc w:val="both"/>
      </w:pPr>
      <w:r>
        <w:rPr>
          <w:b/>
        </w:rPr>
        <w:t>Statistical method.</w:t>
      </w:r>
      <w:r>
        <w:t xml:space="preserve"> Preregistration separates planned analyses from those found after seeing the data [31]. The Benjamini-Hochberg procedure controls the false discovery rate across a family of tests [32]. Permutation p-values should never be zero, which is ensured by adding one to both counts [33]. Bias-corrected and accelerated bootstrap intervals [34] and the Cox proportional hazards model [35] complete the toolkit used here.</w:t>
      </w:r>
    </w:p>
    <w:p>
      <w:pPr>
        <w:pStyle w:val="Heading2"/>
      </w:pPr>
      <w:r>
        <w:t>2.2 Research Gap</w:t>
      </w:r>
    </w:p>
    <w:p>
      <w:pPr>
        <w:jc w:val="both"/>
      </w:pPr>
      <w:r>
        <w:t>Graph measures have been used to rank software components by defect risk, network studies examine tolerance to node loss, fault-injection tools test whether systems survive failures, and diagnosis methods use the graph once an anomaly is under way. Among the works reviewed, none reports a test, fixed in advance, of whether a graph-derived ranking of services anticipates how far failures spread when they are measured in a controlled campaign. In particular, the common fan-out intuition and the opposing caller-based argument had not been compared against measured outcomes with a correction for the many tests involved. This project fills that gap, and reports the result even though it came out null.</w:t>
      </w:r>
    </w:p>
    <w:p>
      <w:pPr>
        <w:pStyle w:val="Heading2"/>
      </w:pPr>
      <w:r>
        <w:t>2.3 Objectives</w:t>
      </w:r>
    </w:p>
    <w:p>
      <w:pPr>
        <w:pStyle w:val="ListBullet"/>
        <w:jc w:val="both"/>
      </w:pPr>
      <w:r>
        <w:t>Reconstruct the call graph of each application from traces of the running system rather than from documentation, and freeze it as a file.</w:t>
      </w:r>
    </w:p>
    <w:p>
      <w:pPr>
        <w:pStyle w:val="ListBullet"/>
        <w:jc w:val="both"/>
      </w:pPr>
      <w:r>
        <w:t>Compute, for every service, the caller count (number of transitive callers), the hybrid criticality metric of the original proposal and further graph measures as comparators.</w:t>
      </w:r>
    </w:p>
    <w:p>
      <w:pPr>
        <w:pStyle w:val="ListBullet"/>
        <w:jc w:val="both"/>
      </w:pPr>
      <w:r>
        <w:t>Write down and lock the hypotheses, outcomes, thresholds and statistical tests before collecting any campaign data, and log every later change as a dated deviation.</w:t>
      </w:r>
    </w:p>
    <w:p>
      <w:pPr>
        <w:pStyle w:val="ListBullet"/>
        <w:jc w:val="both"/>
      </w:pPr>
      <w:r>
        <w:t>Run a fully crossed, balanced fault-injection campaign in which every analysable service receives each fault type the same number of times.</w:t>
      </w:r>
    </w:p>
    <w:p>
      <w:pPr>
        <w:pStyle w:val="ListBullet"/>
        <w:jc w:val="both"/>
      </w:pPr>
      <w:r>
        <w:t>Measure latency and error rate per service on that service's own spans, and classify every degraded service by its graph relation to the faulted one.</w:t>
      </w:r>
    </w:p>
    <w:p>
      <w:pPr>
        <w:pStyle w:val="ListBullet"/>
        <w:jc w:val="both"/>
      </w:pPr>
      <w:r>
        <w:t>Test whether the caller count (H1) or the hybrid metric (H2) tracks the number of degraded callers, with permutation tests and Benjamini-Hochberg correction.</w:t>
      </w:r>
    </w:p>
    <w:p>
      <w:pPr>
        <w:pStyle w:val="ListBullet"/>
        <w:jc w:val="both"/>
      </w:pPr>
      <w:r>
        <w:t>Make every number in the report reproducible by a script from the logged data.</w:t>
      </w:r>
    </w:p>
    <w:p>
      <w:pPr>
        <w:pStyle w:val="Heading2"/>
      </w:pPr>
      <w:r>
        <w:t>2.4 Problem Statement</w:t>
      </w:r>
    </w:p>
    <w:p>
      <w:pPr>
        <w:jc w:val="both"/>
      </w:pPr>
      <w:r>
        <w:t xml:space="preserve">Let the call graph of an application have the services as nodes and an edge from u to v when u calls v under the traced workload. The ancestors of a service v are all services from which v can be reached (its transitive callers) and its descendants are all services v can reach (its transitive callees). When a fault is applied to v, the degraded set is the set of other services whose own latency or error rate crosses the degradation rule during the fault window. The primary outcome </w:t>
      </w:r>
      <w:r>
        <w:rPr>
          <w:i/>
        </w:rPr>
        <w:t>Y</w:t>
      </w:r>
      <w:r>
        <w:t xml:space="preserve"> of a service is the median, over its repetitions, of the number of degraded ancestors; degraded descendants and degraded unrelated services are counted separately and never added to </w:t>
      </w:r>
      <w:r>
        <w:rPr>
          <w:i/>
        </w:rPr>
        <w:t>Y</w:t>
      </w:r>
      <w:r>
        <w:t>.</w:t>
      </w:r>
    </w:p>
    <w:p>
      <w:pPr>
        <w:jc w:val="both"/>
      </w:pPr>
      <w:r>
        <w:t xml:space="preserve">The problem is to find out whether a graph property of a service, known before any fault, predicts </w:t>
      </w:r>
      <w:r>
        <w:rPr>
          <w:i/>
        </w:rPr>
        <w:t>Y</w:t>
      </w:r>
      <w:r>
        <w:t xml:space="preserve">. The primary predictor </w:t>
      </w:r>
      <w:r>
        <w:rPr>
          <w:i/>
        </w:rPr>
        <w:t>X</w:t>
      </w:r>
      <w:r>
        <w:t xml:space="preserve"> is the caller count. The comparator of interest is the hybrid criticality metric HC, which adds weighted in-degree centrality, out-degree centrality scaled by the service's share of the maximum out-degree, and betweenness centrality, with weights 0.4, 0.4 and 0.2. Hypothesis H1 states that </w:t>
      </w:r>
      <w:r>
        <w:rPr>
          <w:i/>
        </w:rPr>
        <w:t>X</w:t>
      </w:r>
      <w:r>
        <w:t xml:space="preserve"> is positively correlated with </w:t>
      </w:r>
      <w:r>
        <w:rPr>
          <w:i/>
        </w:rPr>
        <w:t>Y</w:t>
      </w:r>
      <w:r>
        <w:t xml:space="preserve">. Hypothesis H2 states that HC is not positively correlated with </w:t>
      </w:r>
      <w:r>
        <w:rPr>
          <w:i/>
        </w:rPr>
        <w:t>Y</w:t>
      </w:r>
      <w:r>
        <w:t>, that is, that the fan-out premise points the wrong way.</w:t>
      </w:r>
    </w:p>
    <w:p>
      <w:pPr>
        <w:pStyle w:val="Heading2"/>
      </w:pPr>
      <w:r>
        <w:t>2.5 Project Plan</w:t>
      </w:r>
    </w:p>
    <w:p>
      <w:pPr>
        <w:jc w:val="both"/>
      </w:pPr>
      <w:r>
        <w:t>The project timeline is shown in Fig. 1. It is built by a script from the dates of the commits in the project repository, so it shows what was actually done and when, rather than a plan drawn afterwards. Work before the first commit, such as topic selection and the first review, left no dated record in the repository and is not shown. The audit, the rebuilt pipeline, the pilot, the locked plan and the campaign took place within a few days of one another, after which the analysis and the write-up followed.</w:t>
      </w:r>
    </w:p>
    <w:p>
      <w:pPr>
        <w:jc w:val="center"/>
      </w:pPr>
      <w:r>
        <w:drawing>
          <wp:inline xmlns:a="http://schemas.openxmlformats.org/drawingml/2006/main" xmlns:pic="http://schemas.openxmlformats.org/drawingml/2006/picture">
            <wp:extent cx="5580000" cy="2114526"/>
            <wp:docPr id="2" name="Picture 2"/>
            <wp:cNvGraphicFramePr>
              <a:graphicFrameLocks noChangeAspect="1"/>
            </wp:cNvGraphicFramePr>
            <a:graphic>
              <a:graphicData uri="http://schemas.openxmlformats.org/drawingml/2006/picture">
                <pic:pic>
                  <pic:nvPicPr>
                    <pic:cNvPr id="0" name="fig_gantt.png"/>
                    <pic:cNvPicPr/>
                  </pic:nvPicPr>
                  <pic:blipFill>
                    <a:blip r:embed="rId12"/>
                    <a:stretch>
                      <a:fillRect/>
                    </a:stretch>
                  </pic:blipFill>
                  <pic:spPr>
                    <a:xfrm>
                      <a:off x="0" y="0"/>
                      <a:ext cx="5580000" cy="2114526"/>
                    </a:xfrm>
                    <a:prstGeom prst="rect"/>
                  </pic:spPr>
                </pic:pic>
              </a:graphicData>
            </a:graphic>
          </wp:inline>
        </w:drawing>
      </w:r>
    </w:p>
    <w:p>
      <w:pPr>
        <w:pStyle w:val="FigureCaption"/>
      </w:pPr>
      <w:r>
        <w:t>Fig. 1. Project timeline, built from the dates of the repository's commits; each phase ends at a milestone commit.</w:t>
      </w:r>
    </w:p>
    <w:p>
      <w:r>
        <w:br w:type="page"/>
      </w:r>
    </w:p>
    <w:p>
      <w:pPr>
        <w:spacing w:line="360" w:lineRule="auto" w:after="0"/>
        <w:jc w:val="center"/>
      </w:pPr>
      <w:r>
        <w:rPr>
          <w:b/>
          <w:sz w:val="28"/>
        </w:rPr>
        <w:t>CHAPTER 3</w:t>
      </w:r>
    </w:p>
    <w:p>
      <w:pPr>
        <w:pStyle w:val="Heading1"/>
      </w:pPr>
      <w:r>
        <w:t>3. TECHNICAL SPECIFICATION</w:t>
      </w:r>
    </w:p>
    <w:p>
      <w:pPr>
        <w:pStyle w:val="Heading2"/>
      </w:pPr>
      <w:r>
        <w:t>3.1 Requirements</w:t>
      </w:r>
    </w:p>
    <w:p>
      <w:pPr>
        <w:pStyle w:val="Heading3"/>
      </w:pPr>
      <w:r>
        <w:t>3.1.1 Functional</w:t>
      </w:r>
    </w:p>
    <w:p>
      <w:pPr>
        <w:pStyle w:val="ListBullet"/>
        <w:jc w:val="both"/>
      </w:pPr>
      <w:r>
        <w:t>Trace collection: query the Jaeger API for the traces of each application service and store the raw spans.</w:t>
      </w:r>
    </w:p>
    <w:p>
      <w:pPr>
        <w:pStyle w:val="ListBullet"/>
        <w:jc w:val="both"/>
      </w:pPr>
      <w:r>
        <w:t>Graph reconstruction: build a directed caller-to-callee graph from parent-child span links between different services, and save it as a frozen file.</w:t>
      </w:r>
    </w:p>
    <w:p>
      <w:pPr>
        <w:pStyle w:val="ListBullet"/>
        <w:jc w:val="both"/>
      </w:pPr>
      <w:r>
        <w:t>Predictor computation: compute the caller count, descendant count, hybrid criticality, degree-based, path-based and spectral centralities and dominator subtree size for every service.</w:t>
      </w:r>
    </w:p>
    <w:p>
      <w:pPr>
        <w:pStyle w:val="ListBullet"/>
        <w:jc w:val="both"/>
      </w:pPr>
      <w:r>
        <w:t>Target resolution: find the container to fault as the single container whose compose service label equals the service name, and stop if none or several match.</w:t>
      </w:r>
    </w:p>
    <w:p>
      <w:pPr>
        <w:pStyle w:val="ListBullet"/>
        <w:jc w:val="both"/>
      </w:pPr>
      <w:r>
        <w:t>Fault injection: apply a kill (SIGKILL) or a network delay with jitter through Pumba, hold it for a fixed time, and restore the service afterwards.</w:t>
      </w:r>
    </w:p>
    <w:p>
      <w:pPr>
        <w:pStyle w:val="ListBullet"/>
        <w:jc w:val="both"/>
      </w:pPr>
      <w:r>
        <w:t>Per-service measurement: compute each service's latency percentiles and error rate from its own spans in the baseline and fault windows.</w:t>
      </w:r>
    </w:p>
    <w:p>
      <w:pPr>
        <w:pStyle w:val="ListBullet"/>
        <w:jc w:val="both"/>
      </w:pPr>
      <w:r>
        <w:t>Blast-radius classification: split the degraded services into ancestors, descendants and unrelated services of the faulted one.</w:t>
      </w:r>
    </w:p>
    <w:p>
      <w:pPr>
        <w:pStyle w:val="ListBullet"/>
        <w:jc w:val="both"/>
      </w:pPr>
      <w:r>
        <w:t>Recovery probe: measure the time from fault removal until all indicators are back within tolerance of the baseline, or record the run as censored.</w:t>
      </w:r>
    </w:p>
    <w:p>
      <w:pPr>
        <w:pStyle w:val="ListBullet"/>
        <w:jc w:val="both"/>
      </w:pPr>
      <w:r>
        <w:t>Run records: write one record per run, with the raw spans of the baseline and fault windows stored alongside.</w:t>
      </w:r>
    </w:p>
    <w:p>
      <w:pPr>
        <w:pStyle w:val="ListBullet"/>
        <w:jc w:val="both"/>
      </w:pPr>
      <w:r>
        <w:t>Integrity gates: before any statistics, confirm that every expected service was present in every run and that no baseline was anomalous.</w:t>
      </w:r>
    </w:p>
    <w:p>
      <w:pPr>
        <w:pStyle w:val="ListBullet"/>
        <w:jc w:val="both"/>
      </w:pPr>
      <w:r>
        <w:t>Statistical analysis: compute Spearman correlations with permutation p-values, bootstrap intervals and Benjamini-Hochberg correction within each test family.</w:t>
      </w:r>
    </w:p>
    <w:p>
      <w:pPr>
        <w:pStyle w:val="ListBullet"/>
        <w:jc w:val="both"/>
      </w:pPr>
      <w:r>
        <w:t>Reproducibility: regenerate every number, table and figure from the logged data with one build command.</w:t>
      </w:r>
    </w:p>
    <w:p>
      <w:pPr>
        <w:pStyle w:val="Heading3"/>
      </w:pPr>
      <w:r>
        <w:t>3.1.2 Non-Functional</w:t>
      </w:r>
    </w:p>
    <w:p>
      <w:pPr>
        <w:pStyle w:val="ListBullet"/>
        <w:jc w:val="both"/>
      </w:pPr>
      <w:r>
        <w:t>Integrity: no measurement, impact value or recovery time may be generated rather than measured; a value that cannot be traced to a script and an input file is reported as missing.</w:t>
      </w:r>
    </w:p>
    <w:p>
      <w:pPr>
        <w:pStyle w:val="ListBullet"/>
        <w:jc w:val="both"/>
      </w:pPr>
      <w:r>
        <w:t>Reproducibility: the benchmark code is pinned to one upstream commit (6ecb097), and raw spans are kept so that any metric can be recomputed without re-running the experiment.</w:t>
      </w:r>
    </w:p>
    <w:p>
      <w:pPr>
        <w:pStyle w:val="ListBullet"/>
        <w:jc w:val="both"/>
      </w:pPr>
      <w:r>
        <w:t>Isolation: only one application stack runs at a time, and a lock file prevents two runs from overlapping.</w:t>
      </w:r>
    </w:p>
    <w:p>
      <w:pPr>
        <w:pStyle w:val="ListBullet"/>
        <w:jc w:val="both"/>
      </w:pPr>
      <w:r>
        <w:t>Robustness: the campaign runner is resumable after a crash and repeats a run with incomplete telemetry in its own cell, never filling it in.</w:t>
      </w:r>
    </w:p>
    <w:p>
      <w:pPr>
        <w:pStyle w:val="ListBullet"/>
        <w:jc w:val="both"/>
      </w:pPr>
      <w:r>
        <w:t>Traceability: every number in the paper and in this report carries a claim id that names its source file and script.</w:t>
      </w:r>
    </w:p>
    <w:p>
      <w:pPr>
        <w:pStyle w:val="ListBullet"/>
        <w:jc w:val="both"/>
      </w:pPr>
      <w:r>
        <w:t>Safety: faults are injected only into local containers of the benchmark applications; no production system or real user data is involved.</w:t>
      </w:r>
    </w:p>
    <w:p>
      <w:pPr>
        <w:pStyle w:val="Heading2"/>
      </w:pPr>
      <w:r>
        <w:t>3.2 Feasibility Study</w:t>
      </w:r>
    </w:p>
    <w:p>
      <w:pPr>
        <w:pStyle w:val="Heading3"/>
      </w:pPr>
      <w:r>
        <w:t>3.2.1 Technical Feasibility</w:t>
      </w:r>
    </w:p>
    <w:p>
      <w:pPr>
        <w:jc w:val="both"/>
      </w:pPr>
      <w:r>
        <w:t>All components are mature open-source tools: Docker and Docker Compose for deployment, Jaeger for tracing, Locust for load, Pumba for fault injection, and Python with NetworkX, SciPy and statsmodels for analysis. The whole campaign ran on one laptop, with the two stacks brought up one at a time to stay within the memory available to Docker. The 180 campaign runs took about 8.5 hours of wall-clock time, so the experiment is feasible without a cluster.</w:t>
      </w:r>
    </w:p>
    <w:p>
      <w:pPr>
        <w:pStyle w:val="Heading3"/>
      </w:pPr>
      <w:r>
        <w:t>3.2.2 Economic Feasibility</w:t>
      </w:r>
    </w:p>
    <w:p>
      <w:pPr>
        <w:jc w:val="both"/>
      </w:pPr>
      <w:r>
        <w:t>No licence fees or cloud resources were needed. The software is open source, Docker Desktop is free for educational use, and the experiments ran on the author's own laptop. The only cost is computing time on an existing machine, which makes the method affordable for a student project and easy for others to repeat.</w:t>
      </w:r>
    </w:p>
    <w:p>
      <w:pPr>
        <w:pStyle w:val="Heading3"/>
      </w:pPr>
      <w:r>
        <w:t>3.2.3 Social Feasibility</w:t>
      </w:r>
    </w:p>
    <w:p>
      <w:pPr>
        <w:jc w:val="both"/>
      </w:pPr>
      <w:r>
        <w:t>The experiments use public benchmark applications in an isolated local environment, so no real users or personal data are affected. The findings are relevant to operations teams who must decide where to spend resilience effort. Reporting a null result honestly, instead of presenting a favourable one, is itself part of the project's contribution to sound practice.</w:t>
      </w:r>
    </w:p>
    <w:p>
      <w:pPr>
        <w:pStyle w:val="Heading2"/>
      </w:pPr>
      <w:r>
        <w:t>3.3 System Specification</w:t>
      </w:r>
    </w:p>
    <w:p>
      <w:pPr>
        <w:pStyle w:val="Heading3"/>
      </w:pPr>
      <w:r>
        <w:t>3.3.1 Hardware Specification</w:t>
      </w:r>
    </w:p>
    <w:p>
      <w:pPr>
        <w:pStyle w:val="TableCaption"/>
      </w:pPr>
      <w:r>
        <w:t>Table 1. Hardware of the test host</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line="240" w:lineRule="auto"/>
            </w:pPr>
            <w:r>
              <w:rPr>
                <w:b/>
                <w:sz w:val="18"/>
              </w:rPr>
              <w:t>Item</w:t>
            </w:r>
          </w:p>
        </w:tc>
        <w:tc>
          <w:tcPr>
            <w:tcW w:type="dxa" w:w="2929"/>
          </w:tcPr>
          <w:p>
            <w:pPr>
              <w:spacing w:after="0" w:line="240" w:lineRule="auto"/>
            </w:pPr>
            <w:r>
              <w:rPr>
                <w:b/>
                <w:sz w:val="18"/>
              </w:rPr>
              <w:t>Value</w:t>
            </w:r>
          </w:p>
        </w:tc>
        <w:tc>
          <w:tcPr>
            <w:tcW w:type="dxa" w:w="2929"/>
          </w:tcPr>
          <w:p>
            <w:pPr>
              <w:spacing w:after="0" w:line="240" w:lineRule="auto"/>
            </w:pPr>
            <w:r>
              <w:rPr>
                <w:b/>
                <w:sz w:val="18"/>
              </w:rPr>
              <w:t>Source</w:t>
            </w:r>
          </w:p>
        </w:tc>
      </w:tr>
      <w:tr>
        <w:tc>
          <w:tcPr>
            <w:tcW w:type="dxa" w:w="2929"/>
          </w:tcPr>
          <w:p>
            <w:pPr>
              <w:spacing w:after="0" w:line="240" w:lineRule="auto"/>
            </w:pPr>
            <w:r>
              <w:rPr>
                <w:b w:val="0"/>
                <w:sz w:val="18"/>
              </w:rPr>
              <w:t>Host OS</w:t>
            </w:r>
          </w:p>
        </w:tc>
        <w:tc>
          <w:tcPr>
            <w:tcW w:type="dxa" w:w="2929"/>
          </w:tcPr>
          <w:p>
            <w:pPr>
              <w:spacing w:after="0" w:line="240" w:lineRule="auto"/>
            </w:pPr>
            <w:r>
              <w:rPr>
                <w:b w:val="0"/>
                <w:sz w:val="18"/>
              </w:rPr>
              <w:t>Microsoft Windows 11 Home Single Language (10.0.26300)</w:t>
            </w:r>
          </w:p>
        </w:tc>
        <w:tc>
          <w:tcPr>
            <w:tcW w:type="dxa" w:w="2929"/>
          </w:tcPr>
          <w:p>
            <w:pPr>
              <w:spacing w:after="0" w:line="240" w:lineRule="auto"/>
            </w:pPr>
            <w:r>
              <w:rPr>
                <w:b w:val="0"/>
                <w:sz w:val="18"/>
              </w:rPr>
              <w:t>measured on 2026-10-20</w:t>
            </w:r>
          </w:p>
        </w:tc>
      </w:tr>
      <w:tr>
        <w:tc>
          <w:tcPr>
            <w:tcW w:type="dxa" w:w="2929"/>
          </w:tcPr>
          <w:p>
            <w:pPr>
              <w:spacing w:after="0" w:line="240" w:lineRule="auto"/>
            </w:pPr>
            <w:r>
              <w:rPr>
                <w:b w:val="0"/>
                <w:sz w:val="18"/>
              </w:rPr>
              <w:t>Host CPU</w:t>
            </w:r>
          </w:p>
        </w:tc>
        <w:tc>
          <w:tcPr>
            <w:tcW w:type="dxa" w:w="2929"/>
          </w:tcPr>
          <w:p>
            <w:pPr>
              <w:spacing w:after="0" w:line="240" w:lineRule="auto"/>
            </w:pPr>
            <w:r>
              <w:rPr>
                <w:b w:val="0"/>
                <w:sz w:val="18"/>
              </w:rPr>
              <w:t>12th Gen Intel(R) Core(TM) i7-1255U, 10 cores, 12 threads</w:t>
            </w:r>
          </w:p>
        </w:tc>
        <w:tc>
          <w:tcPr>
            <w:tcW w:type="dxa" w:w="2929"/>
          </w:tcPr>
          <w:p>
            <w:pPr>
              <w:spacing w:after="0" w:line="240" w:lineRule="auto"/>
            </w:pPr>
            <w:r>
              <w:rPr>
                <w:b w:val="0"/>
                <w:sz w:val="18"/>
              </w:rPr>
              <w:t>measured on 2026-10-20</w:t>
            </w:r>
          </w:p>
        </w:tc>
      </w:tr>
      <w:tr>
        <w:tc>
          <w:tcPr>
            <w:tcW w:type="dxa" w:w="2929"/>
          </w:tcPr>
          <w:p>
            <w:pPr>
              <w:spacing w:after="0" w:line="240" w:lineRule="auto"/>
            </w:pPr>
            <w:r>
              <w:rPr>
                <w:b w:val="0"/>
                <w:sz w:val="18"/>
              </w:rPr>
              <w:t>Host RAM (GB)</w:t>
            </w:r>
          </w:p>
        </w:tc>
        <w:tc>
          <w:tcPr>
            <w:tcW w:type="dxa" w:w="2929"/>
          </w:tcPr>
          <w:p>
            <w:pPr>
              <w:spacing w:after="0" w:line="240" w:lineRule="auto"/>
            </w:pPr>
            <w:r>
              <w:rPr>
                <w:b w:val="0"/>
                <w:sz w:val="18"/>
              </w:rPr>
              <w:t>15.7</w:t>
            </w:r>
          </w:p>
        </w:tc>
        <w:tc>
          <w:tcPr>
            <w:tcW w:type="dxa" w:w="2929"/>
          </w:tcPr>
          <w:p>
            <w:pPr>
              <w:spacing w:after="0" w:line="240" w:lineRule="auto"/>
            </w:pPr>
            <w:r>
              <w:rPr>
                <w:b w:val="0"/>
                <w:sz w:val="18"/>
              </w:rPr>
              <w:t>recorded 2026-09-24</w:t>
            </w:r>
          </w:p>
        </w:tc>
      </w:tr>
      <w:tr>
        <w:tc>
          <w:tcPr>
            <w:tcW w:type="dxa" w:w="2929"/>
          </w:tcPr>
          <w:p>
            <w:pPr>
              <w:spacing w:after="0" w:line="240" w:lineRule="auto"/>
            </w:pPr>
            <w:r>
              <w:rPr>
                <w:b w:val="0"/>
                <w:sz w:val="18"/>
              </w:rPr>
              <w:t>Docker VM memory (GiB)</w:t>
            </w:r>
          </w:p>
        </w:tc>
        <w:tc>
          <w:tcPr>
            <w:tcW w:type="dxa" w:w="2929"/>
          </w:tcPr>
          <w:p>
            <w:pPr>
              <w:spacing w:after="0" w:line="240" w:lineRule="auto"/>
            </w:pPr>
            <w:r>
              <w:rPr>
                <w:b w:val="0"/>
                <w:sz w:val="18"/>
              </w:rPr>
              <w:t>7.598 (WSL2 default)</w:t>
            </w:r>
          </w:p>
        </w:tc>
        <w:tc>
          <w:tcPr>
            <w:tcW w:type="dxa" w:w="2929"/>
          </w:tcPr>
          <w:p>
            <w:pPr>
              <w:spacing w:after="0" w:line="240" w:lineRule="auto"/>
            </w:pPr>
            <w:r>
              <w:rPr>
                <w:b w:val="0"/>
                <w:sz w:val="18"/>
              </w:rPr>
              <w:t>recorded 2026-09-24</w:t>
            </w:r>
          </w:p>
        </w:tc>
      </w:tr>
      <w:tr>
        <w:tc>
          <w:tcPr>
            <w:tcW w:type="dxa" w:w="2929"/>
          </w:tcPr>
          <w:p>
            <w:pPr>
              <w:spacing w:after="0" w:line="240" w:lineRule="auto"/>
            </w:pPr>
            <w:r>
              <w:rPr>
                <w:b w:val="0"/>
                <w:sz w:val="18"/>
              </w:rPr>
              <w:t>Containers per stack</w:t>
            </w:r>
          </w:p>
        </w:tc>
        <w:tc>
          <w:tcPr>
            <w:tcW w:type="dxa" w:w="2929"/>
          </w:tcPr>
          <w:p>
            <w:pPr>
              <w:spacing w:after="0" w:line="240" w:lineRule="auto"/>
            </w:pPr>
            <w:r>
              <w:rPr>
                <w:b w:val="0"/>
                <w:sz w:val="18"/>
              </w:rPr>
              <w:t>Social Network 27, Hotel Reservation 24</w:t>
            </w:r>
          </w:p>
        </w:tc>
        <w:tc>
          <w:tcPr>
            <w:tcW w:type="dxa" w:w="2929"/>
          </w:tcPr>
          <w:p>
            <w:pPr>
              <w:spacing w:after="0" w:line="240" w:lineRule="auto"/>
            </w:pPr>
            <w:r>
              <w:rPr>
                <w:b w:val="0"/>
                <w:sz w:val="18"/>
              </w:rPr>
              <w:t>recorded 2026-09-24; one stack at a time</w:t>
            </w:r>
          </w:p>
        </w:tc>
      </w:tr>
    </w:tbl>
    <w:p>
      <w:pPr>
        <w:spacing w:after="40"/>
      </w:pPr>
    </w:p>
    <w:p>
      <w:pPr>
        <w:pStyle w:val="Heading3"/>
      </w:pPr>
      <w:r>
        <w:t>3.3.2 Software Specification</w:t>
      </w:r>
    </w:p>
    <w:p>
      <w:pPr>
        <w:pStyle w:val="TableCaption"/>
      </w:pPr>
      <w:r>
        <w:t>Table 2. Software used, with versions as recorded</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line="240" w:lineRule="auto"/>
            </w:pPr>
            <w:r>
              <w:rPr>
                <w:b/>
                <w:sz w:val="18"/>
              </w:rPr>
              <w:t>Item</w:t>
            </w:r>
          </w:p>
        </w:tc>
        <w:tc>
          <w:tcPr>
            <w:tcW w:type="dxa" w:w="2929"/>
          </w:tcPr>
          <w:p>
            <w:pPr>
              <w:spacing w:after="0" w:line="240" w:lineRule="auto"/>
            </w:pPr>
            <w:r>
              <w:rPr>
                <w:b/>
                <w:sz w:val="18"/>
              </w:rPr>
              <w:t>Value</w:t>
            </w:r>
          </w:p>
        </w:tc>
        <w:tc>
          <w:tcPr>
            <w:tcW w:type="dxa" w:w="2929"/>
          </w:tcPr>
          <w:p>
            <w:pPr>
              <w:spacing w:after="0" w:line="240" w:lineRule="auto"/>
            </w:pPr>
            <w:r>
              <w:rPr>
                <w:b/>
                <w:sz w:val="18"/>
              </w:rPr>
              <w:t>Source</w:t>
            </w:r>
          </w:p>
        </w:tc>
      </w:tr>
      <w:tr>
        <w:tc>
          <w:tcPr>
            <w:tcW w:type="dxa" w:w="2929"/>
          </w:tcPr>
          <w:p>
            <w:pPr>
              <w:spacing w:after="0" w:line="240" w:lineRule="auto"/>
            </w:pPr>
            <w:r>
              <w:rPr>
                <w:b w:val="0"/>
                <w:sz w:val="18"/>
              </w:rPr>
              <w:t>Docker Desktop</w:t>
            </w:r>
          </w:p>
        </w:tc>
        <w:tc>
          <w:tcPr>
            <w:tcW w:type="dxa" w:w="2929"/>
          </w:tcPr>
          <w:p>
            <w:pPr>
              <w:spacing w:after="0" w:line="240" w:lineRule="auto"/>
            </w:pPr>
            <w:r>
              <w:rPr>
                <w:b w:val="0"/>
                <w:sz w:val="18"/>
              </w:rPr>
              <w:t>4.91.0, WSL2 backend</w:t>
            </w:r>
          </w:p>
        </w:tc>
        <w:tc>
          <w:tcPr>
            <w:tcW w:type="dxa" w:w="2929"/>
          </w:tcPr>
          <w:p>
            <w:pPr>
              <w:spacing w:after="0" w:line="240" w:lineRule="auto"/>
            </w:pPr>
            <w:r>
              <w:rPr>
                <w:b w:val="0"/>
                <w:sz w:val="18"/>
              </w:rPr>
              <w:t>version measured on 2026-10-20</w:t>
            </w:r>
          </w:p>
        </w:tc>
      </w:tr>
      <w:tr>
        <w:tc>
          <w:tcPr>
            <w:tcW w:type="dxa" w:w="2929"/>
          </w:tcPr>
          <w:p>
            <w:pPr>
              <w:spacing w:after="0" w:line="240" w:lineRule="auto"/>
            </w:pPr>
            <w:r>
              <w:rPr>
                <w:b w:val="0"/>
                <w:sz w:val="18"/>
              </w:rPr>
              <w:t>Docker client / Compose</w:t>
            </w:r>
          </w:p>
        </w:tc>
        <w:tc>
          <w:tcPr>
            <w:tcW w:type="dxa" w:w="2929"/>
          </w:tcPr>
          <w:p>
            <w:pPr>
              <w:spacing w:after="0" w:line="240" w:lineRule="auto"/>
            </w:pPr>
            <w:r>
              <w:rPr>
                <w:b w:val="0"/>
                <w:sz w:val="18"/>
              </w:rPr>
              <w:t>29.8.0 / 5.5.1</w:t>
            </w:r>
          </w:p>
        </w:tc>
        <w:tc>
          <w:tcPr>
            <w:tcW w:type="dxa" w:w="2929"/>
          </w:tcPr>
          <w:p>
            <w:pPr>
              <w:spacing w:after="0" w:line="240" w:lineRule="auto"/>
            </w:pPr>
            <w:r>
              <w:rPr>
                <w:b w:val="0"/>
                <w:sz w:val="18"/>
              </w:rPr>
              <w:t>client recorded 2026-10-18; Compose measured on 2026-10-20</w:t>
            </w:r>
          </w:p>
        </w:tc>
      </w:tr>
      <w:tr>
        <w:tc>
          <w:tcPr>
            <w:tcW w:type="dxa" w:w="2929"/>
          </w:tcPr>
          <w:p>
            <w:pPr>
              <w:spacing w:after="0" w:line="240" w:lineRule="auto"/>
            </w:pPr>
            <w:r>
              <w:rPr>
                <w:b w:val="0"/>
                <w:sz w:val="18"/>
              </w:rPr>
              <w:t>DeathStarBench commit</w:t>
            </w:r>
          </w:p>
        </w:tc>
        <w:tc>
          <w:tcPr>
            <w:tcW w:type="dxa" w:w="2929"/>
          </w:tcPr>
          <w:p>
            <w:pPr>
              <w:spacing w:after="0" w:line="240" w:lineRule="auto"/>
            </w:pPr>
            <w:r>
              <w:rPr>
                <w:b w:val="0"/>
                <w:sz w:val="18"/>
              </w:rPr>
              <w:t>6ecb097</w:t>
            </w:r>
          </w:p>
        </w:tc>
        <w:tc>
          <w:tcPr>
            <w:tcW w:type="dxa" w:w="2929"/>
          </w:tcPr>
          <w:p>
            <w:pPr>
              <w:spacing w:after="0" w:line="240" w:lineRule="auto"/>
            </w:pPr>
            <w:r>
              <w:rPr>
                <w:b w:val="0"/>
                <w:sz w:val="18"/>
              </w:rPr>
              <w:t>pinned upstream commit</w:t>
            </w:r>
          </w:p>
        </w:tc>
      </w:tr>
      <w:tr>
        <w:tc>
          <w:tcPr>
            <w:tcW w:type="dxa" w:w="2929"/>
          </w:tcPr>
          <w:p>
            <w:pPr>
              <w:spacing w:after="0" w:line="240" w:lineRule="auto"/>
            </w:pPr>
            <w:r>
              <w:rPr>
                <w:b w:val="0"/>
                <w:sz w:val="18"/>
              </w:rPr>
              <w:t>Jaeger</w:t>
            </w:r>
          </w:p>
        </w:tc>
        <w:tc>
          <w:tcPr>
            <w:tcW w:type="dxa" w:w="2929"/>
          </w:tcPr>
          <w:p>
            <w:pPr>
              <w:spacing w:after="0" w:line="240" w:lineRule="auto"/>
            </w:pPr>
            <w:r>
              <w:rPr>
                <w:b w:val="0"/>
                <w:sz w:val="18"/>
              </w:rPr>
              <w:t>1.62.0 all-in-one, in-memory storage</w:t>
            </w:r>
          </w:p>
        </w:tc>
        <w:tc>
          <w:tcPr>
            <w:tcW w:type="dxa" w:w="2929"/>
          </w:tcPr>
          <w:p>
            <w:pPr>
              <w:spacing w:after="0" w:line="240" w:lineRule="auto"/>
            </w:pPr>
            <w:r>
              <w:rPr>
                <w:b w:val="0"/>
                <w:sz w:val="18"/>
              </w:rPr>
              <w:t>compose override file</w:t>
            </w:r>
          </w:p>
        </w:tc>
      </w:tr>
      <w:tr>
        <w:tc>
          <w:tcPr>
            <w:tcW w:type="dxa" w:w="2929"/>
          </w:tcPr>
          <w:p>
            <w:pPr>
              <w:spacing w:after="0" w:line="240" w:lineRule="auto"/>
            </w:pPr>
            <w:r>
              <w:rPr>
                <w:b w:val="0"/>
                <w:sz w:val="18"/>
              </w:rPr>
              <w:t>Pumba</w:t>
            </w:r>
          </w:p>
        </w:tc>
        <w:tc>
          <w:tcPr>
            <w:tcW w:type="dxa" w:w="2929"/>
          </w:tcPr>
          <w:p>
            <w:pPr>
              <w:spacing w:after="0" w:line="240" w:lineRule="auto"/>
            </w:pPr>
            <w:r>
              <w:rPr>
                <w:b w:val="0"/>
                <w:sz w:val="18"/>
              </w:rPr>
              <w:t>ghcr.io/alexei-led/pumba, untagged image</w:t>
            </w:r>
          </w:p>
        </w:tc>
        <w:tc>
          <w:tcPr>
            <w:tcW w:type="dxa" w:w="2929"/>
          </w:tcPr>
          <w:p>
            <w:pPr>
              <w:spacing w:after="0" w:line="240" w:lineRule="auto"/>
            </w:pPr>
            <w:r>
              <w:rPr>
                <w:b w:val="0"/>
                <w:sz w:val="18"/>
              </w:rPr>
              <w:t>version not recorded</w:t>
            </w:r>
          </w:p>
        </w:tc>
      </w:tr>
      <w:tr>
        <w:tc>
          <w:tcPr>
            <w:tcW w:type="dxa" w:w="2929"/>
          </w:tcPr>
          <w:p>
            <w:pPr>
              <w:spacing w:after="0" w:line="240" w:lineRule="auto"/>
            </w:pPr>
            <w:r>
              <w:rPr>
                <w:b w:val="0"/>
                <w:sz w:val="18"/>
              </w:rPr>
              <w:t>Python</w:t>
            </w:r>
          </w:p>
        </w:tc>
        <w:tc>
          <w:tcPr>
            <w:tcW w:type="dxa" w:w="2929"/>
          </w:tcPr>
          <w:p>
            <w:pPr>
              <w:spacing w:after="0" w:line="240" w:lineRule="auto"/>
            </w:pPr>
            <w:r>
              <w:rPr>
                <w:b w:val="0"/>
                <w:sz w:val="18"/>
              </w:rPr>
              <w:t>3.13.2</w:t>
            </w:r>
          </w:p>
        </w:tc>
        <w:tc>
          <w:tcPr>
            <w:tcW w:type="dxa" w:w="2929"/>
          </w:tcPr>
          <w:p>
            <w:pPr>
              <w:spacing w:after="0" w:line="240" w:lineRule="auto"/>
            </w:pPr>
            <w:r>
              <w:rPr>
                <w:b w:val="0"/>
                <w:sz w:val="18"/>
              </w:rPr>
              <w:t>repository README</w:t>
            </w:r>
          </w:p>
        </w:tc>
      </w:tr>
      <w:tr>
        <w:tc>
          <w:tcPr>
            <w:tcW w:type="dxa" w:w="2929"/>
          </w:tcPr>
          <w:p>
            <w:pPr>
              <w:spacing w:after="0" w:line="240" w:lineRule="auto"/>
            </w:pPr>
            <w:r>
              <w:rPr>
                <w:b w:val="0"/>
                <w:sz w:val="18"/>
              </w:rPr>
              <w:t>Python libraries</w:t>
            </w:r>
          </w:p>
        </w:tc>
        <w:tc>
          <w:tcPr>
            <w:tcW w:type="dxa" w:w="2929"/>
          </w:tcPr>
          <w:p>
            <w:pPr>
              <w:spacing w:after="0" w:line="240" w:lineRule="auto"/>
            </w:pPr>
            <w:r>
              <w:rPr>
                <w:b w:val="0"/>
                <w:sz w:val="18"/>
              </w:rPr>
              <w:t>NumPy 2.1.2, pandas 2.2.3, SciPy 1.14.1, statsmodels 0.14.6, NetworkX 3.6.1, matplotlib 3.9.2</w:t>
            </w:r>
          </w:p>
        </w:tc>
        <w:tc>
          <w:tcPr>
            <w:tcW w:type="dxa" w:w="2929"/>
          </w:tcPr>
          <w:p>
            <w:pPr>
              <w:spacing w:after="0" w:line="240" w:lineRule="auto"/>
            </w:pPr>
            <w:r>
              <w:rPr>
                <w:b w:val="0"/>
                <w:sz w:val="18"/>
              </w:rPr>
              <w:t>repository README</w:t>
            </w:r>
          </w:p>
        </w:tc>
      </w:tr>
      <w:tr>
        <w:tc>
          <w:tcPr>
            <w:tcW w:type="dxa" w:w="2929"/>
          </w:tcPr>
          <w:p>
            <w:pPr>
              <w:spacing w:after="0" w:line="240" w:lineRule="auto"/>
            </w:pPr>
            <w:r>
              <w:rPr>
                <w:b w:val="0"/>
                <w:sz w:val="18"/>
              </w:rPr>
              <w:t>Locust</w:t>
            </w:r>
          </w:p>
        </w:tc>
        <w:tc>
          <w:tcPr>
            <w:tcW w:type="dxa" w:w="2929"/>
          </w:tcPr>
          <w:p>
            <w:pPr>
              <w:spacing w:after="0" w:line="240" w:lineRule="auto"/>
            </w:pPr>
            <w:r>
              <w:rPr>
                <w:b w:val="0"/>
                <w:sz w:val="18"/>
              </w:rPr>
              <w:t>2.46.3; 25 users, spawn rate 10 users/s, 0.5 to 1.5 s between requests</w:t>
            </w:r>
          </w:p>
        </w:tc>
        <w:tc>
          <w:tcPr>
            <w:tcW w:type="dxa" w:w="2929"/>
          </w:tcPr>
          <w:p>
            <w:pPr>
              <w:spacing w:after="0" w:line="240" w:lineRule="auto"/>
            </w:pPr>
            <w:r>
              <w:rPr>
                <w:b w:val="0"/>
                <w:sz w:val="18"/>
              </w:rPr>
              <w:t>runner and Locust files</w:t>
            </w:r>
          </w:p>
        </w:tc>
      </w:tr>
    </w:tbl>
    <w:p>
      <w:pPr>
        <w:spacing w:after="40"/>
      </w:pPr>
    </w:p>
    <w:p>
      <w:r>
        <w:br w:type="page"/>
      </w:r>
    </w:p>
    <w:p>
      <w:pPr>
        <w:spacing w:line="360" w:lineRule="auto" w:after="0"/>
        <w:jc w:val="center"/>
      </w:pPr>
      <w:r>
        <w:rPr>
          <w:b/>
          <w:sz w:val="28"/>
        </w:rPr>
        <w:t>CHAPTER 4</w:t>
      </w:r>
    </w:p>
    <w:p>
      <w:pPr>
        <w:pStyle w:val="Heading1"/>
      </w:pPr>
      <w:r>
        <w:t>4. DESIGN APPROACH AND DETAILS</w:t>
      </w:r>
    </w:p>
    <w:p>
      <w:pPr>
        <w:pStyle w:val="Heading2"/>
      </w:pPr>
      <w:r>
        <w:t>4.1 System Architecture</w:t>
      </w:r>
    </w:p>
    <w:p>
      <w:pPr>
        <w:jc w:val="both"/>
      </w:pPr>
      <w:r>
        <w:t>The test bed is a single Windows host. The application stack, the Jaeger tracing backend and the Pumba fault injector run as containers inside the virtual machine of Docker Desktop's WSL2 backend, while the Locust load generator and the campaign runner run on the host (Fig. 2). The Social Network stack has 27 containers and the Hotel Reservation stack 24; the runner never runs both at once.</w:t>
      </w:r>
    </w:p>
    <w:p>
      <w:pPr>
        <w:jc w:val="center"/>
      </w:pPr>
      <w:r>
        <w:drawing>
          <wp:inline xmlns:a="http://schemas.openxmlformats.org/drawingml/2006/main" xmlns:pic="http://schemas.openxmlformats.org/drawingml/2006/picture">
            <wp:extent cx="5580000" cy="3610588"/>
            <wp:docPr id="3" name="Picture 3"/>
            <wp:cNvGraphicFramePr>
              <a:graphicFrameLocks noChangeAspect="1"/>
            </wp:cNvGraphicFramePr>
            <a:graphic>
              <a:graphicData uri="http://schemas.openxmlformats.org/drawingml/2006/picture">
                <pic:pic>
                  <pic:nvPicPr>
                    <pic:cNvPr id="0" name="fig_deployment.png"/>
                    <pic:cNvPicPr/>
                  </pic:nvPicPr>
                  <pic:blipFill>
                    <a:blip r:embed="rId13"/>
                    <a:stretch>
                      <a:fillRect/>
                    </a:stretch>
                  </pic:blipFill>
                  <pic:spPr>
                    <a:xfrm>
                      <a:off x="0" y="0"/>
                      <a:ext cx="5580000" cy="3610588"/>
                    </a:xfrm>
                    <a:prstGeom prst="rect"/>
                  </pic:spPr>
                </pic:pic>
              </a:graphicData>
            </a:graphic>
          </wp:inline>
        </w:drawing>
      </w:r>
    </w:p>
    <w:p>
      <w:pPr>
        <w:pStyle w:val="FigureCaption"/>
      </w:pPr>
      <w:r>
        <w:t>Fig. 2. Deployment of the test bed: the host, the Docker virtual machine with the application, Jaeger and Pumba containers, and the load generator and campaign runner on the host.</w:t>
      </w:r>
    </w:p>
    <w:p>
      <w:pPr>
        <w:jc w:val="both"/>
      </w:pPr>
      <w:r>
        <w:t>The software is organised as a pipeline (Fig. 3). The first steps build the dependency graphs and predictors and lock the plan before any campaign data exist; the middle steps repeat in every run; the final steps run once the campaign is complete. Each box names the files that implement the step.</w:t>
      </w:r>
    </w:p>
    <w:p>
      <w:pPr>
        <w:jc w:val="center"/>
      </w:pPr>
      <w:r>
        <w:drawing>
          <wp:inline xmlns:a="http://schemas.openxmlformats.org/drawingml/2006/main" xmlns:pic="http://schemas.openxmlformats.org/drawingml/2006/picture">
            <wp:extent cx="5580000" cy="3987675"/>
            <wp:docPr id="4" name="Picture 4"/>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580000" cy="3987675"/>
                    </a:xfrm>
                    <a:prstGeom prst="rect"/>
                  </pic:spPr>
                </pic:pic>
              </a:graphicData>
            </a:graphic>
          </wp:inline>
        </w:drawing>
      </w:r>
    </w:p>
    <w:p>
      <w:pPr>
        <w:pStyle w:val="FigureCaption"/>
      </w:pPr>
      <w:r>
        <w:t>Fig. 3. Pipeline in execution order, with the repository files that carry out each step.</w:t>
      </w:r>
    </w:p>
    <w:p>
      <w:pPr>
        <w:pStyle w:val="Heading2"/>
      </w:pPr>
      <w:r>
        <w:t>4.2 Design</w:t>
      </w:r>
    </w:p>
    <w:p>
      <w:pPr>
        <w:pStyle w:val="Heading3"/>
      </w:pPr>
      <w:r>
        <w:t>4.2.1 Data Flow Diagram</w:t>
      </w:r>
    </w:p>
    <w:p>
      <w:pPr>
        <w:jc w:val="both"/>
      </w:pPr>
      <w:r>
        <w:t>At the context level (Fig. 4) the pipeline exchanges data with its external entities: the researcher, who supplies the locked plan and the run manifest and receives the results; the application stack, which receives load, fault and restore commands; and the Jaeger backend, which supplies the spans that the services emit.</w:t>
      </w:r>
    </w:p>
    <w:p>
      <w:pPr>
        <w:jc w:val="center"/>
      </w:pPr>
      <w:r>
        <w:drawing>
          <wp:inline xmlns:a="http://schemas.openxmlformats.org/drawingml/2006/main" xmlns:pic="http://schemas.openxmlformats.org/drawingml/2006/picture">
            <wp:extent cx="5580000" cy="2843010"/>
            <wp:docPr id="5" name="Picture 5"/>
            <wp:cNvGraphicFramePr>
              <a:graphicFrameLocks noChangeAspect="1"/>
            </wp:cNvGraphicFramePr>
            <a:graphic>
              <a:graphicData uri="http://schemas.openxmlformats.org/drawingml/2006/picture">
                <pic:pic>
                  <pic:nvPicPr>
                    <pic:cNvPr id="0" name="fig_dfd_level0.png"/>
                    <pic:cNvPicPr/>
                  </pic:nvPicPr>
                  <pic:blipFill>
                    <a:blip r:embed="rId15"/>
                    <a:stretch>
                      <a:fillRect/>
                    </a:stretch>
                  </pic:blipFill>
                  <pic:spPr>
                    <a:xfrm>
                      <a:off x="0" y="0"/>
                      <a:ext cx="5580000" cy="2843010"/>
                    </a:xfrm>
                    <a:prstGeom prst="rect"/>
                  </pic:spPr>
                </pic:pic>
              </a:graphicData>
            </a:graphic>
          </wp:inline>
        </w:drawing>
      </w:r>
    </w:p>
    <w:p>
      <w:pPr>
        <w:pStyle w:val="FigureCaption"/>
      </w:pPr>
      <w:r>
        <w:t>Fig. 4. Data flow diagram, Level 0 (context diagram).</w:t>
      </w:r>
    </w:p>
    <w:p>
      <w:pPr>
        <w:jc w:val="both"/>
      </w:pPr>
      <w:r>
        <w:t>At Level 1 (Fig. 5) the pipeline splits into processes 1.0 to 6.0. Graph reconstruction (1.0) and predictor computation (2.0) run before the campaign. For every entry of the run manifest, process 3.0 drives one run while process 4.0 measures its outcome from the spans and writes a run record. Statistical analysis (5.0) reads all run records and the predictor table, and the build step (6.0) turns the analysis outputs into the numbers, tables and figures of the paper and this report.</w:t>
      </w:r>
    </w:p>
    <w:p>
      <w:pPr>
        <w:jc w:val="center"/>
      </w:pPr>
      <w:r>
        <w:drawing>
          <wp:inline xmlns:a="http://schemas.openxmlformats.org/drawingml/2006/main" xmlns:pic="http://schemas.openxmlformats.org/drawingml/2006/picture">
            <wp:extent cx="5580000" cy="3946777"/>
            <wp:docPr id="6" name="Picture 6"/>
            <wp:cNvGraphicFramePr>
              <a:graphicFrameLocks noChangeAspect="1"/>
            </wp:cNvGraphicFramePr>
            <a:graphic>
              <a:graphicData uri="http://schemas.openxmlformats.org/drawingml/2006/picture">
                <pic:pic>
                  <pic:nvPicPr>
                    <pic:cNvPr id="0" name="fig_dfd_level1.png"/>
                    <pic:cNvPicPr/>
                  </pic:nvPicPr>
                  <pic:blipFill>
                    <a:blip r:embed="rId16"/>
                    <a:stretch>
                      <a:fillRect/>
                    </a:stretch>
                  </pic:blipFill>
                  <pic:spPr>
                    <a:xfrm>
                      <a:off x="0" y="0"/>
                      <a:ext cx="5580000" cy="3946777"/>
                    </a:xfrm>
                    <a:prstGeom prst="rect"/>
                  </pic:spPr>
                </pic:pic>
              </a:graphicData>
            </a:graphic>
          </wp:inline>
        </w:drawing>
      </w:r>
    </w:p>
    <w:p>
      <w:pPr>
        <w:pStyle w:val="FigureCaption"/>
      </w:pPr>
      <w:r>
        <w:t>Fig. 5. Data flow diagram, Level 1. Data stores D1 to D6 are folders and files of the repository.</w:t>
      </w:r>
    </w:p>
    <w:p>
      <w:pPr>
        <w:pStyle w:val="Heading3"/>
      </w:pPr>
      <w:r>
        <w:t>4.2.2 Use Case Diagram</w:t>
      </w:r>
    </w:p>
    <w:p>
      <w:pPr>
        <w:jc w:val="both"/>
      </w:pPr>
      <w:r>
        <w:t>Fig. 6 shows the actors. The researcher locks the plan, reconstructs the graphs, runs the campaign (which includes injecting a fault and measuring its effect) and checks run integrity. A reviewer can rerun the confirmatory analysis, regenerate every number, table and figure, and inspect the stored run records and spans without access to the test bed.</w:t>
      </w:r>
    </w:p>
    <w:p>
      <w:pPr>
        <w:jc w:val="center"/>
      </w:pPr>
      <w:r>
        <w:drawing>
          <wp:inline xmlns:a="http://schemas.openxmlformats.org/drawingml/2006/main" xmlns:pic="http://schemas.openxmlformats.org/drawingml/2006/picture">
            <wp:extent cx="5580000" cy="3826286"/>
            <wp:docPr id="7" name="Picture 7"/>
            <wp:cNvGraphicFramePr>
              <a:graphicFrameLocks noChangeAspect="1"/>
            </wp:cNvGraphicFramePr>
            <a:graphic>
              <a:graphicData uri="http://schemas.openxmlformats.org/drawingml/2006/picture">
                <pic:pic>
                  <pic:nvPicPr>
                    <pic:cNvPr id="0" name="fig_use_case.png"/>
                    <pic:cNvPicPr/>
                  </pic:nvPicPr>
                  <pic:blipFill>
                    <a:blip r:embed="rId17"/>
                    <a:stretch>
                      <a:fillRect/>
                    </a:stretch>
                  </pic:blipFill>
                  <pic:spPr>
                    <a:xfrm>
                      <a:off x="0" y="0"/>
                      <a:ext cx="5580000" cy="3826286"/>
                    </a:xfrm>
                    <a:prstGeom prst="rect"/>
                  </pic:spPr>
                </pic:pic>
              </a:graphicData>
            </a:graphic>
          </wp:inline>
        </w:drawing>
      </w:r>
    </w:p>
    <w:p>
      <w:pPr>
        <w:pStyle w:val="FigureCaption"/>
      </w:pPr>
      <w:r>
        <w:t>Fig. 6. Use case diagram.</w:t>
      </w:r>
    </w:p>
    <w:p>
      <w:pPr>
        <w:pStyle w:val="Heading3"/>
      </w:pPr>
      <w:r>
        <w:t>4.2.3 Class Diagram</w:t>
      </w:r>
    </w:p>
    <w:p>
      <w:pPr>
        <w:jc w:val="both"/>
      </w:pPr>
      <w:r>
        <w:t>The pipeline is written as Python modules of functions that pass plain data (graphs, dictionaries and CSV rows) between steps; the only classes are small helpers such as the run lock and the recovery-probe result. A class diagram would therefore add little, and the module structure is described by Fig. 3 and the data flow diagrams instead.</w:t>
      </w:r>
    </w:p>
    <w:p>
      <w:pPr>
        <w:pStyle w:val="Heading3"/>
      </w:pPr>
      <w:r>
        <w:t>4.2.4 Sequence Diagram</w:t>
      </w:r>
    </w:p>
    <w:p>
      <w:pPr>
        <w:jc w:val="both"/>
      </w:pPr>
      <w:r>
        <w:t>Fig. 7 shows the messages exchanged in one campaign run. W is the warm-up and baseline window, H the fault hold, P the recovery-probe interval and C the recovery cap; their values are given in Section 5.1.3.</w:t>
      </w:r>
    </w:p>
    <w:p>
      <w:pPr>
        <w:jc w:val="center"/>
      </w:pPr>
      <w:r>
        <w:drawing>
          <wp:inline xmlns:a="http://schemas.openxmlformats.org/drawingml/2006/main" xmlns:pic="http://schemas.openxmlformats.org/drawingml/2006/picture">
            <wp:extent cx="5580000" cy="4620771"/>
            <wp:docPr id="8" name="Picture 8"/>
            <wp:cNvGraphicFramePr>
              <a:graphicFrameLocks noChangeAspect="1"/>
            </wp:cNvGraphicFramePr>
            <a:graphic>
              <a:graphicData uri="http://schemas.openxmlformats.org/drawingml/2006/picture">
                <pic:pic>
                  <pic:nvPicPr>
                    <pic:cNvPr id="0" name="fig_sequence.png"/>
                    <pic:cNvPicPr/>
                  </pic:nvPicPr>
                  <pic:blipFill>
                    <a:blip r:embed="rId18"/>
                    <a:stretch>
                      <a:fillRect/>
                    </a:stretch>
                  </pic:blipFill>
                  <pic:spPr>
                    <a:xfrm>
                      <a:off x="0" y="0"/>
                      <a:ext cx="5580000" cy="4620771"/>
                    </a:xfrm>
                    <a:prstGeom prst="rect"/>
                  </pic:spPr>
                </pic:pic>
              </a:graphicData>
            </a:graphic>
          </wp:inline>
        </w:drawing>
      </w:r>
    </w:p>
    <w:p>
      <w:pPr>
        <w:pStyle w:val="FigureCaption"/>
      </w:pPr>
      <w:r>
        <w:t>Fig. 7. Sequence diagram of one campaign run (function one_run in tools/run_pilot.py).</w:t>
      </w:r>
    </w:p>
    <w:p>
      <w:r>
        <w:br w:type="page"/>
      </w:r>
    </w:p>
    <w:p>
      <w:pPr>
        <w:spacing w:line="360" w:lineRule="auto" w:after="0"/>
        <w:jc w:val="center"/>
      </w:pPr>
      <w:r>
        <w:rPr>
          <w:b/>
          <w:sz w:val="28"/>
        </w:rPr>
        <w:t>CHAPTER 5</w:t>
      </w:r>
    </w:p>
    <w:p>
      <w:pPr>
        <w:pStyle w:val="Heading1"/>
      </w:pPr>
      <w:r>
        <w:t>5. METHODOLOGY AND TESTING</w:t>
      </w:r>
    </w:p>
    <w:p>
      <w:pPr>
        <w:pStyle w:val="Heading2"/>
      </w:pPr>
      <w:r>
        <w:t>5.1 Module Description</w:t>
      </w:r>
    </w:p>
    <w:p>
      <w:pPr>
        <w:pStyle w:val="Heading3"/>
      </w:pPr>
      <w:r>
        <w:t>5.1.1 Graph Reconstruction Module</w:t>
      </w:r>
    </w:p>
    <w:p>
      <w:pPr>
        <w:jc w:val="both"/>
      </w:pPr>
      <w:r>
        <w:rPr>
          <w:rFonts w:ascii="Courier New" w:hAnsi="Courier New"/>
          <w:sz w:val="22"/>
        </w:rPr>
        <w:t>tools/extract_graph.py</w:t>
      </w:r>
      <w:r>
        <w:t xml:space="preserve"> asks Jaeger for the traces of every application service and adds a directed edge from service a to service b whenever a span of a is the parent of a span of b. The Social Network graph was built from 2449 traces holding 32847 spans, and the Hotel Reservation graph from 3446 traces holding 31155 spans. The graphs have 12 and 8 services with 17 and 7 edges (Fig. 8 and Fig. 9). Graphs from traces show the calls the system actually makes: for Hotel Reservation, the traces recover 6 of the 8 call edges implied by its documentation, and the observed graph was used.</w:t>
      </w:r>
    </w:p>
    <w:p>
      <w:pPr>
        <w:jc w:val="center"/>
      </w:pPr>
      <w:r>
        <w:drawing>
          <wp:inline xmlns:a="http://schemas.openxmlformats.org/drawingml/2006/main" xmlns:pic="http://schemas.openxmlformats.org/drawingml/2006/picture">
            <wp:extent cx="5580000" cy="2423149"/>
            <wp:docPr id="9" name="Picture 9"/>
            <wp:cNvGraphicFramePr>
              <a:graphicFrameLocks noChangeAspect="1"/>
            </wp:cNvGraphicFramePr>
            <a:graphic>
              <a:graphicData uri="http://schemas.openxmlformats.org/drawingml/2006/picture">
                <pic:pic>
                  <pic:nvPicPr>
                    <pic:cNvPr id="0" name="fig_graph_sn.png"/>
                    <pic:cNvPicPr/>
                  </pic:nvPicPr>
                  <pic:blipFill>
                    <a:blip r:embed="rId19"/>
                    <a:stretch>
                      <a:fillRect/>
                    </a:stretch>
                  </pic:blipFill>
                  <pic:spPr>
                    <a:xfrm>
                      <a:off x="0" y="0"/>
                      <a:ext cx="5580000" cy="2423149"/>
                    </a:xfrm>
                    <a:prstGeom prst="rect"/>
                  </pic:spPr>
                </pic:pic>
              </a:graphicData>
            </a:graphic>
          </wp:inline>
        </w:drawing>
      </w:r>
    </w:p>
    <w:p>
      <w:pPr>
        <w:pStyle w:val="FigureCaption"/>
      </w:pPr>
      <w:r>
        <w:t>Fig. 8. Social Network dependency graph as observed in traces, with the gateway marked.</w:t>
      </w:r>
    </w:p>
    <w:p>
      <w:pPr>
        <w:jc w:val="center"/>
      </w:pPr>
      <w:r>
        <w:drawing>
          <wp:inline xmlns:a="http://schemas.openxmlformats.org/drawingml/2006/main" xmlns:pic="http://schemas.openxmlformats.org/drawingml/2006/picture">
            <wp:extent cx="5580000" cy="2423149"/>
            <wp:docPr id="10" name="Picture 10"/>
            <wp:cNvGraphicFramePr>
              <a:graphicFrameLocks noChangeAspect="1"/>
            </wp:cNvGraphicFramePr>
            <a:graphic>
              <a:graphicData uri="http://schemas.openxmlformats.org/drawingml/2006/picture">
                <pic:pic>
                  <pic:nvPicPr>
                    <pic:cNvPr id="0" name="fig_graph_hr.png"/>
                    <pic:cNvPicPr/>
                  </pic:nvPicPr>
                  <pic:blipFill>
                    <a:blip r:embed="rId20"/>
                    <a:stretch>
                      <a:fillRect/>
                    </a:stretch>
                  </pic:blipFill>
                  <pic:spPr>
                    <a:xfrm>
                      <a:off x="0" y="0"/>
                      <a:ext cx="5580000" cy="2423149"/>
                    </a:xfrm>
                    <a:prstGeom prst="rect"/>
                  </pic:spPr>
                </pic:pic>
              </a:graphicData>
            </a:graphic>
          </wp:inline>
        </w:drawing>
      </w:r>
    </w:p>
    <w:p>
      <w:pPr>
        <w:pStyle w:val="FigureCaption"/>
      </w:pPr>
      <w:r>
        <w:t>Fig. 9. Hotel Reservation dependency graph as observed in traces, with the gateway marked.</w:t>
      </w:r>
    </w:p>
    <w:p>
      <w:pPr>
        <w:jc w:val="both"/>
      </w:pPr>
      <w:r>
        <w:t>The gateway of each application (nginx-web-server and frontend) has no caller in the graph, because its traffic comes from the load generator, so it is left out of every correlation. That leaves 11 services in Social Network and 7 in Hotel Reservation.</w:t>
      </w:r>
    </w:p>
    <w:p>
      <w:pPr>
        <w:pStyle w:val="Heading3"/>
      </w:pPr>
      <w:r>
        <w:t>5.1.2 Predictor Module</w:t>
      </w:r>
    </w:p>
    <w:p>
      <w:pPr>
        <w:jc w:val="both"/>
      </w:pPr>
      <w:r>
        <w:rPr>
          <w:rFonts w:ascii="Courier New" w:hAnsi="Courier New"/>
          <w:sz w:val="22"/>
        </w:rPr>
        <w:t>tools/build_predictor_table.py</w:t>
      </w:r>
      <w:r>
        <w:t xml:space="preserve"> and </w:t>
      </w:r>
      <w:r>
        <w:rPr>
          <w:rFonts w:ascii="Courier New" w:hAnsi="Courier New"/>
          <w:sz w:val="22"/>
        </w:rPr>
        <w:t>centrality/compute_centrality.py</w:t>
      </w:r>
      <w:r>
        <w:t xml:space="preserve"> compute the caller count, the hybrid metric and the comparators: degree, in-degree, out-degree, betweenness, closeness, eigenvector centrality, PageRank, a composite rank, descendant count and dominator subtree size. The hybrid metric keeps the weights of the original proposal; the tuning step planned in the preregistration was never run (Deviation 10), and no weight was re-tuned on campaign data. Where a predictor is constant across services, as eigenvector centrality is on the acyclic Social Network graph, the correlation is undefined, so two such pairs were declared degenerate in advance, leaving 22 testable pairs.</w:t>
      </w:r>
    </w:p>
    <w:p>
      <w:pPr>
        <w:pStyle w:val="Heading3"/>
      </w:pPr>
      <w:r>
        <w:t>5.1.3 Run and Fault-Injection Module</w:t>
      </w:r>
    </w:p>
    <w:p>
      <w:pPr>
        <w:jc w:val="both"/>
      </w:pPr>
      <w:r>
        <w:rPr>
          <w:rFonts w:ascii="Courier New" w:hAnsi="Courier New"/>
          <w:sz w:val="22"/>
        </w:rPr>
        <w:t>tools/run_campaign.py</w:t>
      </w:r>
      <w:r>
        <w:t xml:space="preserve"> works through the run manifest and calls </w:t>
      </w:r>
      <w:r>
        <w:rPr>
          <w:rFonts w:ascii="Courier New" w:hAnsi="Courier New"/>
          <w:sz w:val="22"/>
        </w:rPr>
        <w:t>one_run</w:t>
      </w:r>
      <w:r>
        <w:t xml:space="preserve"> in </w:t>
      </w:r>
      <w:r>
        <w:rPr>
          <w:rFonts w:ascii="Courier New" w:hAnsi="Courier New"/>
          <w:sz w:val="22"/>
        </w:rPr>
        <w:t>tools/run_pilot.py</w:t>
      </w:r>
      <w:r>
        <w:t xml:space="preserve"> for each run. Locust starts 25 users at 10 per second, each waiting between 0.5 and 1.5 s between requests drawn from a fixed weighted mix. After 60 s, which also serve as the baseline window (W), the fault is applied and held for 30 s (H). A kill fault sends SIGKILL; a latency fault adds 500 ms of delay with 100 ms of jitter through a netem rule. The recovery probe then polls every 1 s (P), with a cap of 180 s (C), and a 20 s cooldown separates runs. The exact commands, generated from the runner code, are listed in Table 3.</w:t>
      </w:r>
    </w:p>
    <w:p>
      <w:pPr>
        <w:pStyle w:val="TableCaption"/>
      </w:pPr>
      <w:r>
        <w:t>Table 3. Commands issued by the runner in each run</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line="240" w:lineRule="auto"/>
            </w:pPr>
            <w:r>
              <w:rPr>
                <w:b/>
                <w:sz w:val="18"/>
              </w:rPr>
              <w:t>Step</w:t>
            </w:r>
          </w:p>
        </w:tc>
        <w:tc>
          <w:tcPr>
            <w:tcW w:type="dxa" w:w="2929"/>
          </w:tcPr>
          <w:p>
            <w:pPr>
              <w:spacing w:after="0" w:line="240" w:lineRule="auto"/>
            </w:pPr>
            <w:r>
              <w:rPr>
                <w:b/>
                <w:sz w:val="18"/>
              </w:rPr>
              <w:t>Command</w:t>
            </w:r>
          </w:p>
        </w:tc>
        <w:tc>
          <w:tcPr>
            <w:tcW w:type="dxa" w:w="2929"/>
          </w:tcPr>
          <w:p>
            <w:pPr>
              <w:spacing w:after="0" w:line="240" w:lineRule="auto"/>
            </w:pPr>
            <w:r>
              <w:rPr>
                <w:b/>
                <w:sz w:val="18"/>
              </w:rPr>
              <w:t>Source</w:t>
            </w:r>
          </w:p>
        </w:tc>
      </w:tr>
      <w:tr>
        <w:tc>
          <w:tcPr>
            <w:tcW w:type="dxa" w:w="2929"/>
          </w:tcPr>
          <w:p>
            <w:pPr>
              <w:spacing w:after="0" w:line="240" w:lineRule="auto"/>
            </w:pPr>
            <w:r>
              <w:rPr>
                <w:b w:val="0"/>
                <w:sz w:val="18"/>
              </w:rPr>
              <w:t>Start the load</w:t>
            </w:r>
          </w:p>
        </w:tc>
        <w:tc>
          <w:tcPr>
            <w:tcW w:type="dxa" w:w="2929"/>
          </w:tcPr>
          <w:p>
            <w:pPr>
              <w:spacing w:after="0" w:line="240" w:lineRule="auto"/>
            </w:pPr>
            <w:r>
              <w:rPr>
                <w:b w:val="0"/>
                <w:sz w:val="18"/>
              </w:rPr>
              <w:t>python -m locust -f &lt;locustfile&gt; --host &lt;url&gt; --headless --users &lt;users&gt; --spawn-rate 10 --run-time &lt;duration&gt;s --only-summary --loglevel ERROR</w:t>
            </w:r>
          </w:p>
        </w:tc>
        <w:tc>
          <w:tcPr>
            <w:tcW w:type="dxa" w:w="2929"/>
          </w:tcPr>
          <w:p>
            <w:pPr>
              <w:spacing w:after="0" w:line="240" w:lineRule="auto"/>
            </w:pPr>
            <w:r>
              <w:rPr>
                <w:b w:val="0"/>
                <w:sz w:val="18"/>
              </w:rPr>
              <w:t>runner, load start</w:t>
            </w:r>
          </w:p>
        </w:tc>
      </w:tr>
      <w:tr>
        <w:tc>
          <w:tcPr>
            <w:tcW w:type="dxa" w:w="2929"/>
          </w:tcPr>
          <w:p>
            <w:pPr>
              <w:spacing w:after="0" w:line="240" w:lineRule="auto"/>
            </w:pPr>
            <w:r>
              <w:rPr>
                <w:b w:val="0"/>
                <w:sz w:val="18"/>
              </w:rPr>
              <w:t>Find the target container</w:t>
            </w:r>
          </w:p>
        </w:tc>
        <w:tc>
          <w:tcPr>
            <w:tcW w:type="dxa" w:w="2929"/>
          </w:tcPr>
          <w:p>
            <w:pPr>
              <w:spacing w:after="0" w:line="240" w:lineRule="auto"/>
            </w:pPr>
            <w:r>
              <w:rPr>
                <w:b w:val="0"/>
                <w:sz w:val="18"/>
              </w:rPr>
              <w:t>docker ps --filter label=com.docker.compose.service=&lt;service&gt; --format '{{.Names}}\t{{.Label "com.docker.compose.service"}}'</w:t>
            </w:r>
          </w:p>
        </w:tc>
        <w:tc>
          <w:tcPr>
            <w:tcW w:type="dxa" w:w="2929"/>
          </w:tcPr>
          <w:p>
            <w:pPr>
              <w:spacing w:after="0" w:line="240" w:lineRule="auto"/>
            </w:pPr>
            <w:r>
              <w:rPr>
                <w:b w:val="0"/>
                <w:sz w:val="18"/>
              </w:rPr>
              <w:t>runner, target resolution</w:t>
            </w:r>
          </w:p>
        </w:tc>
      </w:tr>
      <w:tr>
        <w:tc>
          <w:tcPr>
            <w:tcW w:type="dxa" w:w="2929"/>
          </w:tcPr>
          <w:p>
            <w:pPr>
              <w:spacing w:after="0" w:line="240" w:lineRule="auto"/>
            </w:pPr>
            <w:r>
              <w:rPr>
                <w:b w:val="0"/>
                <w:sz w:val="18"/>
              </w:rPr>
              <w:t>Kill fault</w:t>
            </w:r>
          </w:p>
        </w:tc>
        <w:tc>
          <w:tcPr>
            <w:tcW w:type="dxa" w:w="2929"/>
          </w:tcPr>
          <w:p>
            <w:pPr>
              <w:spacing w:after="0" w:line="240" w:lineRule="auto"/>
            </w:pPr>
            <w:r>
              <w:rPr>
                <w:b w:val="0"/>
                <w:sz w:val="18"/>
              </w:rPr>
              <w:t>docker run --rm -v /var/run/docker.sock:/var/run/docker.sock ghcr.io/alexei-led/pumba kill --signal SIGKILL &lt;container&gt;</w:t>
            </w:r>
          </w:p>
        </w:tc>
        <w:tc>
          <w:tcPr>
            <w:tcW w:type="dxa" w:w="2929"/>
          </w:tcPr>
          <w:p>
            <w:pPr>
              <w:spacing w:after="0" w:line="240" w:lineRule="auto"/>
            </w:pPr>
            <w:r>
              <w:rPr>
                <w:b w:val="0"/>
                <w:sz w:val="18"/>
              </w:rPr>
              <w:t>fault configuration</w:t>
            </w:r>
          </w:p>
        </w:tc>
      </w:tr>
      <w:tr>
        <w:tc>
          <w:tcPr>
            <w:tcW w:type="dxa" w:w="2929"/>
          </w:tcPr>
          <w:p>
            <w:pPr>
              <w:spacing w:after="0" w:line="240" w:lineRule="auto"/>
            </w:pPr>
            <w:r>
              <w:rPr>
                <w:b w:val="0"/>
                <w:sz w:val="18"/>
              </w:rPr>
              <w:t>Latency fault</w:t>
            </w:r>
          </w:p>
        </w:tc>
        <w:tc>
          <w:tcPr>
            <w:tcW w:type="dxa" w:w="2929"/>
          </w:tcPr>
          <w:p>
            <w:pPr>
              <w:spacing w:after="0" w:line="240" w:lineRule="auto"/>
            </w:pPr>
            <w:r>
              <w:rPr>
                <w:b w:val="0"/>
                <w:sz w:val="18"/>
              </w:rPr>
              <w:t>docker run --rm -v /var/run/docker.sock:/var/run/docker.sock ghcr.io/alexei-led/pumba netem --duration 30s delay --time 500 --jitter 100 &lt;container&gt;</w:t>
            </w:r>
          </w:p>
        </w:tc>
        <w:tc>
          <w:tcPr>
            <w:tcW w:type="dxa" w:w="2929"/>
          </w:tcPr>
          <w:p>
            <w:pPr>
              <w:spacing w:after="0" w:line="240" w:lineRule="auto"/>
            </w:pPr>
            <w:r>
              <w:rPr>
                <w:b w:val="0"/>
                <w:sz w:val="18"/>
              </w:rPr>
              <w:t>fault configuration</w:t>
            </w:r>
          </w:p>
        </w:tc>
      </w:tr>
      <w:tr>
        <w:tc>
          <w:tcPr>
            <w:tcW w:type="dxa" w:w="2929"/>
          </w:tcPr>
          <w:p>
            <w:pPr>
              <w:spacing w:after="0" w:line="240" w:lineRule="auto"/>
            </w:pPr>
            <w:r>
              <w:rPr>
                <w:b w:val="0"/>
                <w:sz w:val="18"/>
              </w:rPr>
              <w:t>Restore after a kill</w:t>
            </w:r>
          </w:p>
        </w:tc>
        <w:tc>
          <w:tcPr>
            <w:tcW w:type="dxa" w:w="2929"/>
          </w:tcPr>
          <w:p>
            <w:pPr>
              <w:spacing w:after="0" w:line="240" w:lineRule="auto"/>
            </w:pPr>
            <w:r>
              <w:rPr>
                <w:b w:val="0"/>
                <w:sz w:val="18"/>
              </w:rPr>
              <w:t>docker compose up -d &lt;service&gt;</w:t>
            </w:r>
          </w:p>
        </w:tc>
        <w:tc>
          <w:tcPr>
            <w:tcW w:type="dxa" w:w="2929"/>
          </w:tcPr>
          <w:p>
            <w:pPr>
              <w:spacing w:after="0" w:line="240" w:lineRule="auto"/>
            </w:pPr>
            <w:r>
              <w:rPr>
                <w:b w:val="0"/>
                <w:sz w:val="18"/>
              </w:rPr>
              <w:t>runner, restore</w:t>
            </w:r>
          </w:p>
        </w:tc>
      </w:tr>
      <w:tr>
        <w:tc>
          <w:tcPr>
            <w:tcW w:type="dxa" w:w="2929"/>
          </w:tcPr>
          <w:p>
            <w:pPr>
              <w:spacing w:after="0" w:line="240" w:lineRule="auto"/>
            </w:pPr>
            <w:r>
              <w:rPr>
                <w:b w:val="0"/>
                <w:sz w:val="18"/>
              </w:rPr>
              <w:t>Clean up after a latency fault</w:t>
            </w:r>
          </w:p>
        </w:tc>
        <w:tc>
          <w:tcPr>
            <w:tcW w:type="dxa" w:w="2929"/>
          </w:tcPr>
          <w:p>
            <w:pPr>
              <w:spacing w:after="0" w:line="240" w:lineRule="auto"/>
            </w:pPr>
            <w:r>
              <w:rPr>
                <w:b w:val="0"/>
                <w:sz w:val="18"/>
              </w:rPr>
              <w:t>docker compose up -d --force-recreate &lt;service&gt;</w:t>
            </w:r>
          </w:p>
        </w:tc>
        <w:tc>
          <w:tcPr>
            <w:tcW w:type="dxa" w:w="2929"/>
          </w:tcPr>
          <w:p>
            <w:pPr>
              <w:spacing w:after="0" w:line="240" w:lineRule="auto"/>
            </w:pPr>
            <w:r>
              <w:rPr>
                <w:b w:val="0"/>
                <w:sz w:val="18"/>
              </w:rPr>
              <w:t>runner, clean-up</w:t>
            </w:r>
          </w:p>
        </w:tc>
      </w:tr>
    </w:tbl>
    <w:p>
      <w:pPr>
        <w:spacing w:after="40"/>
      </w:pPr>
    </w:p>
    <w:p>
      <w:pPr>
        <w:pStyle w:val="Heading3"/>
      </w:pPr>
      <w:r>
        <w:t>5.1.4 Measurement Module</w:t>
      </w:r>
    </w:p>
    <w:p>
      <w:pPr>
        <w:jc w:val="both"/>
      </w:pPr>
      <w:r>
        <w:rPr>
          <w:rFonts w:ascii="Courier New" w:hAnsi="Courier New"/>
          <w:sz w:val="22"/>
        </w:rPr>
        <w:t>measurement/metrics_collector.py</w:t>
      </w:r>
      <w:r>
        <w:t xml:space="preserve"> computes each service's latency percentiles and error rate from the spans that service emits itself. This choice matters. A tracing backend returns, for a service, every trace that touches it, and the root span of each trace times the whole request; a percentile over root spans therefore gives every service on a request path the same end-to-end value. In two pilot runs on Hotel Reservation with a delay in the search service, that shortcut flagged several services that were not faulted, some of them neither callers nor callees of search; per-service attribution flagged only one, an actual caller of search (Fig. 10).</w:t>
      </w:r>
    </w:p>
    <w:p>
      <w:pPr>
        <w:jc w:val="center"/>
      </w:pPr>
      <w:r>
        <w:drawing>
          <wp:inline xmlns:a="http://schemas.openxmlformats.org/drawingml/2006/main" xmlns:pic="http://schemas.openxmlformats.org/drawingml/2006/picture">
            <wp:extent cx="5580000" cy="2911419"/>
            <wp:docPr id="11" name="Picture 11"/>
            <wp:cNvGraphicFramePr>
              <a:graphicFrameLocks noChangeAspect="1"/>
            </wp:cNvGraphicFramePr>
            <a:graphic>
              <a:graphicData uri="http://schemas.openxmlformats.org/drawingml/2006/picture">
                <pic:pic>
                  <pic:nvPicPr>
                    <pic:cNvPr id="0" name="fig_q3_artifact.png"/>
                    <pic:cNvPicPr/>
                  </pic:nvPicPr>
                  <pic:blipFill>
                    <a:blip r:embed="rId21"/>
                    <a:stretch>
                      <a:fillRect/>
                    </a:stretch>
                  </pic:blipFill>
                  <pic:spPr>
                    <a:xfrm>
                      <a:off x="0" y="0"/>
                      <a:ext cx="5580000" cy="2911419"/>
                    </a:xfrm>
                    <a:prstGeom prst="rect"/>
                  </pic:spPr>
                </pic:pic>
              </a:graphicData>
            </a:graphic>
          </wp:inline>
        </w:drawing>
      </w:r>
    </w:p>
    <w:p>
      <w:pPr>
        <w:pStyle w:val="FigureCaption"/>
      </w:pPr>
      <w:r>
        <w:t>Fig. 10. Per-service p95 under a latency fault in search, measured on the end-to-end root span (left) and on each service's own spans (right); an asterisk marks a service flagged as degraded.</w:t>
      </w:r>
    </w:p>
    <w:p>
      <w:pPr>
        <w:jc w:val="both"/>
      </w:pPr>
      <w:r>
        <w:t xml:space="preserve">A service counts as degraded when its p95 exceeds 2.0 times its baseline and rises by at least 1.0 ms, or when its error rate rises by at least 0.05. </w:t>
      </w:r>
      <w:r>
        <w:rPr>
          <w:rFonts w:ascii="Courier New" w:hAnsi="Courier New"/>
          <w:sz w:val="22"/>
        </w:rPr>
        <w:t>measurement/blast_radius.py</w:t>
      </w:r>
      <w:r>
        <w:t xml:space="preserve"> then splits the degraded services into ancestors, descendants and unrelated services of the faulted one (Appendix A). </w:t>
      </w:r>
      <w:r>
        <w:rPr>
          <w:rFonts w:ascii="Courier New" w:hAnsi="Courier New"/>
          <w:sz w:val="22"/>
        </w:rPr>
        <w:t>measurement/recovery_probe.py</w:t>
      </w:r>
      <w:r>
        <w:t xml:space="preserve"> measures recovery time from fault removal until p95, p99, error rate and the affected count are all within 10% of baseline for 5 s; a run that does not recover within the cap is recorded as censored, never filled in.</w:t>
      </w:r>
    </w:p>
    <w:p>
      <w:pPr>
        <w:pStyle w:val="Heading3"/>
      </w:pPr>
      <w:r>
        <w:t>5.1.5 Analysis Module</w:t>
      </w:r>
    </w:p>
    <w:p>
      <w:pPr>
        <w:jc w:val="both"/>
      </w:pPr>
      <w:r>
        <w:rPr>
          <w:rFonts w:ascii="Courier New" w:hAnsi="Courier New"/>
          <w:sz w:val="22"/>
        </w:rPr>
        <w:t>analysis/final/run_confirmatory_analysis.py</w:t>
      </w:r>
      <w:r>
        <w:t xml:space="preserve"> takes the median outcome of each service over its repetitions and computes Spearman's ρ between each predictor and each outcome. P-values come from permutation tests (10000 random permutations where exact enumeration is impractical), intervals from the bias-corrected and accelerated bootstrap, and each family of tests is corrected with the Benjamini-Hochberg procedure at q = 0.05. Kill faults form the confirmatory family of 44 tests, and latency faults repeat every test as a replication family of 44.</w:t>
      </w:r>
    </w:p>
    <w:p>
      <w:pPr>
        <w:pStyle w:val="Heading3"/>
      </w:pPr>
      <w:r>
        <w:t>5.1.6 Preregistration and Deviations</w:t>
      </w:r>
    </w:p>
    <w:p>
      <w:pPr>
        <w:jc w:val="both"/>
      </w:pPr>
      <w:r>
        <w:t>The hypotheses and analysis were locked before the campaign, and every later change was logged with its date (Table 4). Of the 13 deviations, 10 invalidated no data; the other three invalidated 17 runs, each of which was collected again in its own cell, so the final data set is complete and balanced.</w:t>
      </w:r>
    </w:p>
    <w:p>
      <w:pPr>
        <w:pStyle w:val="TableCaption"/>
      </w:pPr>
      <w:r>
        <w:t>Table 4. Deviations from the locked plan</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tcPr>
          <w:p>
            <w:pPr>
              <w:spacing w:after="0" w:line="240" w:lineRule="auto"/>
            </w:pPr>
            <w:r>
              <w:rPr>
                <w:b/>
                <w:sz w:val="18"/>
              </w:rPr>
              <w:t>No.</w:t>
            </w:r>
          </w:p>
        </w:tc>
        <w:tc>
          <w:tcPr>
            <w:tcW w:type="dxa" w:w="1758"/>
          </w:tcPr>
          <w:p>
            <w:pPr>
              <w:spacing w:after="0" w:line="240" w:lineRule="auto"/>
            </w:pPr>
            <w:r>
              <w:rPr>
                <w:b/>
                <w:sz w:val="18"/>
              </w:rPr>
              <w:t>Date</w:t>
            </w:r>
          </w:p>
        </w:tc>
        <w:tc>
          <w:tcPr>
            <w:tcW w:type="dxa" w:w="1758"/>
          </w:tcPr>
          <w:p>
            <w:pPr>
              <w:spacing w:after="0" w:line="240" w:lineRule="auto"/>
            </w:pPr>
            <w:r>
              <w:rPr>
                <w:b/>
                <w:sz w:val="18"/>
              </w:rPr>
              <w:t>Deviation</w:t>
            </w:r>
          </w:p>
        </w:tc>
        <w:tc>
          <w:tcPr>
            <w:tcW w:type="dxa" w:w="1758"/>
          </w:tcPr>
          <w:p>
            <w:pPr>
              <w:spacing w:after="0" w:line="240" w:lineRule="auto"/>
            </w:pPr>
            <w:r>
              <w:rPr>
                <w:b/>
                <w:sz w:val="18"/>
              </w:rPr>
              <w:t>Runs affected</w:t>
            </w:r>
          </w:p>
        </w:tc>
        <w:tc>
          <w:tcPr>
            <w:tcW w:type="dxa" w:w="1758"/>
          </w:tcPr>
          <w:p>
            <w:pPr>
              <w:spacing w:after="0" w:line="240" w:lineRule="auto"/>
            </w:pPr>
            <w:r>
              <w:rPr>
                <w:b/>
                <w:sz w:val="18"/>
              </w:rPr>
              <w:t>Action</w:t>
            </w:r>
          </w:p>
        </w:tc>
      </w:tr>
      <w:tr>
        <w:tc>
          <w:tcPr>
            <w:tcW w:type="dxa" w:w="1758"/>
          </w:tcPr>
          <w:p>
            <w:pPr>
              <w:spacing w:after="0" w:line="240" w:lineRule="auto"/>
            </w:pPr>
            <w:r>
              <w:rPr>
                <w:b w:val="0"/>
                <w:sz w:val="18"/>
              </w:rPr>
              <w:t>1</w:t>
            </w:r>
          </w:p>
        </w:tc>
        <w:tc>
          <w:tcPr>
            <w:tcW w:type="dxa" w:w="1758"/>
          </w:tcPr>
          <w:p>
            <w:pPr>
              <w:spacing w:after="0" w:line="240" w:lineRule="auto"/>
            </w:pPr>
            <w:r>
              <w:rPr>
                <w:b w:val="0"/>
                <w:sz w:val="18"/>
              </w:rPr>
              <w:t>2026-09-26</w:t>
            </w:r>
          </w:p>
        </w:tc>
        <w:tc>
          <w:tcPr>
            <w:tcW w:type="dxa" w:w="1758"/>
          </w:tcPr>
          <w:p>
            <w:pPr>
              <w:spacing w:after="0" w:line="240" w:lineRule="auto"/>
            </w:pPr>
            <w:r>
              <w:rPr>
                <w:b w:val="0"/>
                <w:sz w:val="18"/>
              </w:rPr>
              <w:t>Absolute floor added to the latency rule</w:t>
            </w:r>
          </w:p>
        </w:tc>
        <w:tc>
          <w:tcPr>
            <w:tcW w:type="dxa" w:w="1758"/>
          </w:tcPr>
          <w:p>
            <w:pPr>
              <w:spacing w:after="0" w:line="240" w:lineRule="auto"/>
            </w:pPr>
            <w:r>
              <w:rPr>
                <w:b w:val="0"/>
                <w:sz w:val="18"/>
              </w:rPr>
              <w:t>3</w:t>
            </w:r>
          </w:p>
        </w:tc>
        <w:tc>
          <w:tcPr>
            <w:tcW w:type="dxa" w:w="1758"/>
          </w:tcPr>
          <w:p>
            <w:pPr>
              <w:spacing w:after="0" w:line="240" w:lineRule="auto"/>
            </w:pPr>
            <w:r>
              <w:rPr>
                <w:b w:val="0"/>
                <w:sz w:val="18"/>
              </w:rPr>
              <w:t>Floor added; rehearsal runs discarded</w:t>
            </w:r>
          </w:p>
        </w:tc>
      </w:tr>
      <w:tr>
        <w:tc>
          <w:tcPr>
            <w:tcW w:type="dxa" w:w="1758"/>
          </w:tcPr>
          <w:p>
            <w:pPr>
              <w:spacing w:after="0" w:line="240" w:lineRule="auto"/>
            </w:pPr>
            <w:r>
              <w:rPr>
                <w:b w:val="0"/>
                <w:sz w:val="18"/>
              </w:rPr>
              <w:t>2</w:t>
            </w:r>
          </w:p>
        </w:tc>
        <w:tc>
          <w:tcPr>
            <w:tcW w:type="dxa" w:w="1758"/>
          </w:tcPr>
          <w:p>
            <w:pPr>
              <w:spacing w:after="0" w:line="240" w:lineRule="auto"/>
            </w:pPr>
            <w:r>
              <w:rPr>
                <w:b w:val="0"/>
                <w:sz w:val="18"/>
              </w:rPr>
              <w:t>2026-09-26</w:t>
            </w:r>
          </w:p>
        </w:tc>
        <w:tc>
          <w:tcPr>
            <w:tcW w:type="dxa" w:w="1758"/>
          </w:tcPr>
          <w:p>
            <w:pPr>
              <w:spacing w:after="0" w:line="240" w:lineRule="auto"/>
            </w:pPr>
            <w:r>
              <w:rPr>
                <w:b w:val="0"/>
                <w:sz w:val="18"/>
              </w:rPr>
              <w:t>Wrong container targeted by a substring match</w:t>
            </w:r>
          </w:p>
        </w:tc>
        <w:tc>
          <w:tcPr>
            <w:tcW w:type="dxa" w:w="1758"/>
          </w:tcPr>
          <w:p>
            <w:pPr>
              <w:spacing w:after="0" w:line="240" w:lineRule="auto"/>
            </w:pPr>
            <w:r>
              <w:rPr>
                <w:b w:val="0"/>
                <w:sz w:val="18"/>
              </w:rPr>
              <w:t>3</w:t>
            </w:r>
          </w:p>
        </w:tc>
        <w:tc>
          <w:tcPr>
            <w:tcW w:type="dxa" w:w="1758"/>
          </w:tcPr>
          <w:p>
            <w:pPr>
              <w:spacing w:after="0" w:line="240" w:lineRule="auto"/>
            </w:pPr>
            <w:r>
              <w:rPr>
                <w:b w:val="0"/>
                <w:sz w:val="18"/>
              </w:rPr>
              <w:t>Exact label matching; affected runs collected again</w:t>
            </w:r>
          </w:p>
        </w:tc>
      </w:tr>
      <w:tr>
        <w:tc>
          <w:tcPr>
            <w:tcW w:type="dxa" w:w="1758"/>
          </w:tcPr>
          <w:p>
            <w:pPr>
              <w:spacing w:after="0" w:line="240" w:lineRule="auto"/>
            </w:pPr>
            <w:r>
              <w:rPr>
                <w:b w:val="0"/>
                <w:sz w:val="18"/>
              </w:rPr>
              <w:t>3</w:t>
            </w:r>
          </w:p>
        </w:tc>
        <w:tc>
          <w:tcPr>
            <w:tcW w:type="dxa" w:w="1758"/>
          </w:tcPr>
          <w:p>
            <w:pPr>
              <w:spacing w:after="0" w:line="240" w:lineRule="auto"/>
            </w:pPr>
            <w:r>
              <w:rPr>
                <w:b w:val="0"/>
                <w:sz w:val="18"/>
              </w:rPr>
              <w:t>2026-09-26</w:t>
            </w:r>
          </w:p>
        </w:tc>
        <w:tc>
          <w:tcPr>
            <w:tcW w:type="dxa" w:w="1758"/>
          </w:tcPr>
          <w:p>
            <w:pPr>
              <w:spacing w:after="0" w:line="240" w:lineRule="auto"/>
            </w:pPr>
            <w:r>
              <w:rPr>
                <w:b w:val="0"/>
                <w:sz w:val="18"/>
              </w:rPr>
              <w:t>Name mismatch stopped the campaign on a healthy stack</w:t>
            </w:r>
          </w:p>
        </w:tc>
        <w:tc>
          <w:tcPr>
            <w:tcW w:type="dxa" w:w="1758"/>
          </w:tcPr>
          <w:p>
            <w:pPr>
              <w:spacing w:after="0" w:line="240" w:lineRule="auto"/>
            </w:pPr>
            <w:r>
              <w:rPr>
                <w:b w:val="0"/>
                <w:sz w:val="18"/>
              </w:rPr>
              <w:t>0</w:t>
            </w:r>
          </w:p>
        </w:tc>
        <w:tc>
          <w:tcPr>
            <w:tcW w:type="dxa" w:w="1758"/>
          </w:tcPr>
          <w:p>
            <w:pPr>
              <w:spacing w:after="0" w:line="240" w:lineRule="auto"/>
            </w:pPr>
            <w:r>
              <w:rPr>
                <w:b w:val="0"/>
                <w:sz w:val="18"/>
              </w:rPr>
              <w:t>Stack check corrected; no data affected</w:t>
            </w:r>
          </w:p>
        </w:tc>
      </w:tr>
      <w:tr>
        <w:tc>
          <w:tcPr>
            <w:tcW w:type="dxa" w:w="1758"/>
          </w:tcPr>
          <w:p>
            <w:pPr>
              <w:spacing w:after="0" w:line="240" w:lineRule="auto"/>
            </w:pPr>
            <w:r>
              <w:rPr>
                <w:b w:val="0"/>
                <w:sz w:val="18"/>
              </w:rPr>
              <w:t>4</w:t>
            </w:r>
          </w:p>
        </w:tc>
        <w:tc>
          <w:tcPr>
            <w:tcW w:type="dxa" w:w="1758"/>
          </w:tcPr>
          <w:p>
            <w:pPr>
              <w:spacing w:after="0" w:line="240" w:lineRule="auto"/>
            </w:pPr>
            <w:r>
              <w:rPr>
                <w:b w:val="0"/>
                <w:sz w:val="18"/>
              </w:rPr>
              <w:t>2026-09-26</w:t>
            </w:r>
          </w:p>
        </w:tc>
        <w:tc>
          <w:tcPr>
            <w:tcW w:type="dxa" w:w="1758"/>
          </w:tcPr>
          <w:p>
            <w:pPr>
              <w:spacing w:after="0" w:line="240" w:lineRule="auto"/>
            </w:pPr>
            <w:r>
              <w:rPr>
                <w:b w:val="0"/>
                <w:sz w:val="18"/>
              </w:rPr>
              <w:t>Network-delay rule outlived its run</w:t>
            </w:r>
          </w:p>
        </w:tc>
        <w:tc>
          <w:tcPr>
            <w:tcW w:type="dxa" w:w="1758"/>
          </w:tcPr>
          <w:p>
            <w:pPr>
              <w:spacing w:after="0" w:line="240" w:lineRule="auto"/>
            </w:pPr>
            <w:r>
              <w:rPr>
                <w:b w:val="0"/>
                <w:sz w:val="18"/>
              </w:rPr>
              <w:t>11</w:t>
            </w:r>
          </w:p>
        </w:tc>
        <w:tc>
          <w:tcPr>
            <w:tcW w:type="dxa" w:w="1758"/>
          </w:tcPr>
          <w:p>
            <w:pPr>
              <w:spacing w:after="0" w:line="240" w:lineRule="auto"/>
            </w:pPr>
            <w:r>
              <w:rPr>
                <w:b w:val="0"/>
                <w:sz w:val="18"/>
              </w:rPr>
              <w:t>Affected runs collected again; container recreated after each latency run</w:t>
            </w:r>
          </w:p>
        </w:tc>
      </w:tr>
      <w:tr>
        <w:tc>
          <w:tcPr>
            <w:tcW w:type="dxa" w:w="1758"/>
          </w:tcPr>
          <w:p>
            <w:pPr>
              <w:spacing w:after="0" w:line="240" w:lineRule="auto"/>
            </w:pPr>
            <w:r>
              <w:rPr>
                <w:b w:val="0"/>
                <w:sz w:val="18"/>
              </w:rPr>
              <w:t>5</w:t>
            </w:r>
          </w:p>
        </w:tc>
        <w:tc>
          <w:tcPr>
            <w:tcW w:type="dxa" w:w="1758"/>
          </w:tcPr>
          <w:p>
            <w:pPr>
              <w:spacing w:after="0" w:line="240" w:lineRule="auto"/>
            </w:pPr>
            <w:r>
              <w:rPr>
                <w:b w:val="0"/>
                <w:sz w:val="18"/>
              </w:rPr>
              <w:t>2026-09-27</w:t>
            </w:r>
          </w:p>
        </w:tc>
        <w:tc>
          <w:tcPr>
            <w:tcW w:type="dxa" w:w="1758"/>
          </w:tcPr>
          <w:p>
            <w:pPr>
              <w:spacing w:after="0" w:line="240" w:lineRule="auto"/>
            </w:pPr>
            <w:r>
              <w:rPr>
                <w:b w:val="0"/>
                <w:sz w:val="18"/>
              </w:rPr>
              <w:t>Two choices the plan left open</w:t>
            </w:r>
          </w:p>
        </w:tc>
        <w:tc>
          <w:tcPr>
            <w:tcW w:type="dxa" w:w="1758"/>
          </w:tcPr>
          <w:p>
            <w:pPr>
              <w:spacing w:after="0" w:line="240" w:lineRule="auto"/>
            </w:pPr>
            <w:r>
              <w:rPr>
                <w:b w:val="0"/>
                <w:sz w:val="18"/>
              </w:rPr>
              <w:t>0</w:t>
            </w:r>
          </w:p>
        </w:tc>
        <w:tc>
          <w:tcPr>
            <w:tcW w:type="dxa" w:w="1758"/>
          </w:tcPr>
          <w:p>
            <w:pPr>
              <w:spacing w:after="0" w:line="240" w:lineRule="auto"/>
            </w:pPr>
            <w:r>
              <w:rPr>
                <w:b w:val="0"/>
                <w:sz w:val="18"/>
              </w:rPr>
              <w:t>Settled before the analysis was written</w:t>
            </w:r>
          </w:p>
        </w:tc>
      </w:tr>
      <w:tr>
        <w:tc>
          <w:tcPr>
            <w:tcW w:type="dxa" w:w="1758"/>
          </w:tcPr>
          <w:p>
            <w:pPr>
              <w:spacing w:after="0" w:line="240" w:lineRule="auto"/>
            </w:pPr>
            <w:r>
              <w:rPr>
                <w:b w:val="0"/>
                <w:sz w:val="18"/>
              </w:rPr>
              <w:t>6</w:t>
            </w:r>
          </w:p>
        </w:tc>
        <w:tc>
          <w:tcPr>
            <w:tcW w:type="dxa" w:w="1758"/>
          </w:tcPr>
          <w:p>
            <w:pPr>
              <w:spacing w:after="0" w:line="240" w:lineRule="auto"/>
            </w:pPr>
            <w:r>
              <w:rPr>
                <w:b w:val="0"/>
                <w:sz w:val="18"/>
              </w:rPr>
              <w:t>2026-09-27</w:t>
            </w:r>
          </w:p>
        </w:tc>
        <w:tc>
          <w:tcPr>
            <w:tcW w:type="dxa" w:w="1758"/>
          </w:tcPr>
          <w:p>
            <w:pPr>
              <w:spacing w:after="0" w:line="240" w:lineRule="auto"/>
            </w:pPr>
            <w:r>
              <w:rPr>
                <w:b w:val="0"/>
                <w:sz w:val="18"/>
              </w:rPr>
              <w:t>No run censored</w:t>
            </w:r>
          </w:p>
        </w:tc>
        <w:tc>
          <w:tcPr>
            <w:tcW w:type="dxa" w:w="1758"/>
          </w:tcPr>
          <w:p>
            <w:pPr>
              <w:spacing w:after="0" w:line="240" w:lineRule="auto"/>
            </w:pPr>
            <w:r>
              <w:rPr>
                <w:b w:val="0"/>
                <w:sz w:val="18"/>
              </w:rPr>
              <w:t>0</w:t>
            </w:r>
          </w:p>
        </w:tc>
        <w:tc>
          <w:tcPr>
            <w:tcW w:type="dxa" w:w="1758"/>
          </w:tcPr>
          <w:p>
            <w:pPr>
              <w:spacing w:after="0" w:line="240" w:lineRule="auto"/>
            </w:pPr>
            <w:r>
              <w:rPr>
                <w:b w:val="0"/>
                <w:sz w:val="18"/>
              </w:rPr>
              <w:t>Rank test made primary for recovery time as the plan required</w:t>
            </w:r>
          </w:p>
        </w:tc>
      </w:tr>
      <w:tr>
        <w:tc>
          <w:tcPr>
            <w:tcW w:type="dxa" w:w="1758"/>
          </w:tcPr>
          <w:p>
            <w:pPr>
              <w:spacing w:after="0" w:line="240" w:lineRule="auto"/>
            </w:pPr>
            <w:r>
              <w:rPr>
                <w:b w:val="0"/>
                <w:sz w:val="18"/>
              </w:rPr>
              <w:t>7</w:t>
            </w:r>
          </w:p>
        </w:tc>
        <w:tc>
          <w:tcPr>
            <w:tcW w:type="dxa" w:w="1758"/>
          </w:tcPr>
          <w:p>
            <w:pPr>
              <w:spacing w:after="0" w:line="240" w:lineRule="auto"/>
            </w:pPr>
            <w:r>
              <w:rPr>
                <w:b w:val="0"/>
                <w:sz w:val="18"/>
              </w:rPr>
              <w:t>2026-09-27</w:t>
            </w:r>
          </w:p>
        </w:tc>
        <w:tc>
          <w:tcPr>
            <w:tcW w:type="dxa" w:w="1758"/>
          </w:tcPr>
          <w:p>
            <w:pPr>
              <w:spacing w:after="0" w:line="240" w:lineRule="auto"/>
            </w:pPr>
            <w:r>
              <w:rPr>
                <w:b w:val="0"/>
                <w:sz w:val="18"/>
              </w:rPr>
              <w:t>Asymptotic p-value quoted in the plan</w:t>
            </w:r>
          </w:p>
        </w:tc>
        <w:tc>
          <w:tcPr>
            <w:tcW w:type="dxa" w:w="1758"/>
          </w:tcPr>
          <w:p>
            <w:pPr>
              <w:spacing w:after="0" w:line="240" w:lineRule="auto"/>
            </w:pPr>
            <w:r>
              <w:rPr>
                <w:b w:val="0"/>
                <w:sz w:val="18"/>
              </w:rPr>
              <w:t>0</w:t>
            </w:r>
          </w:p>
        </w:tc>
        <w:tc>
          <w:tcPr>
            <w:tcW w:type="dxa" w:w="1758"/>
          </w:tcPr>
          <w:p>
            <w:pPr>
              <w:spacing w:after="0" w:line="240" w:lineRule="auto"/>
            </w:pPr>
            <w:r>
              <w:rPr>
                <w:b w:val="0"/>
                <w:sz w:val="18"/>
              </w:rPr>
              <w:t>Exact value used</w:t>
            </w:r>
          </w:p>
        </w:tc>
      </w:tr>
      <w:tr>
        <w:tc>
          <w:tcPr>
            <w:tcW w:type="dxa" w:w="1758"/>
          </w:tcPr>
          <w:p>
            <w:pPr>
              <w:spacing w:after="0" w:line="240" w:lineRule="auto"/>
            </w:pPr>
            <w:r>
              <w:rPr>
                <w:b w:val="0"/>
                <w:sz w:val="18"/>
              </w:rPr>
              <w:t>8</w:t>
            </w:r>
          </w:p>
        </w:tc>
        <w:tc>
          <w:tcPr>
            <w:tcW w:type="dxa" w:w="1758"/>
          </w:tcPr>
          <w:p>
            <w:pPr>
              <w:spacing w:after="0" w:line="240" w:lineRule="auto"/>
            </w:pPr>
            <w:r>
              <w:rPr>
                <w:b w:val="0"/>
                <w:sz w:val="18"/>
              </w:rPr>
              <w:t>2026-09-27</w:t>
            </w:r>
          </w:p>
        </w:tc>
        <w:tc>
          <w:tcPr>
            <w:tcW w:type="dxa" w:w="1758"/>
          </w:tcPr>
          <w:p>
            <w:pPr>
              <w:spacing w:after="0" w:line="240" w:lineRule="auto"/>
            </w:pPr>
            <w:r>
              <w:rPr>
                <w:b w:val="0"/>
                <w:sz w:val="18"/>
              </w:rPr>
              <w:t>Statistical routines vectorised</w:t>
            </w:r>
          </w:p>
        </w:tc>
        <w:tc>
          <w:tcPr>
            <w:tcW w:type="dxa" w:w="1758"/>
          </w:tcPr>
          <w:p>
            <w:pPr>
              <w:spacing w:after="0" w:line="240" w:lineRule="auto"/>
            </w:pPr>
            <w:r>
              <w:rPr>
                <w:b w:val="0"/>
                <w:sz w:val="18"/>
              </w:rPr>
              <w:t>0</w:t>
            </w:r>
          </w:p>
        </w:tc>
        <w:tc>
          <w:tcPr>
            <w:tcW w:type="dxa" w:w="1758"/>
          </w:tcPr>
          <w:p>
            <w:pPr>
              <w:spacing w:after="0" w:line="240" w:lineRule="auto"/>
            </w:pPr>
            <w:r>
              <w:rPr>
                <w:b w:val="0"/>
                <w:sz w:val="18"/>
              </w:rPr>
              <w:t>Tested against the reference implementation</w:t>
            </w:r>
          </w:p>
        </w:tc>
      </w:tr>
      <w:tr>
        <w:tc>
          <w:tcPr>
            <w:tcW w:type="dxa" w:w="1758"/>
          </w:tcPr>
          <w:p>
            <w:pPr>
              <w:spacing w:after="0" w:line="240" w:lineRule="auto"/>
            </w:pPr>
            <w:r>
              <w:rPr>
                <w:b w:val="0"/>
                <w:sz w:val="18"/>
              </w:rPr>
              <w:t>9</w:t>
            </w:r>
          </w:p>
        </w:tc>
        <w:tc>
          <w:tcPr>
            <w:tcW w:type="dxa" w:w="1758"/>
          </w:tcPr>
          <w:p>
            <w:pPr>
              <w:spacing w:after="0" w:line="240" w:lineRule="auto"/>
            </w:pPr>
            <w:r>
              <w:rPr>
                <w:b w:val="0"/>
                <w:sz w:val="18"/>
              </w:rPr>
              <w:t>2026-09-28</w:t>
            </w:r>
          </w:p>
        </w:tc>
        <w:tc>
          <w:tcPr>
            <w:tcW w:type="dxa" w:w="1758"/>
          </w:tcPr>
          <w:p>
            <w:pPr>
              <w:spacing w:after="0" w:line="240" w:lineRule="auto"/>
            </w:pPr>
            <w:r>
              <w:rPr>
                <w:b w:val="0"/>
                <w:sz w:val="18"/>
              </w:rPr>
              <w:t>Exact p-values computed after the results</w:t>
            </w:r>
          </w:p>
        </w:tc>
        <w:tc>
          <w:tcPr>
            <w:tcW w:type="dxa" w:w="1758"/>
          </w:tcPr>
          <w:p>
            <w:pPr>
              <w:spacing w:after="0" w:line="240" w:lineRule="auto"/>
            </w:pPr>
            <w:r>
              <w:rPr>
                <w:b w:val="0"/>
                <w:sz w:val="18"/>
              </w:rPr>
              <w:t>0</w:t>
            </w:r>
          </w:p>
        </w:tc>
        <w:tc>
          <w:tcPr>
            <w:tcW w:type="dxa" w:w="1758"/>
          </w:tcPr>
          <w:p>
            <w:pPr>
              <w:spacing w:after="0" w:line="240" w:lineRule="auto"/>
            </w:pPr>
            <w:r>
              <w:rPr>
                <w:b w:val="0"/>
                <w:sz w:val="18"/>
              </w:rPr>
              <w:t>Reported as supplementary; verdict unchanged</w:t>
            </w:r>
          </w:p>
        </w:tc>
      </w:tr>
      <w:tr>
        <w:tc>
          <w:tcPr>
            <w:tcW w:type="dxa" w:w="1758"/>
          </w:tcPr>
          <w:p>
            <w:pPr>
              <w:spacing w:after="0" w:line="240" w:lineRule="auto"/>
            </w:pPr>
            <w:r>
              <w:rPr>
                <w:b w:val="0"/>
                <w:sz w:val="18"/>
              </w:rPr>
              <w:t>10</w:t>
            </w:r>
          </w:p>
        </w:tc>
        <w:tc>
          <w:tcPr>
            <w:tcW w:type="dxa" w:w="1758"/>
          </w:tcPr>
          <w:p>
            <w:pPr>
              <w:spacing w:after="0" w:line="240" w:lineRule="auto"/>
            </w:pPr>
            <w:r>
              <w:rPr>
                <w:b w:val="0"/>
                <w:sz w:val="18"/>
              </w:rPr>
              <w:t>2026-10-06</w:t>
            </w:r>
          </w:p>
        </w:tc>
        <w:tc>
          <w:tcPr>
            <w:tcW w:type="dxa" w:w="1758"/>
          </w:tcPr>
          <w:p>
            <w:pPr>
              <w:spacing w:after="0" w:line="240" w:lineRule="auto"/>
            </w:pPr>
            <w:r>
              <w:rPr>
                <w:b w:val="0"/>
                <w:sz w:val="18"/>
              </w:rPr>
              <w:t>Weight-tuning step not run</w:t>
            </w:r>
          </w:p>
        </w:tc>
        <w:tc>
          <w:tcPr>
            <w:tcW w:type="dxa" w:w="1758"/>
          </w:tcPr>
          <w:p>
            <w:pPr>
              <w:spacing w:after="0" w:line="240" w:lineRule="auto"/>
            </w:pPr>
            <w:r>
              <w:rPr>
                <w:b w:val="0"/>
                <w:sz w:val="18"/>
              </w:rPr>
              <w:t>0</w:t>
            </w:r>
          </w:p>
        </w:tc>
        <w:tc>
          <w:tcPr>
            <w:tcW w:type="dxa" w:w="1758"/>
          </w:tcPr>
          <w:p>
            <w:pPr>
              <w:spacing w:after="0" w:line="240" w:lineRule="auto"/>
            </w:pPr>
            <w:r>
              <w:rPr>
                <w:b w:val="0"/>
                <w:sz w:val="18"/>
              </w:rPr>
              <w:t>Inherited weights kept; not re-tuned</w:t>
            </w:r>
          </w:p>
        </w:tc>
      </w:tr>
      <w:tr>
        <w:tc>
          <w:tcPr>
            <w:tcW w:type="dxa" w:w="1758"/>
          </w:tcPr>
          <w:p>
            <w:pPr>
              <w:spacing w:after="0" w:line="240" w:lineRule="auto"/>
            </w:pPr>
            <w:r>
              <w:rPr>
                <w:b w:val="0"/>
                <w:sz w:val="18"/>
              </w:rPr>
              <w:t>11</w:t>
            </w:r>
          </w:p>
        </w:tc>
        <w:tc>
          <w:tcPr>
            <w:tcW w:type="dxa" w:w="1758"/>
          </w:tcPr>
          <w:p>
            <w:pPr>
              <w:spacing w:after="0" w:line="240" w:lineRule="auto"/>
            </w:pPr>
            <w:r>
              <w:rPr>
                <w:b w:val="0"/>
                <w:sz w:val="18"/>
              </w:rPr>
              <w:t>2026-10-06</w:t>
            </w:r>
          </w:p>
        </w:tc>
        <w:tc>
          <w:tcPr>
            <w:tcW w:type="dxa" w:w="1758"/>
          </w:tcPr>
          <w:p>
            <w:pPr>
              <w:spacing w:after="0" w:line="240" w:lineRule="auto"/>
            </w:pPr>
            <w:r>
              <w:rPr>
                <w:b w:val="0"/>
                <w:sz w:val="18"/>
              </w:rPr>
              <w:t>Social Network latency drew on all spans</w:t>
            </w:r>
          </w:p>
        </w:tc>
        <w:tc>
          <w:tcPr>
            <w:tcW w:type="dxa" w:w="1758"/>
          </w:tcPr>
          <w:p>
            <w:pPr>
              <w:spacing w:after="0" w:line="240" w:lineRule="auto"/>
            </w:pPr>
            <w:r>
              <w:rPr>
                <w:b w:val="0"/>
                <w:sz w:val="18"/>
              </w:rPr>
              <w:t>0</w:t>
            </w:r>
          </w:p>
        </w:tc>
        <w:tc>
          <w:tcPr>
            <w:tcW w:type="dxa" w:w="1758"/>
          </w:tcPr>
          <w:p>
            <w:pPr>
              <w:spacing w:after="0" w:line="240" w:lineRule="auto"/>
            </w:pPr>
            <w:r>
              <w:rPr>
                <w:b w:val="0"/>
                <w:sz w:val="18"/>
              </w:rPr>
              <w:t>Server-only replay; no service-level change</w:t>
            </w:r>
          </w:p>
        </w:tc>
      </w:tr>
      <w:tr>
        <w:tc>
          <w:tcPr>
            <w:tcW w:type="dxa" w:w="1758"/>
          </w:tcPr>
          <w:p>
            <w:pPr>
              <w:spacing w:after="0" w:line="240" w:lineRule="auto"/>
            </w:pPr>
            <w:r>
              <w:rPr>
                <w:b w:val="0"/>
                <w:sz w:val="18"/>
              </w:rPr>
              <w:t>12</w:t>
            </w:r>
          </w:p>
        </w:tc>
        <w:tc>
          <w:tcPr>
            <w:tcW w:type="dxa" w:w="1758"/>
          </w:tcPr>
          <w:p>
            <w:pPr>
              <w:spacing w:after="0" w:line="240" w:lineRule="auto"/>
            </w:pPr>
            <w:r>
              <w:rPr>
                <w:b w:val="0"/>
                <w:sz w:val="18"/>
              </w:rPr>
              <w:t>2026-10-06</w:t>
            </w:r>
          </w:p>
        </w:tc>
        <w:tc>
          <w:tcPr>
            <w:tcW w:type="dxa" w:w="1758"/>
          </w:tcPr>
          <w:p>
            <w:pPr>
              <w:spacing w:after="0" w:line="240" w:lineRule="auto"/>
            </w:pPr>
            <w:r>
              <w:rPr>
                <w:b w:val="0"/>
                <w:sz w:val="18"/>
              </w:rPr>
              <w:t>One latency run attempted twice</w:t>
            </w:r>
          </w:p>
        </w:tc>
        <w:tc>
          <w:tcPr>
            <w:tcW w:type="dxa" w:w="1758"/>
          </w:tcPr>
          <w:p>
            <w:pPr>
              <w:spacing w:after="0" w:line="240" w:lineRule="auto"/>
            </w:pPr>
            <w:r>
              <w:rPr>
                <w:b w:val="0"/>
                <w:sz w:val="18"/>
              </w:rPr>
              <w:t>0</w:t>
            </w:r>
          </w:p>
        </w:tc>
        <w:tc>
          <w:tcPr>
            <w:tcW w:type="dxa" w:w="1758"/>
          </w:tcPr>
          <w:p>
            <w:pPr>
              <w:spacing w:after="0" w:line="240" w:lineRule="auto"/>
            </w:pPr>
            <w:r>
              <w:rPr>
                <w:b w:val="0"/>
                <w:sz w:val="18"/>
              </w:rPr>
              <w:t>Only the completed attempt analysed</w:t>
            </w:r>
          </w:p>
        </w:tc>
      </w:tr>
      <w:tr>
        <w:tc>
          <w:tcPr>
            <w:tcW w:type="dxa" w:w="1758"/>
          </w:tcPr>
          <w:p>
            <w:pPr>
              <w:spacing w:after="0" w:line="240" w:lineRule="auto"/>
            </w:pPr>
            <w:r>
              <w:rPr>
                <w:b w:val="0"/>
                <w:sz w:val="18"/>
              </w:rPr>
              <w:t>13</w:t>
            </w:r>
          </w:p>
        </w:tc>
        <w:tc>
          <w:tcPr>
            <w:tcW w:type="dxa" w:w="1758"/>
          </w:tcPr>
          <w:p>
            <w:pPr>
              <w:spacing w:after="0" w:line="240" w:lineRule="auto"/>
            </w:pPr>
            <w:r>
              <w:rPr>
                <w:b w:val="0"/>
                <w:sz w:val="18"/>
              </w:rPr>
              <w:t>2026-10-20</w:t>
            </w:r>
          </w:p>
        </w:tc>
        <w:tc>
          <w:tcPr>
            <w:tcW w:type="dxa" w:w="1758"/>
          </w:tcPr>
          <w:p>
            <w:pPr>
              <w:spacing w:after="0" w:line="240" w:lineRule="auto"/>
            </w:pPr>
            <w:r>
              <w:rPr>
                <w:b w:val="0"/>
                <w:sz w:val="18"/>
              </w:rPr>
              <w:t>Baseline window includes the load ramp-up</w:t>
            </w:r>
          </w:p>
        </w:tc>
        <w:tc>
          <w:tcPr>
            <w:tcW w:type="dxa" w:w="1758"/>
          </w:tcPr>
          <w:p>
            <w:pPr>
              <w:spacing w:after="0" w:line="240" w:lineRule="auto"/>
            </w:pPr>
            <w:r>
              <w:rPr>
                <w:b w:val="0"/>
                <w:sz w:val="18"/>
              </w:rPr>
              <w:t>0</w:t>
            </w:r>
          </w:p>
        </w:tc>
        <w:tc>
          <w:tcPr>
            <w:tcW w:type="dxa" w:w="1758"/>
          </w:tcPr>
          <w:p>
            <w:pPr>
              <w:spacing w:after="0" w:line="240" w:lineRule="auto"/>
            </w:pPr>
            <w:r>
              <w:rPr>
                <w:b w:val="0"/>
                <w:sz w:val="18"/>
              </w:rPr>
              <w:t>Disclosed; baseline gate found no anomalies</w:t>
            </w:r>
          </w:p>
        </w:tc>
      </w:tr>
    </w:tbl>
    <w:p>
      <w:pPr>
        <w:spacing w:after="40"/>
      </w:pPr>
    </w:p>
    <w:p>
      <w:pPr>
        <w:pStyle w:val="Heading2"/>
      </w:pPr>
      <w:r>
        <w:t>5.2 Testing</w:t>
      </w:r>
    </w:p>
    <w:p>
      <w:pPr>
        <w:jc w:val="both"/>
      </w:pPr>
      <w:r>
        <w:t>Testing worked at several levels.</w:t>
      </w:r>
    </w:p>
    <w:p>
      <w:pPr>
        <w:jc w:val="both"/>
      </w:pPr>
      <w:r>
        <w:rPr>
          <w:b/>
        </w:rPr>
        <w:t>Unit tests.</w:t>
      </w:r>
      <w:r>
        <w:t xml:space="preserve"> The repository has a pytest suite covering the statistics, the degradation rule and per-service metrics, container resolution, the recovery probe, the structural metrics, the campaign runner and the report and reference builders. With the Docker-dependent integration tests deselected, 123 tests passed and 0 failed in the run made for this report; 23 integration tests need the live stacks and were not run.</w:t>
      </w:r>
    </w:p>
    <w:p>
      <w:pPr>
        <w:jc w:val="both"/>
      </w:pPr>
      <w:r>
        <w:rPr>
          <w:b/>
        </w:rPr>
        <w:t>Pre-analysis integrity gates.</w:t>
      </w:r>
      <w:r>
        <w:t xml:space="preserve"> Before any statistic was computed, one gate confirmed that every expected service was present in every run and another compared each run's fault-free baseline with all other runs using the median and the median absolute deviation. All 10 checks passed. These gates are what exposed Deviation 4, a delay rule that outlived its run.</w:t>
      </w:r>
    </w:p>
    <w:p>
      <w:pPr>
        <w:jc w:val="both"/>
      </w:pPr>
      <w:r>
        <w:rPr>
          <w:b/>
        </w:rPr>
        <w:t>Verification of the analysis.</w:t>
      </w:r>
      <w:r>
        <w:t xml:space="preserve"> An independent reimplementation of the primary statistic, written without reference to the analysis code and reading only the stored spans and the graph, reproduced the reported correlation and agreed on which services were affected in all 110 Social Network runs. A replay restricted to server spans changed 2 of 110 run outcomes and none of the service-level medians. A leave-one-out recomputation is reported with the results.</w:t>
      </w:r>
    </w:p>
    <w:p>
      <w:r>
        <w:br w:type="page"/>
      </w:r>
    </w:p>
    <w:p>
      <w:pPr>
        <w:spacing w:line="360" w:lineRule="auto" w:after="0"/>
        <w:jc w:val="center"/>
      </w:pPr>
      <w:r>
        <w:rPr>
          <w:b/>
          <w:sz w:val="28"/>
        </w:rPr>
        <w:t>CHAPTER 6</w:t>
      </w:r>
    </w:p>
    <w:p>
      <w:pPr>
        <w:pStyle w:val="Heading1"/>
      </w:pPr>
      <w:r>
        <w:t>6. PROJECT DEMONSTRATION</w:t>
      </w:r>
    </w:p>
    <w:p>
      <w:pPr>
        <w:jc w:val="both"/>
      </w:pPr>
      <w:r>
        <w:t>The project can be demonstrated in stages. The first needs only the repository and shows that every result follows from the logged data:</w:t>
      </w:r>
    </w:p>
    <w:p>
      <w:pPr>
        <w:pStyle w:val="ListBullet"/>
        <w:jc w:val="both"/>
      </w:pPr>
      <w:r>
        <w:rPr>
          <w:rFonts w:ascii="Courier New" w:hAnsi="Courier New"/>
          <w:sz w:val="22"/>
        </w:rPr>
        <w:t>python -m pytest -q -m "not integration"</w:t>
      </w:r>
      <w:r>
        <w:t xml:space="preserve"> runs the unit tests.</w:t>
      </w:r>
    </w:p>
    <w:p>
      <w:pPr>
        <w:pStyle w:val="ListBullet"/>
        <w:jc w:val="both"/>
      </w:pPr>
      <w:r>
        <w:rPr>
          <w:rFonts w:ascii="Courier New" w:hAnsi="Courier New"/>
          <w:sz w:val="22"/>
        </w:rPr>
        <w:t>python analysis/final/run_confirmatory_analysis.py</w:t>
      </w:r>
      <w:r>
        <w:t xml:space="preserve"> reruns the full preregistered analysis from the run records.</w:t>
      </w:r>
    </w:p>
    <w:p>
      <w:pPr>
        <w:pStyle w:val="ListBullet"/>
        <w:jc w:val="both"/>
      </w:pPr>
      <w:r>
        <w:rPr>
          <w:rFonts w:ascii="Courier New" w:hAnsi="Courier New"/>
          <w:sz w:val="22"/>
        </w:rPr>
        <w:t>python paper/build_all.py</w:t>
      </w:r>
      <w:r>
        <w:t xml:space="preserve"> regenerates </w:t>
      </w:r>
      <w:r>
        <w:rPr>
          <w:rFonts w:ascii="Courier New" w:hAnsi="Courier New"/>
          <w:sz w:val="22"/>
        </w:rPr>
        <w:t>paper/numbers.csv</w:t>
      </w:r>
      <w:r>
        <w:t>, the tables and the figures, and fails if any claim in the paper does not resolve to a row.</w:t>
      </w:r>
    </w:p>
    <w:p>
      <w:pPr>
        <w:jc w:val="both"/>
      </w:pPr>
      <w:r>
        <w:t>The second needs Docker and the DeathStarBench checkout, and shows the live experiment:</w:t>
      </w:r>
    </w:p>
    <w:p>
      <w:pPr>
        <w:pStyle w:val="ListBullet"/>
        <w:jc w:val="both"/>
      </w:pPr>
      <w:r>
        <w:rPr>
          <w:rFonts w:ascii="Courier New" w:hAnsi="Courier New"/>
          <w:sz w:val="22"/>
        </w:rPr>
        <w:t>python tools/run_campaign.py --status</w:t>
      </w:r>
      <w:r>
        <w:t xml:space="preserve"> shows the run manifest and which runs are pending.</w:t>
      </w:r>
    </w:p>
    <w:p>
      <w:pPr>
        <w:pStyle w:val="ListBullet"/>
        <w:jc w:val="both"/>
      </w:pPr>
      <w:r>
        <w:rPr>
          <w:rFonts w:ascii="Courier New" w:hAnsi="Courier New"/>
          <w:sz w:val="22"/>
        </w:rPr>
        <w:t>python tools/run_campaign.py --max-runs 1</w:t>
      </w:r>
      <w:r>
        <w:t xml:space="preserve"> executes one run: the load starts, the fault is applied to the target container, the degraded services are listed by relation, the recovery probe runs, and a run record is written to </w:t>
      </w:r>
      <w:r>
        <w:rPr>
          <w:rFonts w:ascii="Courier New" w:hAnsi="Courier New"/>
          <w:sz w:val="22"/>
        </w:rPr>
        <w:t>data/campaign/runs/</w:t>
      </w:r>
      <w:r>
        <w:t>.</w:t>
      </w:r>
    </w:p>
    <w:p>
      <w:pPr>
        <w:jc w:val="both"/>
      </w:pPr>
      <w:r>
        <w:t xml:space="preserve">Each row of </w:t>
      </w:r>
      <w:r>
        <w:rPr>
          <w:rFonts w:ascii="Courier New" w:hAnsi="Courier New"/>
          <w:sz w:val="22"/>
        </w:rPr>
        <w:t>paper/numbers.csv</w:t>
      </w:r>
      <w:r>
        <w:t xml:space="preserve"> names a claim, its value, its unit, the file it was read from and the script that produced it. This report is itself built the same way: </w:t>
      </w:r>
      <w:r>
        <w:rPr>
          <w:rFonts w:ascii="Courier New" w:hAnsi="Courier New"/>
          <w:sz w:val="22"/>
        </w:rPr>
        <w:t>python report/build_report.py</w:t>
      </w:r>
      <w:r>
        <w:t xml:space="preserve"> fills every number in the text from those rows and refuses to build if a number was typed by hand.</w:t>
      </w:r>
    </w:p>
    <w:p>
      <w:r>
        <w:br w:type="page"/>
      </w:r>
    </w:p>
    <w:p>
      <w:pPr>
        <w:spacing w:line="360" w:lineRule="auto" w:after="0"/>
        <w:jc w:val="center"/>
      </w:pPr>
      <w:r>
        <w:rPr>
          <w:b/>
          <w:sz w:val="28"/>
        </w:rPr>
        <w:t>CHAPTER 7</w:t>
      </w:r>
    </w:p>
    <w:p>
      <w:pPr>
        <w:pStyle w:val="Heading1"/>
      </w:pPr>
      <w:r>
        <w:t>7. RESULT AND DISCUSSION</w:t>
      </w:r>
    </w:p>
    <w:p>
      <w:pPr>
        <w:pStyle w:val="Heading2"/>
      </w:pPr>
      <w:r>
        <w:t>7.1 Campaign Completion</w:t>
      </w:r>
    </w:p>
    <w:p>
      <w:pPr>
        <w:jc w:val="both"/>
      </w:pPr>
      <w:r>
        <w:t>All 180 planned runs completed across 36 balanced cells, 110 on Social Network and 70 on Hotel Reservation. No run was lost to telemetry failure and no recovery time was censored. The campaign ran from 2026-09-26 05:02 to 2026-09-26 13:35 UTC. Table 5 lists the graph predictors and measured outcomes of the Social Network services.</w:t>
      </w:r>
    </w:p>
    <w:p>
      <w:pPr>
        <w:pStyle w:val="TableCaption"/>
      </w:pPr>
      <w:r>
        <w:t>Table 5. Graph predictors and measured outcomes, Social Network</w:t>
      </w:r>
    </w:p>
    <w:tbl>
      <w:tblPr>
        <w:tblStyle w:val="TableGrid"/>
        <w:tblW w:type="auto" w:w="0"/>
        <w:jc w:val="center"/>
        <w:tblLook w:firstColumn="1" w:firstRow="1" w:lastColumn="0" w:lastRow="0" w:noHBand="0" w:noVBand="1" w:val="04A0"/>
      </w:tblPr>
      <w:tblGrid>
        <w:gridCol w:w="879"/>
        <w:gridCol w:w="879"/>
        <w:gridCol w:w="879"/>
        <w:gridCol w:w="879"/>
        <w:gridCol w:w="879"/>
        <w:gridCol w:w="879"/>
        <w:gridCol w:w="879"/>
        <w:gridCol w:w="879"/>
        <w:gridCol w:w="879"/>
        <w:gridCol w:w="879"/>
      </w:tblGrid>
      <w:tr>
        <w:tc>
          <w:tcPr>
            <w:tcW w:type="dxa" w:w="879"/>
          </w:tcPr>
          <w:p>
            <w:pPr>
              <w:spacing w:after="0" w:line="240" w:lineRule="auto"/>
            </w:pPr>
            <w:r>
              <w:rPr>
                <w:b/>
                <w:sz w:val="16"/>
              </w:rPr>
              <w:t>Service</w:t>
            </w:r>
          </w:p>
        </w:tc>
        <w:tc>
          <w:tcPr>
            <w:tcW w:type="dxa" w:w="879"/>
          </w:tcPr>
          <w:p>
            <w:pPr>
              <w:spacing w:after="0" w:line="240" w:lineRule="auto"/>
            </w:pPr>
            <w:r>
              <w:rPr>
                <w:b/>
                <w:sz w:val="16"/>
              </w:rPr>
              <w:t>Ancestors</w:t>
            </w:r>
          </w:p>
        </w:tc>
        <w:tc>
          <w:tcPr>
            <w:tcW w:type="dxa" w:w="879"/>
          </w:tcPr>
          <w:p>
            <w:pPr>
              <w:spacing w:after="0" w:line="240" w:lineRule="auto"/>
            </w:pPr>
            <w:r>
              <w:rPr>
                <w:b/>
                <w:sz w:val="16"/>
              </w:rPr>
              <w:t>Descendants</w:t>
            </w:r>
          </w:p>
        </w:tc>
        <w:tc>
          <w:tcPr>
            <w:tcW w:type="dxa" w:w="879"/>
          </w:tcPr>
          <w:p>
            <w:pPr>
              <w:spacing w:after="0" w:line="240" w:lineRule="auto"/>
            </w:pPr>
            <w:r>
              <w:rPr>
                <w:b/>
                <w:sz w:val="16"/>
              </w:rPr>
              <w:t>In-degree</w:t>
            </w:r>
          </w:p>
        </w:tc>
        <w:tc>
          <w:tcPr>
            <w:tcW w:type="dxa" w:w="879"/>
          </w:tcPr>
          <w:p>
            <w:pPr>
              <w:spacing w:after="0" w:line="240" w:lineRule="auto"/>
            </w:pPr>
            <w:r>
              <w:rPr>
                <w:b/>
                <w:sz w:val="16"/>
              </w:rPr>
              <w:t>Out-degree</w:t>
            </w:r>
          </w:p>
        </w:tc>
        <w:tc>
          <w:tcPr>
            <w:tcW w:type="dxa" w:w="879"/>
          </w:tcPr>
          <w:p>
            <w:pPr>
              <w:spacing w:after="0" w:line="240" w:lineRule="auto"/>
            </w:pPr>
            <w:r>
              <w:rPr>
                <w:b/>
                <w:sz w:val="16"/>
              </w:rPr>
              <w:t>HC</w:t>
            </w:r>
          </w:p>
        </w:tc>
        <w:tc>
          <w:tcPr>
            <w:tcW w:type="dxa" w:w="879"/>
          </w:tcPr>
          <w:p>
            <w:pPr>
              <w:spacing w:after="0" w:line="240" w:lineRule="auto"/>
            </w:pPr>
            <w:r>
              <w:rPr>
                <w:b/>
                <w:sz w:val="16"/>
              </w:rPr>
              <w:t>Degraded ancestors (kill)</w:t>
            </w:r>
          </w:p>
        </w:tc>
        <w:tc>
          <w:tcPr>
            <w:tcW w:type="dxa" w:w="879"/>
          </w:tcPr>
          <w:p>
            <w:pPr>
              <w:spacing w:after="0" w:line="240" w:lineRule="auto"/>
            </w:pPr>
            <w:r>
              <w:rPr>
                <w:b/>
                <w:sz w:val="16"/>
              </w:rPr>
              <w:t>Degraded ancestors (latency)</w:t>
            </w:r>
          </w:p>
        </w:tc>
        <w:tc>
          <w:tcPr>
            <w:tcW w:type="dxa" w:w="879"/>
          </w:tcPr>
          <w:p>
            <w:pPr>
              <w:spacing w:after="0" w:line="240" w:lineRule="auto"/>
            </w:pPr>
            <w:r>
              <w:rPr>
                <w:b/>
                <w:i/>
                <w:sz w:val="16"/>
              </w:rPr>
              <w:t>T</w:t>
            </w:r>
            <w:r>
              <w:rPr>
                <w:b/>
                <w:sz w:val="16"/>
                <w:vertAlign w:val="subscript"/>
              </w:rPr>
              <w:t>rec</w:t>
            </w:r>
            <w:r>
              <w:rPr>
                <w:b/>
                <w:sz w:val="16"/>
              </w:rPr>
              <w:t xml:space="preserve"> kill (s)</w:t>
            </w:r>
          </w:p>
        </w:tc>
        <w:tc>
          <w:tcPr>
            <w:tcW w:type="dxa" w:w="879"/>
          </w:tcPr>
          <w:p>
            <w:pPr>
              <w:spacing w:after="0" w:line="240" w:lineRule="auto"/>
            </w:pPr>
            <w:r>
              <w:rPr>
                <w:b/>
                <w:i/>
                <w:sz w:val="16"/>
              </w:rPr>
              <w:t>T</w:t>
            </w:r>
            <w:r>
              <w:rPr>
                <w:b/>
                <w:sz w:val="16"/>
                <w:vertAlign w:val="subscript"/>
              </w:rPr>
              <w:t>rec</w:t>
            </w:r>
            <w:r>
              <w:rPr>
                <w:b/>
                <w:sz w:val="16"/>
              </w:rPr>
              <w:t xml:space="preserve"> latency (s)</w:t>
            </w:r>
          </w:p>
        </w:tc>
      </w:tr>
      <w:tr>
        <w:tc>
          <w:tcPr>
            <w:tcW w:type="dxa" w:w="879"/>
          </w:tcPr>
          <w:p>
            <w:pPr>
              <w:spacing w:after="0" w:line="240" w:lineRule="auto"/>
            </w:pPr>
            <w:r>
              <w:rPr>
                <w:b w:val="0"/>
                <w:sz w:val="16"/>
              </w:rPr>
              <w:t>post-storage-service</w:t>
            </w:r>
          </w:p>
        </w:tc>
        <w:tc>
          <w:tcPr>
            <w:tcW w:type="dxa" w:w="879"/>
          </w:tcPr>
          <w:p>
            <w:pPr>
              <w:spacing w:after="0" w:line="240" w:lineRule="auto"/>
            </w:pPr>
            <w:r>
              <w:rPr>
                <w:b w:val="0"/>
                <w:sz w:val="16"/>
              </w:rPr>
              <w:t>4</w:t>
            </w:r>
          </w:p>
        </w:tc>
        <w:tc>
          <w:tcPr>
            <w:tcW w:type="dxa" w:w="879"/>
          </w:tcPr>
          <w:p>
            <w:pPr>
              <w:spacing w:after="0" w:line="240" w:lineRule="auto"/>
            </w:pPr>
            <w:r>
              <w:rPr>
                <w:b w:val="0"/>
                <w:sz w:val="16"/>
              </w:rPr>
              <w:t>0</w:t>
            </w:r>
          </w:p>
        </w:tc>
        <w:tc>
          <w:tcPr>
            <w:tcW w:type="dxa" w:w="879"/>
          </w:tcPr>
          <w:p>
            <w:pPr>
              <w:spacing w:after="0" w:line="240" w:lineRule="auto"/>
            </w:pPr>
            <w:r>
              <w:rPr>
                <w:b w:val="0"/>
                <w:sz w:val="16"/>
              </w:rPr>
              <w:t>3</w:t>
            </w:r>
          </w:p>
        </w:tc>
        <w:tc>
          <w:tcPr>
            <w:tcW w:type="dxa" w:w="879"/>
          </w:tcPr>
          <w:p>
            <w:pPr>
              <w:spacing w:after="0" w:line="240" w:lineRule="auto"/>
            </w:pPr>
            <w:r>
              <w:rPr>
                <w:b w:val="0"/>
                <w:sz w:val="16"/>
              </w:rPr>
              <w:t>0</w:t>
            </w:r>
          </w:p>
        </w:tc>
        <w:tc>
          <w:tcPr>
            <w:tcW w:type="dxa" w:w="879"/>
          </w:tcPr>
          <w:p>
            <w:pPr>
              <w:spacing w:after="0" w:line="240" w:lineRule="auto"/>
            </w:pPr>
            <w:r>
              <w:rPr>
                <w:b w:val="0"/>
                <w:sz w:val="16"/>
              </w:rPr>
              <w:t>0.109</w:t>
            </w:r>
          </w:p>
        </w:tc>
        <w:tc>
          <w:tcPr>
            <w:tcW w:type="dxa" w:w="879"/>
          </w:tcPr>
          <w:p>
            <w:pPr>
              <w:spacing w:after="0" w:line="240" w:lineRule="auto"/>
            </w:pPr>
            <w:r>
              <w:rPr>
                <w:b w:val="0"/>
                <w:sz w:val="16"/>
              </w:rPr>
              <w:t>4</w:t>
            </w:r>
          </w:p>
        </w:tc>
        <w:tc>
          <w:tcPr>
            <w:tcW w:type="dxa" w:w="879"/>
          </w:tcPr>
          <w:p>
            <w:pPr>
              <w:spacing w:after="0" w:line="240" w:lineRule="auto"/>
            </w:pPr>
            <w:r>
              <w:rPr>
                <w:b w:val="0"/>
                <w:sz w:val="16"/>
              </w:rPr>
              <w:t>4</w:t>
            </w:r>
          </w:p>
        </w:tc>
        <w:tc>
          <w:tcPr>
            <w:tcW w:type="dxa" w:w="879"/>
          </w:tcPr>
          <w:p>
            <w:pPr>
              <w:spacing w:after="0" w:line="240" w:lineRule="auto"/>
            </w:pPr>
            <w:r>
              <w:rPr>
                <w:b w:val="0"/>
                <w:sz w:val="16"/>
              </w:rPr>
              <w:t>15.3</w:t>
            </w:r>
          </w:p>
        </w:tc>
        <w:tc>
          <w:tcPr>
            <w:tcW w:type="dxa" w:w="879"/>
          </w:tcPr>
          <w:p>
            <w:pPr>
              <w:spacing w:after="0" w:line="240" w:lineRule="auto"/>
            </w:pPr>
            <w:r>
              <w:rPr>
                <w:b w:val="0"/>
                <w:sz w:val="16"/>
              </w:rPr>
              <w:t>15.4</w:t>
            </w:r>
          </w:p>
        </w:tc>
      </w:tr>
      <w:tr>
        <w:tc>
          <w:tcPr>
            <w:tcW w:type="dxa" w:w="879"/>
          </w:tcPr>
          <w:p>
            <w:pPr>
              <w:spacing w:after="0" w:line="240" w:lineRule="auto"/>
            </w:pPr>
            <w:r>
              <w:rPr>
                <w:b w:val="0"/>
                <w:sz w:val="16"/>
              </w:rPr>
              <w:t>user-service</w:t>
            </w:r>
          </w:p>
        </w:tc>
        <w:tc>
          <w:tcPr>
            <w:tcW w:type="dxa" w:w="879"/>
          </w:tcPr>
          <w:p>
            <w:pPr>
              <w:spacing w:after="0" w:line="240" w:lineRule="auto"/>
            </w:pPr>
            <w:r>
              <w:rPr>
                <w:b w:val="0"/>
                <w:sz w:val="16"/>
              </w:rPr>
              <w:t>4</w:t>
            </w:r>
          </w:p>
        </w:tc>
        <w:tc>
          <w:tcPr>
            <w:tcW w:type="dxa" w:w="879"/>
          </w:tcPr>
          <w:p>
            <w:pPr>
              <w:spacing w:after="0" w:line="240" w:lineRule="auto"/>
            </w:pPr>
            <w:r>
              <w:rPr>
                <w:b w:val="0"/>
                <w:sz w:val="16"/>
              </w:rPr>
              <w:t>0</w:t>
            </w:r>
          </w:p>
        </w:tc>
        <w:tc>
          <w:tcPr>
            <w:tcW w:type="dxa" w:w="879"/>
          </w:tcPr>
          <w:p>
            <w:pPr>
              <w:spacing w:after="0" w:line="240" w:lineRule="auto"/>
            </w:pPr>
            <w:r>
              <w:rPr>
                <w:b w:val="0"/>
                <w:sz w:val="16"/>
              </w:rPr>
              <w:t>2</w:t>
            </w:r>
          </w:p>
        </w:tc>
        <w:tc>
          <w:tcPr>
            <w:tcW w:type="dxa" w:w="879"/>
          </w:tcPr>
          <w:p>
            <w:pPr>
              <w:spacing w:after="0" w:line="240" w:lineRule="auto"/>
            </w:pPr>
            <w:r>
              <w:rPr>
                <w:b w:val="0"/>
                <w:sz w:val="16"/>
              </w:rPr>
              <w:t>0</w:t>
            </w:r>
          </w:p>
        </w:tc>
        <w:tc>
          <w:tcPr>
            <w:tcW w:type="dxa" w:w="879"/>
          </w:tcPr>
          <w:p>
            <w:pPr>
              <w:spacing w:after="0" w:line="240" w:lineRule="auto"/>
            </w:pPr>
            <w:r>
              <w:rPr>
                <w:b w:val="0"/>
                <w:sz w:val="16"/>
              </w:rPr>
              <w:t>0.073</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14.5</w:t>
            </w:r>
          </w:p>
        </w:tc>
        <w:tc>
          <w:tcPr>
            <w:tcW w:type="dxa" w:w="879"/>
          </w:tcPr>
          <w:p>
            <w:pPr>
              <w:spacing w:after="0" w:line="240" w:lineRule="auto"/>
            </w:pPr>
            <w:r>
              <w:rPr>
                <w:b w:val="0"/>
                <w:sz w:val="16"/>
              </w:rPr>
              <w:t>14.8</w:t>
            </w:r>
          </w:p>
        </w:tc>
      </w:tr>
      <w:tr>
        <w:tc>
          <w:tcPr>
            <w:tcW w:type="dxa" w:w="879"/>
          </w:tcPr>
          <w:p>
            <w:pPr>
              <w:spacing w:after="0" w:line="240" w:lineRule="auto"/>
            </w:pPr>
            <w:r>
              <w:rPr>
                <w:b w:val="0"/>
                <w:sz w:val="16"/>
              </w:rPr>
              <w:t>social-graph-service</w:t>
            </w:r>
          </w:p>
        </w:tc>
        <w:tc>
          <w:tcPr>
            <w:tcW w:type="dxa" w:w="879"/>
          </w:tcPr>
          <w:p>
            <w:pPr>
              <w:spacing w:after="0" w:line="240" w:lineRule="auto"/>
            </w:pPr>
            <w:r>
              <w:rPr>
                <w:b w:val="0"/>
                <w:sz w:val="16"/>
              </w:rPr>
              <w:t>3</w:t>
            </w:r>
          </w:p>
        </w:tc>
        <w:tc>
          <w:tcPr>
            <w:tcW w:type="dxa" w:w="879"/>
          </w:tcPr>
          <w:p>
            <w:pPr>
              <w:spacing w:after="0" w:line="240" w:lineRule="auto"/>
            </w:pPr>
            <w:r>
              <w:rPr>
                <w:b w:val="0"/>
                <w:sz w:val="16"/>
              </w:rPr>
              <w:t>1</w:t>
            </w:r>
          </w:p>
        </w:tc>
        <w:tc>
          <w:tcPr>
            <w:tcW w:type="dxa" w:w="879"/>
          </w:tcPr>
          <w:p>
            <w:pPr>
              <w:spacing w:after="0" w:line="240" w:lineRule="auto"/>
            </w:pPr>
            <w:r>
              <w:rPr>
                <w:b w:val="0"/>
                <w:sz w:val="16"/>
              </w:rPr>
              <w:t>2</w:t>
            </w:r>
          </w:p>
        </w:tc>
        <w:tc>
          <w:tcPr>
            <w:tcW w:type="dxa" w:w="879"/>
          </w:tcPr>
          <w:p>
            <w:pPr>
              <w:spacing w:after="0" w:line="240" w:lineRule="auto"/>
            </w:pPr>
            <w:r>
              <w:rPr>
                <w:b w:val="0"/>
                <w:sz w:val="16"/>
              </w:rPr>
              <w:t>1</w:t>
            </w:r>
          </w:p>
        </w:tc>
        <w:tc>
          <w:tcPr>
            <w:tcW w:type="dxa" w:w="879"/>
          </w:tcPr>
          <w:p>
            <w:pPr>
              <w:spacing w:after="0" w:line="240" w:lineRule="auto"/>
            </w:pPr>
            <w:r>
              <w:rPr>
                <w:b w:val="0"/>
                <w:sz w:val="16"/>
              </w:rPr>
              <w:t>0.081</w:t>
            </w:r>
          </w:p>
        </w:tc>
        <w:tc>
          <w:tcPr>
            <w:tcW w:type="dxa" w:w="879"/>
          </w:tcPr>
          <w:p>
            <w:pPr>
              <w:spacing w:after="0" w:line="240" w:lineRule="auto"/>
            </w:pPr>
            <w:r>
              <w:rPr>
                <w:b w:val="0"/>
                <w:sz w:val="16"/>
              </w:rPr>
              <w:t>3</w:t>
            </w:r>
          </w:p>
        </w:tc>
        <w:tc>
          <w:tcPr>
            <w:tcW w:type="dxa" w:w="879"/>
          </w:tcPr>
          <w:p>
            <w:pPr>
              <w:spacing w:after="0" w:line="240" w:lineRule="auto"/>
            </w:pPr>
            <w:r>
              <w:rPr>
                <w:b w:val="0"/>
                <w:sz w:val="16"/>
              </w:rPr>
              <w:t>3</w:t>
            </w:r>
          </w:p>
        </w:tc>
        <w:tc>
          <w:tcPr>
            <w:tcW w:type="dxa" w:w="879"/>
          </w:tcPr>
          <w:p>
            <w:pPr>
              <w:spacing w:after="0" w:line="240" w:lineRule="auto"/>
            </w:pPr>
            <w:r>
              <w:rPr>
                <w:b w:val="0"/>
                <w:sz w:val="16"/>
              </w:rPr>
              <w:t>15.0</w:t>
            </w:r>
          </w:p>
        </w:tc>
        <w:tc>
          <w:tcPr>
            <w:tcW w:type="dxa" w:w="879"/>
          </w:tcPr>
          <w:p>
            <w:pPr>
              <w:spacing w:after="0" w:line="240" w:lineRule="auto"/>
            </w:pPr>
            <w:r>
              <w:rPr>
                <w:b w:val="0"/>
                <w:sz w:val="16"/>
              </w:rPr>
              <w:t>15.4</w:t>
            </w:r>
          </w:p>
        </w:tc>
      </w:tr>
      <w:tr>
        <w:tc>
          <w:tcPr>
            <w:tcW w:type="dxa" w:w="879"/>
          </w:tcPr>
          <w:p>
            <w:pPr>
              <w:spacing w:after="0" w:line="240" w:lineRule="auto"/>
            </w:pPr>
            <w:r>
              <w:rPr>
                <w:b w:val="0"/>
                <w:sz w:val="16"/>
              </w:rPr>
              <w:t>url-shorten-service</w:t>
            </w:r>
          </w:p>
        </w:tc>
        <w:tc>
          <w:tcPr>
            <w:tcW w:type="dxa" w:w="879"/>
          </w:tcPr>
          <w:p>
            <w:pPr>
              <w:spacing w:after="0" w:line="240" w:lineRule="auto"/>
            </w:pPr>
            <w:r>
              <w:rPr>
                <w:b w:val="0"/>
                <w:sz w:val="16"/>
              </w:rPr>
              <w:t>3</w:t>
            </w:r>
          </w:p>
        </w:tc>
        <w:tc>
          <w:tcPr>
            <w:tcW w:type="dxa" w:w="879"/>
          </w:tcPr>
          <w:p>
            <w:pPr>
              <w:spacing w:after="0" w:line="240" w:lineRule="auto"/>
            </w:pPr>
            <w:r>
              <w:rPr>
                <w:b w:val="0"/>
                <w:sz w:val="16"/>
              </w:rPr>
              <w:t>0</w:t>
            </w:r>
          </w:p>
        </w:tc>
        <w:tc>
          <w:tcPr>
            <w:tcW w:type="dxa" w:w="879"/>
          </w:tcPr>
          <w:p>
            <w:pPr>
              <w:spacing w:after="0" w:line="240" w:lineRule="auto"/>
            </w:pPr>
            <w:r>
              <w:rPr>
                <w:b w:val="0"/>
                <w:sz w:val="16"/>
              </w:rPr>
              <w:t>1</w:t>
            </w:r>
          </w:p>
        </w:tc>
        <w:tc>
          <w:tcPr>
            <w:tcW w:type="dxa" w:w="879"/>
          </w:tcPr>
          <w:p>
            <w:pPr>
              <w:spacing w:after="0" w:line="240" w:lineRule="auto"/>
            </w:pPr>
            <w:r>
              <w:rPr>
                <w:b w:val="0"/>
                <w:sz w:val="16"/>
              </w:rPr>
              <w:t>0</w:t>
            </w:r>
          </w:p>
        </w:tc>
        <w:tc>
          <w:tcPr>
            <w:tcW w:type="dxa" w:w="879"/>
          </w:tcPr>
          <w:p>
            <w:pPr>
              <w:spacing w:after="0" w:line="240" w:lineRule="auto"/>
            </w:pPr>
            <w:r>
              <w:rPr>
                <w:b w:val="0"/>
                <w:sz w:val="16"/>
              </w:rPr>
              <w:t>0.036</w:t>
            </w:r>
          </w:p>
        </w:tc>
        <w:tc>
          <w:tcPr>
            <w:tcW w:type="dxa" w:w="879"/>
          </w:tcPr>
          <w:p>
            <w:pPr>
              <w:spacing w:after="0" w:line="240" w:lineRule="auto"/>
            </w:pPr>
            <w:r>
              <w:rPr>
                <w:b w:val="0"/>
                <w:sz w:val="16"/>
              </w:rPr>
              <w:t>3</w:t>
            </w:r>
          </w:p>
        </w:tc>
        <w:tc>
          <w:tcPr>
            <w:tcW w:type="dxa" w:w="879"/>
          </w:tcPr>
          <w:p>
            <w:pPr>
              <w:spacing w:after="0" w:line="240" w:lineRule="auto"/>
            </w:pPr>
            <w:r>
              <w:rPr>
                <w:b w:val="0"/>
                <w:sz w:val="16"/>
              </w:rPr>
              <w:t>3</w:t>
            </w:r>
          </w:p>
        </w:tc>
        <w:tc>
          <w:tcPr>
            <w:tcW w:type="dxa" w:w="879"/>
          </w:tcPr>
          <w:p>
            <w:pPr>
              <w:spacing w:after="0" w:line="240" w:lineRule="auto"/>
            </w:pPr>
            <w:r>
              <w:rPr>
                <w:b w:val="0"/>
                <w:sz w:val="16"/>
              </w:rPr>
              <w:t>16.1</w:t>
            </w:r>
          </w:p>
        </w:tc>
        <w:tc>
          <w:tcPr>
            <w:tcW w:type="dxa" w:w="879"/>
          </w:tcPr>
          <w:p>
            <w:pPr>
              <w:spacing w:after="0" w:line="240" w:lineRule="auto"/>
            </w:pPr>
            <w:r>
              <w:rPr>
                <w:b w:val="0"/>
                <w:sz w:val="16"/>
              </w:rPr>
              <w:t>15.2</w:t>
            </w:r>
          </w:p>
        </w:tc>
      </w:tr>
      <w:tr>
        <w:tc>
          <w:tcPr>
            <w:tcW w:type="dxa" w:w="879"/>
          </w:tcPr>
          <w:p>
            <w:pPr>
              <w:spacing w:after="0" w:line="240" w:lineRule="auto"/>
            </w:pPr>
            <w:r>
              <w:rPr>
                <w:b w:val="0"/>
                <w:sz w:val="16"/>
              </w:rPr>
              <w:t>user-mention-service</w:t>
            </w:r>
          </w:p>
        </w:tc>
        <w:tc>
          <w:tcPr>
            <w:tcW w:type="dxa" w:w="879"/>
          </w:tcPr>
          <w:p>
            <w:pPr>
              <w:spacing w:after="0" w:line="240" w:lineRule="auto"/>
            </w:pPr>
            <w:r>
              <w:rPr>
                <w:b w:val="0"/>
                <w:sz w:val="16"/>
              </w:rPr>
              <w:t>3</w:t>
            </w:r>
          </w:p>
        </w:tc>
        <w:tc>
          <w:tcPr>
            <w:tcW w:type="dxa" w:w="879"/>
          </w:tcPr>
          <w:p>
            <w:pPr>
              <w:spacing w:after="0" w:line="240" w:lineRule="auto"/>
            </w:pPr>
            <w:r>
              <w:rPr>
                <w:b w:val="0"/>
                <w:sz w:val="16"/>
              </w:rPr>
              <w:t>0</w:t>
            </w:r>
          </w:p>
        </w:tc>
        <w:tc>
          <w:tcPr>
            <w:tcW w:type="dxa" w:w="879"/>
          </w:tcPr>
          <w:p>
            <w:pPr>
              <w:spacing w:after="0" w:line="240" w:lineRule="auto"/>
            </w:pPr>
            <w:r>
              <w:rPr>
                <w:b w:val="0"/>
                <w:sz w:val="16"/>
              </w:rPr>
              <w:t>1</w:t>
            </w:r>
          </w:p>
        </w:tc>
        <w:tc>
          <w:tcPr>
            <w:tcW w:type="dxa" w:w="879"/>
          </w:tcPr>
          <w:p>
            <w:pPr>
              <w:spacing w:after="0" w:line="240" w:lineRule="auto"/>
            </w:pPr>
            <w:r>
              <w:rPr>
                <w:b w:val="0"/>
                <w:sz w:val="16"/>
              </w:rPr>
              <w:t>0</w:t>
            </w:r>
          </w:p>
        </w:tc>
        <w:tc>
          <w:tcPr>
            <w:tcW w:type="dxa" w:w="879"/>
          </w:tcPr>
          <w:p>
            <w:pPr>
              <w:spacing w:after="0" w:line="240" w:lineRule="auto"/>
            </w:pPr>
            <w:r>
              <w:rPr>
                <w:b w:val="0"/>
                <w:sz w:val="16"/>
              </w:rPr>
              <w:t>0.036</w:t>
            </w:r>
          </w:p>
        </w:tc>
        <w:tc>
          <w:tcPr>
            <w:tcW w:type="dxa" w:w="879"/>
          </w:tcPr>
          <w:p>
            <w:pPr>
              <w:spacing w:after="0" w:line="240" w:lineRule="auto"/>
            </w:pPr>
            <w:r>
              <w:rPr>
                <w:b w:val="0"/>
                <w:sz w:val="16"/>
              </w:rPr>
              <w:t>3</w:t>
            </w:r>
          </w:p>
        </w:tc>
        <w:tc>
          <w:tcPr>
            <w:tcW w:type="dxa" w:w="879"/>
          </w:tcPr>
          <w:p>
            <w:pPr>
              <w:spacing w:after="0" w:line="240" w:lineRule="auto"/>
            </w:pPr>
            <w:r>
              <w:rPr>
                <w:b w:val="0"/>
                <w:sz w:val="16"/>
              </w:rPr>
              <w:t>3</w:t>
            </w:r>
          </w:p>
        </w:tc>
        <w:tc>
          <w:tcPr>
            <w:tcW w:type="dxa" w:w="879"/>
          </w:tcPr>
          <w:p>
            <w:pPr>
              <w:spacing w:after="0" w:line="240" w:lineRule="auto"/>
            </w:pPr>
            <w:r>
              <w:rPr>
                <w:b w:val="0"/>
                <w:sz w:val="16"/>
              </w:rPr>
              <w:t>14.5</w:t>
            </w:r>
          </w:p>
        </w:tc>
        <w:tc>
          <w:tcPr>
            <w:tcW w:type="dxa" w:w="879"/>
          </w:tcPr>
          <w:p>
            <w:pPr>
              <w:spacing w:after="0" w:line="240" w:lineRule="auto"/>
            </w:pPr>
            <w:r>
              <w:rPr>
                <w:b w:val="0"/>
                <w:sz w:val="16"/>
              </w:rPr>
              <w:t>14.4</w:t>
            </w:r>
          </w:p>
        </w:tc>
      </w:tr>
      <w:tr>
        <w:tc>
          <w:tcPr>
            <w:tcW w:type="dxa" w:w="879"/>
          </w:tcPr>
          <w:p>
            <w:pPr>
              <w:spacing w:after="0" w:line="240" w:lineRule="auto"/>
            </w:pPr>
            <w:r>
              <w:rPr>
                <w:b w:val="0"/>
                <w:sz w:val="16"/>
              </w:rPr>
              <w:t>home-timeline-service</w:t>
            </w:r>
          </w:p>
        </w:tc>
        <w:tc>
          <w:tcPr>
            <w:tcW w:type="dxa" w:w="879"/>
          </w:tcPr>
          <w:p>
            <w:pPr>
              <w:spacing w:after="0" w:line="240" w:lineRule="auto"/>
            </w:pPr>
            <w:r>
              <w:rPr>
                <w:b w:val="0"/>
                <w:sz w:val="16"/>
              </w:rPr>
              <w:t>2</w:t>
            </w:r>
          </w:p>
        </w:tc>
        <w:tc>
          <w:tcPr>
            <w:tcW w:type="dxa" w:w="879"/>
          </w:tcPr>
          <w:p>
            <w:pPr>
              <w:spacing w:after="0" w:line="240" w:lineRule="auto"/>
            </w:pPr>
            <w:r>
              <w:rPr>
                <w:b w:val="0"/>
                <w:sz w:val="16"/>
              </w:rPr>
              <w:t>3</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0.096</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15.4</w:t>
            </w:r>
          </w:p>
        </w:tc>
        <w:tc>
          <w:tcPr>
            <w:tcW w:type="dxa" w:w="879"/>
          </w:tcPr>
          <w:p>
            <w:pPr>
              <w:spacing w:after="0" w:line="240" w:lineRule="auto"/>
            </w:pPr>
            <w:r>
              <w:rPr>
                <w:b w:val="0"/>
                <w:sz w:val="16"/>
              </w:rPr>
              <w:t>15.6</w:t>
            </w:r>
          </w:p>
        </w:tc>
      </w:tr>
      <w:tr>
        <w:tc>
          <w:tcPr>
            <w:tcW w:type="dxa" w:w="879"/>
          </w:tcPr>
          <w:p>
            <w:pPr>
              <w:spacing w:after="0" w:line="240" w:lineRule="auto"/>
            </w:pPr>
            <w:r>
              <w:rPr>
                <w:b w:val="0"/>
                <w:sz w:val="16"/>
              </w:rPr>
              <w:t>media-service</w:t>
            </w:r>
          </w:p>
        </w:tc>
        <w:tc>
          <w:tcPr>
            <w:tcW w:type="dxa" w:w="879"/>
          </w:tcPr>
          <w:p>
            <w:pPr>
              <w:spacing w:after="0" w:line="240" w:lineRule="auto"/>
            </w:pPr>
            <w:r>
              <w:rPr>
                <w:b w:val="0"/>
                <w:sz w:val="16"/>
              </w:rPr>
              <w:t>2</w:t>
            </w:r>
          </w:p>
        </w:tc>
        <w:tc>
          <w:tcPr>
            <w:tcW w:type="dxa" w:w="879"/>
          </w:tcPr>
          <w:p>
            <w:pPr>
              <w:spacing w:after="0" w:line="240" w:lineRule="auto"/>
            </w:pPr>
            <w:r>
              <w:rPr>
                <w:b w:val="0"/>
                <w:sz w:val="16"/>
              </w:rPr>
              <w:t>0</w:t>
            </w:r>
          </w:p>
        </w:tc>
        <w:tc>
          <w:tcPr>
            <w:tcW w:type="dxa" w:w="879"/>
          </w:tcPr>
          <w:p>
            <w:pPr>
              <w:spacing w:after="0" w:line="240" w:lineRule="auto"/>
            </w:pPr>
            <w:r>
              <w:rPr>
                <w:b w:val="0"/>
                <w:sz w:val="16"/>
              </w:rPr>
              <w:t>1</w:t>
            </w:r>
          </w:p>
        </w:tc>
        <w:tc>
          <w:tcPr>
            <w:tcW w:type="dxa" w:w="879"/>
          </w:tcPr>
          <w:p>
            <w:pPr>
              <w:spacing w:after="0" w:line="240" w:lineRule="auto"/>
            </w:pPr>
            <w:r>
              <w:rPr>
                <w:b w:val="0"/>
                <w:sz w:val="16"/>
              </w:rPr>
              <w:t>0</w:t>
            </w:r>
          </w:p>
        </w:tc>
        <w:tc>
          <w:tcPr>
            <w:tcW w:type="dxa" w:w="879"/>
          </w:tcPr>
          <w:p>
            <w:pPr>
              <w:spacing w:after="0" w:line="240" w:lineRule="auto"/>
            </w:pPr>
            <w:r>
              <w:rPr>
                <w:b w:val="0"/>
                <w:sz w:val="16"/>
              </w:rPr>
              <w:t>0.036</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16.1</w:t>
            </w:r>
          </w:p>
        </w:tc>
        <w:tc>
          <w:tcPr>
            <w:tcW w:type="dxa" w:w="879"/>
          </w:tcPr>
          <w:p>
            <w:pPr>
              <w:spacing w:after="0" w:line="240" w:lineRule="auto"/>
            </w:pPr>
            <w:r>
              <w:rPr>
                <w:b w:val="0"/>
                <w:sz w:val="16"/>
              </w:rPr>
              <w:t>14.8</w:t>
            </w:r>
          </w:p>
        </w:tc>
      </w:tr>
      <w:tr>
        <w:tc>
          <w:tcPr>
            <w:tcW w:type="dxa" w:w="879"/>
          </w:tcPr>
          <w:p>
            <w:pPr>
              <w:spacing w:after="0" w:line="240" w:lineRule="auto"/>
            </w:pPr>
            <w:r>
              <w:rPr>
                <w:b w:val="0"/>
                <w:sz w:val="16"/>
              </w:rPr>
              <w:t>text-service</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w:t>
            </w:r>
          </w:p>
        </w:tc>
        <w:tc>
          <w:tcPr>
            <w:tcW w:type="dxa" w:w="879"/>
          </w:tcPr>
          <w:p>
            <w:pPr>
              <w:spacing w:after="0" w:line="240" w:lineRule="auto"/>
            </w:pPr>
            <w:r>
              <w:rPr>
                <w:b w:val="0"/>
                <w:sz w:val="16"/>
              </w:rPr>
              <w:t>2</w:t>
            </w:r>
          </w:p>
        </w:tc>
        <w:tc>
          <w:tcPr>
            <w:tcW w:type="dxa" w:w="879"/>
          </w:tcPr>
          <w:p>
            <w:pPr>
              <w:spacing w:after="0" w:line="240" w:lineRule="auto"/>
            </w:pPr>
            <w:r>
              <w:rPr>
                <w:b w:val="0"/>
                <w:sz w:val="16"/>
              </w:rPr>
              <w:t>0.064</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15.3</w:t>
            </w:r>
          </w:p>
        </w:tc>
        <w:tc>
          <w:tcPr>
            <w:tcW w:type="dxa" w:w="879"/>
          </w:tcPr>
          <w:p>
            <w:pPr>
              <w:spacing w:after="0" w:line="240" w:lineRule="auto"/>
            </w:pPr>
            <w:r>
              <w:rPr>
                <w:b w:val="0"/>
                <w:sz w:val="16"/>
              </w:rPr>
              <w:t>14.4</w:t>
            </w:r>
          </w:p>
        </w:tc>
      </w:tr>
      <w:tr>
        <w:tc>
          <w:tcPr>
            <w:tcW w:type="dxa" w:w="879"/>
          </w:tcPr>
          <w:p>
            <w:pPr>
              <w:spacing w:after="0" w:line="240" w:lineRule="auto"/>
            </w:pPr>
            <w:r>
              <w:rPr>
                <w:b w:val="0"/>
                <w:sz w:val="16"/>
              </w:rPr>
              <w:t>unique-id-service</w:t>
            </w:r>
          </w:p>
        </w:tc>
        <w:tc>
          <w:tcPr>
            <w:tcW w:type="dxa" w:w="879"/>
          </w:tcPr>
          <w:p>
            <w:pPr>
              <w:spacing w:after="0" w:line="240" w:lineRule="auto"/>
            </w:pPr>
            <w:r>
              <w:rPr>
                <w:b w:val="0"/>
                <w:sz w:val="16"/>
              </w:rPr>
              <w:t>2</w:t>
            </w:r>
          </w:p>
        </w:tc>
        <w:tc>
          <w:tcPr>
            <w:tcW w:type="dxa" w:w="879"/>
          </w:tcPr>
          <w:p>
            <w:pPr>
              <w:spacing w:after="0" w:line="240" w:lineRule="auto"/>
            </w:pPr>
            <w:r>
              <w:rPr>
                <w:b w:val="0"/>
                <w:sz w:val="16"/>
              </w:rPr>
              <w:t>0</w:t>
            </w:r>
          </w:p>
        </w:tc>
        <w:tc>
          <w:tcPr>
            <w:tcW w:type="dxa" w:w="879"/>
          </w:tcPr>
          <w:p>
            <w:pPr>
              <w:spacing w:after="0" w:line="240" w:lineRule="auto"/>
            </w:pPr>
            <w:r>
              <w:rPr>
                <w:b w:val="0"/>
                <w:sz w:val="16"/>
              </w:rPr>
              <w:t>1</w:t>
            </w:r>
          </w:p>
        </w:tc>
        <w:tc>
          <w:tcPr>
            <w:tcW w:type="dxa" w:w="879"/>
          </w:tcPr>
          <w:p>
            <w:pPr>
              <w:spacing w:after="0" w:line="240" w:lineRule="auto"/>
            </w:pPr>
            <w:r>
              <w:rPr>
                <w:b w:val="0"/>
                <w:sz w:val="16"/>
              </w:rPr>
              <w:t>0</w:t>
            </w:r>
          </w:p>
        </w:tc>
        <w:tc>
          <w:tcPr>
            <w:tcW w:type="dxa" w:w="879"/>
          </w:tcPr>
          <w:p>
            <w:pPr>
              <w:spacing w:after="0" w:line="240" w:lineRule="auto"/>
            </w:pPr>
            <w:r>
              <w:rPr>
                <w:b w:val="0"/>
                <w:sz w:val="16"/>
              </w:rPr>
              <w:t>0.036</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14.2</w:t>
            </w:r>
          </w:p>
        </w:tc>
        <w:tc>
          <w:tcPr>
            <w:tcW w:type="dxa" w:w="879"/>
          </w:tcPr>
          <w:p>
            <w:pPr>
              <w:spacing w:after="0" w:line="240" w:lineRule="auto"/>
            </w:pPr>
            <w:r>
              <w:rPr>
                <w:b w:val="0"/>
                <w:sz w:val="16"/>
              </w:rPr>
              <w:t>14.6</w:t>
            </w:r>
          </w:p>
        </w:tc>
      </w:tr>
      <w:tr>
        <w:tc>
          <w:tcPr>
            <w:tcW w:type="dxa" w:w="879"/>
          </w:tcPr>
          <w:p>
            <w:pPr>
              <w:spacing w:after="0" w:line="240" w:lineRule="auto"/>
            </w:pPr>
            <w:r>
              <w:rPr>
                <w:b w:val="0"/>
                <w:sz w:val="16"/>
              </w:rPr>
              <w:t>user-timeline-service</w:t>
            </w:r>
          </w:p>
        </w:tc>
        <w:tc>
          <w:tcPr>
            <w:tcW w:type="dxa" w:w="879"/>
          </w:tcPr>
          <w:p>
            <w:pPr>
              <w:spacing w:after="0" w:line="240" w:lineRule="auto"/>
            </w:pPr>
            <w:r>
              <w:rPr>
                <w:b w:val="0"/>
                <w:sz w:val="16"/>
              </w:rPr>
              <w:t>2</w:t>
            </w:r>
          </w:p>
        </w:tc>
        <w:tc>
          <w:tcPr>
            <w:tcW w:type="dxa" w:w="879"/>
          </w:tcPr>
          <w:p>
            <w:pPr>
              <w:spacing w:after="0" w:line="240" w:lineRule="auto"/>
            </w:pPr>
            <w:r>
              <w:rPr>
                <w:b w:val="0"/>
                <w:sz w:val="16"/>
              </w:rPr>
              <w:t>1</w:t>
            </w:r>
          </w:p>
        </w:tc>
        <w:tc>
          <w:tcPr>
            <w:tcW w:type="dxa" w:w="879"/>
          </w:tcPr>
          <w:p>
            <w:pPr>
              <w:spacing w:after="0" w:line="240" w:lineRule="auto"/>
            </w:pPr>
            <w:r>
              <w:rPr>
                <w:b w:val="0"/>
                <w:sz w:val="16"/>
              </w:rPr>
              <w:t>2</w:t>
            </w:r>
          </w:p>
        </w:tc>
        <w:tc>
          <w:tcPr>
            <w:tcW w:type="dxa" w:w="879"/>
          </w:tcPr>
          <w:p>
            <w:pPr>
              <w:spacing w:after="0" w:line="240" w:lineRule="auto"/>
            </w:pPr>
            <w:r>
              <w:rPr>
                <w:b w:val="0"/>
                <w:sz w:val="16"/>
              </w:rPr>
              <w:t>1</w:t>
            </w:r>
          </w:p>
        </w:tc>
        <w:tc>
          <w:tcPr>
            <w:tcW w:type="dxa" w:w="879"/>
          </w:tcPr>
          <w:p>
            <w:pPr>
              <w:spacing w:after="0" w:line="240" w:lineRule="auto"/>
            </w:pPr>
            <w:r>
              <w:rPr>
                <w:b w:val="0"/>
                <w:sz w:val="16"/>
              </w:rPr>
              <w:t>0.079</w:t>
            </w:r>
          </w:p>
        </w:tc>
        <w:tc>
          <w:tcPr>
            <w:tcW w:type="dxa" w:w="879"/>
          </w:tcPr>
          <w:p>
            <w:pPr>
              <w:spacing w:after="0" w:line="240" w:lineRule="auto"/>
            </w:pPr>
            <w:r>
              <w:rPr>
                <w:b w:val="0"/>
                <w:sz w:val="16"/>
              </w:rPr>
              <w:t>2</w:t>
            </w:r>
          </w:p>
        </w:tc>
        <w:tc>
          <w:tcPr>
            <w:tcW w:type="dxa" w:w="879"/>
          </w:tcPr>
          <w:p>
            <w:pPr>
              <w:spacing w:after="0" w:line="240" w:lineRule="auto"/>
            </w:pPr>
            <w:r>
              <w:rPr>
                <w:b w:val="0"/>
                <w:sz w:val="16"/>
              </w:rPr>
              <w:t>2</w:t>
            </w:r>
          </w:p>
        </w:tc>
        <w:tc>
          <w:tcPr>
            <w:tcW w:type="dxa" w:w="879"/>
          </w:tcPr>
          <w:p>
            <w:pPr>
              <w:spacing w:after="0" w:line="240" w:lineRule="auto"/>
            </w:pPr>
            <w:r>
              <w:rPr>
                <w:b w:val="0"/>
                <w:sz w:val="16"/>
              </w:rPr>
              <w:t>15.7</w:t>
            </w:r>
          </w:p>
        </w:tc>
        <w:tc>
          <w:tcPr>
            <w:tcW w:type="dxa" w:w="879"/>
          </w:tcPr>
          <w:p>
            <w:pPr>
              <w:spacing w:after="0" w:line="240" w:lineRule="auto"/>
            </w:pPr>
            <w:r>
              <w:rPr>
                <w:b w:val="0"/>
                <w:sz w:val="16"/>
              </w:rPr>
              <w:t>14.9</w:t>
            </w:r>
          </w:p>
        </w:tc>
      </w:tr>
      <w:tr>
        <w:tc>
          <w:tcPr>
            <w:tcW w:type="dxa" w:w="879"/>
          </w:tcPr>
          <w:p>
            <w:pPr>
              <w:spacing w:after="0" w:line="240" w:lineRule="auto"/>
            </w:pPr>
            <w:r>
              <w:rPr>
                <w:b w:val="0"/>
                <w:sz w:val="16"/>
              </w:rPr>
              <w:t>compose-post-service</w:t>
            </w:r>
          </w:p>
        </w:tc>
        <w:tc>
          <w:tcPr>
            <w:tcW w:type="dxa" w:w="879"/>
          </w:tcPr>
          <w:p>
            <w:pPr>
              <w:spacing w:after="0" w:line="240" w:lineRule="auto"/>
            </w:pPr>
            <w:r>
              <w:rPr>
                <w:b w:val="0"/>
                <w:sz w:val="16"/>
              </w:rPr>
              <w:t>1</w:t>
            </w:r>
          </w:p>
        </w:tc>
        <w:tc>
          <w:tcPr>
            <w:tcW w:type="dxa" w:w="879"/>
          </w:tcPr>
          <w:p>
            <w:pPr>
              <w:spacing w:after="0" w:line="240" w:lineRule="auto"/>
            </w:pPr>
            <w:r>
              <w:rPr>
                <w:b w:val="0"/>
                <w:sz w:val="16"/>
              </w:rPr>
              <w:t>10</w:t>
            </w:r>
          </w:p>
        </w:tc>
        <w:tc>
          <w:tcPr>
            <w:tcW w:type="dxa" w:w="879"/>
          </w:tcPr>
          <w:p>
            <w:pPr>
              <w:spacing w:after="0" w:line="240" w:lineRule="auto"/>
            </w:pPr>
            <w:r>
              <w:rPr>
                <w:b w:val="0"/>
                <w:sz w:val="16"/>
              </w:rPr>
              <w:t>1</w:t>
            </w:r>
          </w:p>
        </w:tc>
        <w:tc>
          <w:tcPr>
            <w:tcW w:type="dxa" w:w="879"/>
          </w:tcPr>
          <w:p>
            <w:pPr>
              <w:spacing w:after="0" w:line="240" w:lineRule="auto"/>
            </w:pPr>
            <w:r>
              <w:rPr>
                <w:b w:val="0"/>
                <w:sz w:val="16"/>
              </w:rPr>
              <w:t>7</w:t>
            </w:r>
          </w:p>
        </w:tc>
        <w:tc>
          <w:tcPr>
            <w:tcW w:type="dxa" w:w="879"/>
          </w:tcPr>
          <w:p>
            <w:pPr>
              <w:spacing w:after="0" w:line="240" w:lineRule="auto"/>
            </w:pPr>
            <w:r>
              <w:rPr>
                <w:b w:val="0"/>
                <w:sz w:val="16"/>
              </w:rPr>
              <w:t>0.302</w:t>
            </w:r>
          </w:p>
        </w:tc>
        <w:tc>
          <w:tcPr>
            <w:tcW w:type="dxa" w:w="879"/>
          </w:tcPr>
          <w:p>
            <w:pPr>
              <w:spacing w:after="0" w:line="240" w:lineRule="auto"/>
            </w:pPr>
            <w:r>
              <w:rPr>
                <w:b w:val="0"/>
                <w:sz w:val="16"/>
              </w:rPr>
              <w:t>1</w:t>
            </w:r>
          </w:p>
        </w:tc>
        <w:tc>
          <w:tcPr>
            <w:tcW w:type="dxa" w:w="879"/>
          </w:tcPr>
          <w:p>
            <w:pPr>
              <w:spacing w:after="0" w:line="240" w:lineRule="auto"/>
            </w:pPr>
            <w:r>
              <w:rPr>
                <w:b w:val="0"/>
                <w:sz w:val="16"/>
              </w:rPr>
              <w:t>1</w:t>
            </w:r>
          </w:p>
        </w:tc>
        <w:tc>
          <w:tcPr>
            <w:tcW w:type="dxa" w:w="879"/>
          </w:tcPr>
          <w:p>
            <w:pPr>
              <w:spacing w:after="0" w:line="240" w:lineRule="auto"/>
            </w:pPr>
            <w:r>
              <w:rPr>
                <w:b w:val="0"/>
                <w:sz w:val="16"/>
              </w:rPr>
              <w:t>15.6</w:t>
            </w:r>
          </w:p>
        </w:tc>
        <w:tc>
          <w:tcPr>
            <w:tcW w:type="dxa" w:w="879"/>
          </w:tcPr>
          <w:p>
            <w:pPr>
              <w:spacing w:after="0" w:line="240" w:lineRule="auto"/>
            </w:pPr>
            <w:r>
              <w:rPr>
                <w:b w:val="0"/>
                <w:sz w:val="16"/>
              </w:rPr>
              <w:t>15.6</w:t>
            </w:r>
          </w:p>
        </w:tc>
      </w:tr>
    </w:tbl>
    <w:p>
      <w:pPr>
        <w:spacing w:after="40"/>
      </w:pPr>
    </w:p>
    <w:p>
      <w:pPr>
        <w:pStyle w:val="Heading2"/>
      </w:pPr>
      <w:r>
        <w:t>7.2 The Caller Count (H1)</w:t>
      </w:r>
    </w:p>
    <w:p>
      <w:pPr>
        <w:jc w:val="both"/>
      </w:pPr>
      <w:r>
        <w:t xml:space="preserve">On Social Network under kill faults, the caller count </w:t>
      </w:r>
      <w:r>
        <w:rPr>
          <w:i/>
        </w:rPr>
        <w:t>X</w:t>
      </w:r>
      <w:r>
        <w:t xml:space="preserve"> and the number of degraded callers </w:t>
      </w:r>
      <w:r>
        <w:rPr>
          <w:i/>
        </w:rPr>
        <w:t>Y</w:t>
      </w:r>
      <w:r>
        <w:t xml:space="preserve"> correlated at ρ = 0.785 across 11 services, with a bootstrap interval from 0.000 to 1.000. The uncorrected p-value was 0.0080, but after correction across the 44 tests of the confirmatory family it became 0.3451. None of the confirmatory tests was significant (Table 6), so H1 is not confirmed.</w:t>
      </w:r>
    </w:p>
    <w:p>
      <w:pPr>
        <w:pStyle w:val="TableCaption"/>
      </w:pPr>
      <w:r>
        <w:t>Table 6. The primary test in each family and application</w:t>
      </w:r>
    </w:p>
    <w:tbl>
      <w:tblPr>
        <w:tblStyle w:val="TableGrid"/>
        <w:tblW w:type="auto" w:w="0"/>
        <w:jc w:val="center"/>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tcPr>
          <w:p>
            <w:pPr>
              <w:spacing w:after="0" w:line="240" w:lineRule="auto"/>
            </w:pPr>
            <w:r>
              <w:rPr>
                <w:b/>
                <w:sz w:val="16"/>
              </w:rPr>
              <w:t>Family</w:t>
            </w:r>
          </w:p>
        </w:tc>
        <w:tc>
          <w:tcPr>
            <w:tcW w:type="dxa" w:w="732"/>
          </w:tcPr>
          <w:p>
            <w:pPr>
              <w:spacing w:after="0" w:line="240" w:lineRule="auto"/>
            </w:pPr>
            <w:r>
              <w:rPr>
                <w:b/>
                <w:sz w:val="16"/>
              </w:rPr>
              <w:t>Fault</w:t>
            </w:r>
          </w:p>
        </w:tc>
        <w:tc>
          <w:tcPr>
            <w:tcW w:type="dxa" w:w="732"/>
          </w:tcPr>
          <w:p>
            <w:pPr>
              <w:spacing w:after="0" w:line="240" w:lineRule="auto"/>
            </w:pPr>
            <w:r>
              <w:rPr>
                <w:b/>
                <w:sz w:val="16"/>
              </w:rPr>
              <w:t>Application</w:t>
            </w:r>
          </w:p>
        </w:tc>
        <w:tc>
          <w:tcPr>
            <w:tcW w:type="dxa" w:w="732"/>
          </w:tcPr>
          <w:p>
            <w:pPr>
              <w:spacing w:after="0" w:line="240" w:lineRule="auto"/>
            </w:pPr>
            <w:r>
              <w:rPr>
                <w:b/>
                <w:sz w:val="16"/>
              </w:rPr>
              <w:t>Services</w:t>
            </w:r>
          </w:p>
        </w:tc>
        <w:tc>
          <w:tcPr>
            <w:tcW w:type="dxa" w:w="732"/>
          </w:tcPr>
          <w:p>
            <w:pPr>
              <w:spacing w:after="0" w:line="240" w:lineRule="auto"/>
            </w:pPr>
            <w:r>
              <w:rPr>
                <w:b/>
                <w:sz w:val="16"/>
              </w:rPr>
              <w:t>ρ</w:t>
            </w:r>
          </w:p>
        </w:tc>
        <w:tc>
          <w:tcPr>
            <w:tcW w:type="dxa" w:w="732"/>
          </w:tcPr>
          <w:p>
            <w:pPr>
              <w:spacing w:after="0" w:line="240" w:lineRule="auto"/>
            </w:pPr>
            <w:r>
              <w:rPr>
                <w:b/>
                <w:sz w:val="16"/>
              </w:rPr>
              <w:t>95% CI</w:t>
            </w:r>
          </w:p>
        </w:tc>
        <w:tc>
          <w:tcPr>
            <w:tcW w:type="dxa" w:w="732"/>
          </w:tcPr>
          <w:p>
            <w:pPr>
              <w:spacing w:after="0" w:line="240" w:lineRule="auto"/>
            </w:pPr>
            <w:r>
              <w:rPr>
                <w:b/>
                <w:sz w:val="16"/>
              </w:rPr>
              <w:t>CI method</w:t>
            </w:r>
          </w:p>
        </w:tc>
        <w:tc>
          <w:tcPr>
            <w:tcW w:type="dxa" w:w="732"/>
          </w:tcPr>
          <w:p>
            <w:pPr>
              <w:spacing w:after="0" w:line="240" w:lineRule="auto"/>
            </w:pPr>
            <w:r>
              <w:rPr>
                <w:b/>
                <w:sz w:val="16"/>
              </w:rPr>
              <w:t>p (raw)</w:t>
            </w:r>
          </w:p>
        </w:tc>
        <w:tc>
          <w:tcPr>
            <w:tcW w:type="dxa" w:w="732"/>
          </w:tcPr>
          <w:p>
            <w:pPr>
              <w:spacing w:after="0" w:line="240" w:lineRule="auto"/>
            </w:pPr>
            <w:r>
              <w:rPr>
                <w:b/>
                <w:sz w:val="16"/>
              </w:rPr>
              <w:t>p method</w:t>
            </w:r>
          </w:p>
        </w:tc>
        <w:tc>
          <w:tcPr>
            <w:tcW w:type="dxa" w:w="732"/>
          </w:tcPr>
          <w:p>
            <w:pPr>
              <w:spacing w:after="0" w:line="240" w:lineRule="auto"/>
            </w:pPr>
            <w:r>
              <w:rPr>
                <w:b/>
                <w:sz w:val="16"/>
              </w:rPr>
              <w:t>p (BH)</w:t>
            </w:r>
          </w:p>
        </w:tc>
        <w:tc>
          <w:tcPr>
            <w:tcW w:type="dxa" w:w="732"/>
          </w:tcPr>
          <w:p>
            <w:pPr>
              <w:spacing w:after="0" w:line="240" w:lineRule="auto"/>
            </w:pPr>
            <w:r>
              <w:rPr>
                <w:b/>
                <w:sz w:val="16"/>
              </w:rPr>
              <w:t>Significant</w:t>
            </w:r>
          </w:p>
        </w:tc>
        <w:tc>
          <w:tcPr>
            <w:tcW w:type="dxa" w:w="732"/>
          </w:tcPr>
          <w:p>
            <w:pPr>
              <w:spacing w:after="0" w:line="240" w:lineRule="auto"/>
            </w:pPr>
            <w:r>
              <w:rPr>
                <w:b/>
                <w:sz w:val="16"/>
              </w:rPr>
              <w:t>Note</w:t>
            </w:r>
          </w:p>
        </w:tc>
      </w:tr>
      <w:tr>
        <w:tc>
          <w:tcPr>
            <w:tcW w:type="dxa" w:w="732"/>
          </w:tcPr>
          <w:p>
            <w:pPr>
              <w:spacing w:after="0" w:line="240" w:lineRule="auto"/>
            </w:pPr>
            <w:r>
              <w:rPr>
                <w:b w:val="0"/>
                <w:sz w:val="16"/>
              </w:rPr>
              <w:t>confirmatory</w:t>
            </w:r>
          </w:p>
        </w:tc>
        <w:tc>
          <w:tcPr>
            <w:tcW w:type="dxa" w:w="732"/>
          </w:tcPr>
          <w:p>
            <w:pPr>
              <w:spacing w:after="0" w:line="240" w:lineRule="auto"/>
            </w:pPr>
            <w:r>
              <w:rPr>
                <w:b w:val="0"/>
                <w:sz w:val="16"/>
              </w:rPr>
              <w:t>kill</w:t>
            </w:r>
          </w:p>
        </w:tc>
        <w:tc>
          <w:tcPr>
            <w:tcW w:type="dxa" w:w="732"/>
          </w:tcPr>
          <w:p>
            <w:pPr>
              <w:spacing w:after="0" w:line="240" w:lineRule="auto"/>
            </w:pPr>
            <w:r>
              <w:rPr>
                <w:b w:val="0"/>
                <w:sz w:val="16"/>
              </w:rPr>
              <w:t>Social Network</w:t>
            </w:r>
          </w:p>
        </w:tc>
        <w:tc>
          <w:tcPr>
            <w:tcW w:type="dxa" w:w="732"/>
          </w:tcPr>
          <w:p>
            <w:pPr>
              <w:spacing w:after="0" w:line="240" w:lineRule="auto"/>
            </w:pPr>
            <w:r>
              <w:rPr>
                <w:b w:val="0"/>
                <w:sz w:val="16"/>
              </w:rPr>
              <w:t>11</w:t>
            </w:r>
          </w:p>
        </w:tc>
        <w:tc>
          <w:tcPr>
            <w:tcW w:type="dxa" w:w="732"/>
          </w:tcPr>
          <w:p>
            <w:pPr>
              <w:spacing w:after="0" w:line="240" w:lineRule="auto"/>
            </w:pPr>
            <w:r>
              <w:rPr>
                <w:b w:val="0"/>
                <w:sz w:val="16"/>
              </w:rPr>
              <w:t>0.785</w:t>
            </w:r>
          </w:p>
        </w:tc>
        <w:tc>
          <w:tcPr>
            <w:tcW w:type="dxa" w:w="732"/>
          </w:tcPr>
          <w:p>
            <w:pPr>
              <w:spacing w:after="0" w:line="240" w:lineRule="auto"/>
            </w:pPr>
            <w:r>
              <w:rPr>
                <w:b w:val="0"/>
                <w:sz w:val="16"/>
              </w:rPr>
              <w:t>0.000 to 1.000</w:t>
            </w:r>
          </w:p>
        </w:tc>
        <w:tc>
          <w:tcPr>
            <w:tcW w:type="dxa" w:w="732"/>
          </w:tcPr>
          <w:p>
            <w:pPr>
              <w:spacing w:after="0" w:line="240" w:lineRule="auto"/>
            </w:pPr>
            <w:r>
              <w:rPr>
                <w:b w:val="0"/>
                <w:sz w:val="16"/>
              </w:rPr>
              <w:t>BCa</w:t>
            </w:r>
          </w:p>
        </w:tc>
        <w:tc>
          <w:tcPr>
            <w:tcW w:type="dxa" w:w="732"/>
          </w:tcPr>
          <w:p>
            <w:pPr>
              <w:spacing w:after="0" w:line="240" w:lineRule="auto"/>
            </w:pPr>
            <w:r>
              <w:rPr>
                <w:b w:val="0"/>
                <w:sz w:val="16"/>
              </w:rPr>
              <w:t>0.0080</w:t>
            </w:r>
          </w:p>
        </w:tc>
        <w:tc>
          <w:tcPr>
            <w:tcW w:type="dxa" w:w="732"/>
          </w:tcPr>
          <w:p>
            <w:pPr>
              <w:spacing w:after="0" w:line="240" w:lineRule="auto"/>
            </w:pPr>
            <w:r>
              <w:rPr>
                <w:b w:val="0"/>
                <w:sz w:val="16"/>
              </w:rPr>
              <w:t>Monte Carlo, 10,000 permutations</w:t>
            </w:r>
          </w:p>
        </w:tc>
        <w:tc>
          <w:tcPr>
            <w:tcW w:type="dxa" w:w="732"/>
          </w:tcPr>
          <w:p>
            <w:pPr>
              <w:spacing w:after="0" w:line="240" w:lineRule="auto"/>
            </w:pPr>
            <w:r>
              <w:rPr>
                <w:b w:val="0"/>
                <w:sz w:val="16"/>
              </w:rPr>
              <w:t>0.3451</w:t>
            </w:r>
          </w:p>
        </w:tc>
        <w:tc>
          <w:tcPr>
            <w:tcW w:type="dxa" w:w="732"/>
          </w:tcPr>
          <w:p>
            <w:pPr>
              <w:spacing w:after="0" w:line="240" w:lineRule="auto"/>
            </w:pPr>
            <w:r>
              <w:rPr>
                <w:b w:val="0"/>
                <w:sz w:val="16"/>
              </w:rPr>
              <w:t>no</w:t>
            </w:r>
          </w:p>
        </w:tc>
        <w:tc>
          <w:tcPr>
            <w:tcW w:type="dxa" w:w="732"/>
          </w:tcPr>
          <w:p>
            <w:pPr>
              <w:spacing w:after="0" w:line="240" w:lineRule="auto"/>
            </w:pPr>
          </w:p>
        </w:tc>
      </w:tr>
      <w:tr>
        <w:tc>
          <w:tcPr>
            <w:tcW w:type="dxa" w:w="732"/>
          </w:tcPr>
          <w:p>
            <w:pPr>
              <w:spacing w:after="0" w:line="240" w:lineRule="auto"/>
            </w:pPr>
            <w:r>
              <w:rPr>
                <w:b w:val="0"/>
                <w:sz w:val="16"/>
              </w:rPr>
              <w:t>confirmatory</w:t>
            </w:r>
          </w:p>
        </w:tc>
        <w:tc>
          <w:tcPr>
            <w:tcW w:type="dxa" w:w="732"/>
          </w:tcPr>
          <w:p>
            <w:pPr>
              <w:spacing w:after="0" w:line="240" w:lineRule="auto"/>
            </w:pPr>
            <w:r>
              <w:rPr>
                <w:b w:val="0"/>
                <w:sz w:val="16"/>
              </w:rPr>
              <w:t>kill</w:t>
            </w:r>
          </w:p>
        </w:tc>
        <w:tc>
          <w:tcPr>
            <w:tcW w:type="dxa" w:w="732"/>
          </w:tcPr>
          <w:p>
            <w:pPr>
              <w:spacing w:after="0" w:line="240" w:lineRule="auto"/>
            </w:pPr>
            <w:r>
              <w:rPr>
                <w:b w:val="0"/>
                <w:sz w:val="16"/>
              </w:rPr>
              <w:t>Hotel Reservation</w:t>
            </w:r>
          </w:p>
        </w:tc>
        <w:tc>
          <w:tcPr>
            <w:tcW w:type="dxa" w:w="732"/>
          </w:tcPr>
          <w:p>
            <w:pPr>
              <w:spacing w:after="0" w:line="240" w:lineRule="auto"/>
            </w:pPr>
            <w:r>
              <w:rPr>
                <w:b w:val="0"/>
                <w:sz w:val="16"/>
              </w:rPr>
              <w:t>7</w:t>
            </w:r>
          </w:p>
        </w:tc>
        <w:tc>
          <w:tcPr>
            <w:tcW w:type="dxa" w:w="732"/>
          </w:tcPr>
          <w:p>
            <w:pPr>
              <w:spacing w:after="0" w:line="240" w:lineRule="auto"/>
            </w:pPr>
            <w:r>
              <w:rPr>
                <w:b w:val="0"/>
                <w:sz w:val="16"/>
              </w:rPr>
              <w:t>1.000</w:t>
            </w:r>
          </w:p>
        </w:tc>
        <w:tc>
          <w:tcPr>
            <w:tcW w:type="dxa" w:w="732"/>
          </w:tcPr>
          <w:p>
            <w:pPr>
              <w:spacing w:after="0" w:line="240" w:lineRule="auto"/>
            </w:pPr>
            <w:r>
              <w:rPr>
                <w:b w:val="0"/>
                <w:sz w:val="16"/>
              </w:rPr>
              <w:t>1.000 to 1.000</w:t>
            </w:r>
          </w:p>
        </w:tc>
        <w:tc>
          <w:tcPr>
            <w:tcW w:type="dxa" w:w="732"/>
          </w:tcPr>
          <w:p>
            <w:pPr>
              <w:spacing w:after="0" w:line="240" w:lineRule="auto"/>
            </w:pPr>
            <w:r>
              <w:rPr>
                <w:b w:val="0"/>
                <w:sz w:val="16"/>
              </w:rPr>
              <w:t>percentile</w:t>
            </w:r>
          </w:p>
        </w:tc>
        <w:tc>
          <w:tcPr>
            <w:tcW w:type="dxa" w:w="732"/>
          </w:tcPr>
          <w:p>
            <w:pPr>
              <w:spacing w:after="0" w:line="240" w:lineRule="auto"/>
            </w:pPr>
            <w:r>
              <w:rPr>
                <w:b w:val="0"/>
                <w:sz w:val="16"/>
              </w:rPr>
              <w:t>0.0476</w:t>
            </w:r>
          </w:p>
        </w:tc>
        <w:tc>
          <w:tcPr>
            <w:tcW w:type="dxa" w:w="732"/>
          </w:tcPr>
          <w:p>
            <w:pPr>
              <w:spacing w:after="0" w:line="240" w:lineRule="auto"/>
            </w:pPr>
            <w:r>
              <w:rPr>
                <w:b w:val="0"/>
                <w:sz w:val="16"/>
              </w:rPr>
              <w:t>exact, 5,040 permutations</w:t>
            </w:r>
          </w:p>
        </w:tc>
        <w:tc>
          <w:tcPr>
            <w:tcW w:type="dxa" w:w="732"/>
          </w:tcPr>
          <w:p>
            <w:pPr>
              <w:spacing w:after="0" w:line="240" w:lineRule="auto"/>
            </w:pPr>
            <w:r>
              <w:rPr>
                <w:b w:val="0"/>
                <w:sz w:val="16"/>
              </w:rPr>
              <w:t>0.3451</w:t>
            </w:r>
          </w:p>
        </w:tc>
        <w:tc>
          <w:tcPr>
            <w:tcW w:type="dxa" w:w="732"/>
          </w:tcPr>
          <w:p>
            <w:pPr>
              <w:spacing w:after="0" w:line="240" w:lineRule="auto"/>
            </w:pPr>
            <w:r>
              <w:rPr>
                <w:b w:val="0"/>
                <w:sz w:val="16"/>
              </w:rPr>
              <w:t>no</w:t>
            </w:r>
          </w:p>
        </w:tc>
        <w:tc>
          <w:tcPr>
            <w:tcW w:type="dxa" w:w="732"/>
          </w:tcPr>
          <w:p>
            <w:pPr>
              <w:spacing w:after="0" w:line="240" w:lineRule="auto"/>
            </w:pPr>
            <w:r>
              <w:rPr>
                <w:b w:val="0"/>
                <w:sz w:val="16"/>
              </w:rPr>
              <w:t>saturated; directional only</w:t>
            </w:r>
          </w:p>
        </w:tc>
      </w:tr>
      <w:tr>
        <w:tc>
          <w:tcPr>
            <w:tcW w:type="dxa" w:w="732"/>
          </w:tcPr>
          <w:p>
            <w:pPr>
              <w:spacing w:after="0" w:line="240" w:lineRule="auto"/>
            </w:pPr>
            <w:r>
              <w:rPr>
                <w:b w:val="0"/>
                <w:sz w:val="16"/>
              </w:rPr>
              <w:t>replication</w:t>
            </w:r>
          </w:p>
        </w:tc>
        <w:tc>
          <w:tcPr>
            <w:tcW w:type="dxa" w:w="732"/>
          </w:tcPr>
          <w:p>
            <w:pPr>
              <w:spacing w:after="0" w:line="240" w:lineRule="auto"/>
            </w:pPr>
            <w:r>
              <w:rPr>
                <w:b w:val="0"/>
                <w:sz w:val="16"/>
              </w:rPr>
              <w:t>latency</w:t>
            </w:r>
          </w:p>
        </w:tc>
        <w:tc>
          <w:tcPr>
            <w:tcW w:type="dxa" w:w="732"/>
          </w:tcPr>
          <w:p>
            <w:pPr>
              <w:spacing w:after="0" w:line="240" w:lineRule="auto"/>
            </w:pPr>
            <w:r>
              <w:rPr>
                <w:b w:val="0"/>
                <w:sz w:val="16"/>
              </w:rPr>
              <w:t>Social Network</w:t>
            </w:r>
          </w:p>
        </w:tc>
        <w:tc>
          <w:tcPr>
            <w:tcW w:type="dxa" w:w="732"/>
          </w:tcPr>
          <w:p>
            <w:pPr>
              <w:spacing w:after="0" w:line="240" w:lineRule="auto"/>
            </w:pPr>
            <w:r>
              <w:rPr>
                <w:b w:val="0"/>
                <w:sz w:val="16"/>
              </w:rPr>
              <w:t>11</w:t>
            </w:r>
          </w:p>
        </w:tc>
        <w:tc>
          <w:tcPr>
            <w:tcW w:type="dxa" w:w="732"/>
          </w:tcPr>
          <w:p>
            <w:pPr>
              <w:spacing w:after="0" w:line="240" w:lineRule="auto"/>
            </w:pPr>
            <w:r>
              <w:rPr>
                <w:b w:val="0"/>
                <w:sz w:val="16"/>
              </w:rPr>
              <w:t>0.785</w:t>
            </w:r>
          </w:p>
        </w:tc>
        <w:tc>
          <w:tcPr>
            <w:tcW w:type="dxa" w:w="732"/>
          </w:tcPr>
          <w:p>
            <w:pPr>
              <w:spacing w:after="0" w:line="240" w:lineRule="auto"/>
            </w:pPr>
            <w:r>
              <w:rPr>
                <w:b w:val="0"/>
                <w:sz w:val="16"/>
              </w:rPr>
              <w:t>0.000 to 1.000</w:t>
            </w:r>
          </w:p>
        </w:tc>
        <w:tc>
          <w:tcPr>
            <w:tcW w:type="dxa" w:w="732"/>
          </w:tcPr>
          <w:p>
            <w:pPr>
              <w:spacing w:after="0" w:line="240" w:lineRule="auto"/>
            </w:pPr>
            <w:r>
              <w:rPr>
                <w:b w:val="0"/>
                <w:sz w:val="16"/>
              </w:rPr>
              <w:t>BCa</w:t>
            </w:r>
          </w:p>
        </w:tc>
        <w:tc>
          <w:tcPr>
            <w:tcW w:type="dxa" w:w="732"/>
          </w:tcPr>
          <w:p>
            <w:pPr>
              <w:spacing w:after="0" w:line="240" w:lineRule="auto"/>
            </w:pPr>
            <w:r>
              <w:rPr>
                <w:b w:val="0"/>
                <w:sz w:val="16"/>
              </w:rPr>
              <w:t>0.0076</w:t>
            </w:r>
          </w:p>
        </w:tc>
        <w:tc>
          <w:tcPr>
            <w:tcW w:type="dxa" w:w="732"/>
          </w:tcPr>
          <w:p>
            <w:pPr>
              <w:spacing w:after="0" w:line="240" w:lineRule="auto"/>
            </w:pPr>
            <w:r>
              <w:rPr>
                <w:b w:val="0"/>
                <w:sz w:val="16"/>
              </w:rPr>
              <w:t>Monte Carlo, 10,000 permutations</w:t>
            </w:r>
          </w:p>
        </w:tc>
        <w:tc>
          <w:tcPr>
            <w:tcW w:type="dxa" w:w="732"/>
          </w:tcPr>
          <w:p>
            <w:pPr>
              <w:spacing w:after="0" w:line="240" w:lineRule="auto"/>
            </w:pPr>
            <w:r>
              <w:rPr>
                <w:b w:val="0"/>
                <w:sz w:val="16"/>
              </w:rPr>
              <w:t>0.1848</w:t>
            </w:r>
          </w:p>
        </w:tc>
        <w:tc>
          <w:tcPr>
            <w:tcW w:type="dxa" w:w="732"/>
          </w:tcPr>
          <w:p>
            <w:pPr>
              <w:spacing w:after="0" w:line="240" w:lineRule="auto"/>
            </w:pPr>
            <w:r>
              <w:rPr>
                <w:b w:val="0"/>
                <w:sz w:val="16"/>
              </w:rPr>
              <w:t>no</w:t>
            </w:r>
          </w:p>
        </w:tc>
        <w:tc>
          <w:tcPr>
            <w:tcW w:type="dxa" w:w="732"/>
          </w:tcPr>
          <w:p>
            <w:pPr>
              <w:spacing w:after="0" w:line="240" w:lineRule="auto"/>
            </w:pPr>
          </w:p>
        </w:tc>
      </w:tr>
      <w:tr>
        <w:tc>
          <w:tcPr>
            <w:tcW w:type="dxa" w:w="732"/>
          </w:tcPr>
          <w:p>
            <w:pPr>
              <w:spacing w:after="0" w:line="240" w:lineRule="auto"/>
            </w:pPr>
            <w:r>
              <w:rPr>
                <w:b w:val="0"/>
                <w:sz w:val="16"/>
              </w:rPr>
              <w:t>replication</w:t>
            </w:r>
          </w:p>
        </w:tc>
        <w:tc>
          <w:tcPr>
            <w:tcW w:type="dxa" w:w="732"/>
          </w:tcPr>
          <w:p>
            <w:pPr>
              <w:spacing w:after="0" w:line="240" w:lineRule="auto"/>
            </w:pPr>
            <w:r>
              <w:rPr>
                <w:b w:val="0"/>
                <w:sz w:val="16"/>
              </w:rPr>
              <w:t>latency</w:t>
            </w:r>
          </w:p>
        </w:tc>
        <w:tc>
          <w:tcPr>
            <w:tcW w:type="dxa" w:w="732"/>
          </w:tcPr>
          <w:p>
            <w:pPr>
              <w:spacing w:after="0" w:line="240" w:lineRule="auto"/>
            </w:pPr>
            <w:r>
              <w:rPr>
                <w:b w:val="0"/>
                <w:sz w:val="16"/>
              </w:rPr>
              <w:t>Hotel Reservation</w:t>
            </w:r>
          </w:p>
        </w:tc>
        <w:tc>
          <w:tcPr>
            <w:tcW w:type="dxa" w:w="732"/>
          </w:tcPr>
          <w:p>
            <w:pPr>
              <w:spacing w:after="0" w:line="240" w:lineRule="auto"/>
            </w:pPr>
            <w:r>
              <w:rPr>
                <w:b w:val="0"/>
                <w:sz w:val="16"/>
              </w:rPr>
              <w:t>7</w:t>
            </w:r>
          </w:p>
        </w:tc>
        <w:tc>
          <w:tcPr>
            <w:tcW w:type="dxa" w:w="732"/>
          </w:tcPr>
          <w:p>
            <w:pPr>
              <w:spacing w:after="0" w:line="240" w:lineRule="auto"/>
            </w:pPr>
            <w:r>
              <w:rPr>
                <w:b w:val="0"/>
                <w:sz w:val="16"/>
              </w:rPr>
              <w:t>1.000</w:t>
            </w:r>
          </w:p>
        </w:tc>
        <w:tc>
          <w:tcPr>
            <w:tcW w:type="dxa" w:w="732"/>
          </w:tcPr>
          <w:p>
            <w:pPr>
              <w:spacing w:after="0" w:line="240" w:lineRule="auto"/>
            </w:pPr>
            <w:r>
              <w:rPr>
                <w:b w:val="0"/>
                <w:sz w:val="16"/>
              </w:rPr>
              <w:t>1.000 to 1.000</w:t>
            </w:r>
          </w:p>
        </w:tc>
        <w:tc>
          <w:tcPr>
            <w:tcW w:type="dxa" w:w="732"/>
          </w:tcPr>
          <w:p>
            <w:pPr>
              <w:spacing w:after="0" w:line="240" w:lineRule="auto"/>
            </w:pPr>
            <w:r>
              <w:rPr>
                <w:b w:val="0"/>
                <w:sz w:val="16"/>
              </w:rPr>
              <w:t>percentile</w:t>
            </w:r>
          </w:p>
        </w:tc>
        <w:tc>
          <w:tcPr>
            <w:tcW w:type="dxa" w:w="732"/>
          </w:tcPr>
          <w:p>
            <w:pPr>
              <w:spacing w:after="0" w:line="240" w:lineRule="auto"/>
            </w:pPr>
            <w:r>
              <w:rPr>
                <w:b w:val="0"/>
                <w:sz w:val="16"/>
              </w:rPr>
              <w:t>0.0476</w:t>
            </w:r>
          </w:p>
        </w:tc>
        <w:tc>
          <w:tcPr>
            <w:tcW w:type="dxa" w:w="732"/>
          </w:tcPr>
          <w:p>
            <w:pPr>
              <w:spacing w:after="0" w:line="240" w:lineRule="auto"/>
            </w:pPr>
            <w:r>
              <w:rPr>
                <w:b w:val="0"/>
                <w:sz w:val="16"/>
              </w:rPr>
              <w:t>exact, 5,040 permutations</w:t>
            </w:r>
          </w:p>
        </w:tc>
        <w:tc>
          <w:tcPr>
            <w:tcW w:type="dxa" w:w="732"/>
          </w:tcPr>
          <w:p>
            <w:pPr>
              <w:spacing w:after="0" w:line="240" w:lineRule="auto"/>
            </w:pPr>
            <w:r>
              <w:rPr>
                <w:b w:val="0"/>
                <w:sz w:val="16"/>
              </w:rPr>
              <w:t>0.2328</w:t>
            </w:r>
          </w:p>
        </w:tc>
        <w:tc>
          <w:tcPr>
            <w:tcW w:type="dxa" w:w="732"/>
          </w:tcPr>
          <w:p>
            <w:pPr>
              <w:spacing w:after="0" w:line="240" w:lineRule="auto"/>
            </w:pPr>
            <w:r>
              <w:rPr>
                <w:b w:val="0"/>
                <w:sz w:val="16"/>
              </w:rPr>
              <w:t>no</w:t>
            </w:r>
          </w:p>
        </w:tc>
        <w:tc>
          <w:tcPr>
            <w:tcW w:type="dxa" w:w="732"/>
          </w:tcPr>
          <w:p>
            <w:pPr>
              <w:spacing w:after="0" w:line="240" w:lineRule="auto"/>
            </w:pPr>
            <w:r>
              <w:rPr>
                <w:b w:val="0"/>
                <w:sz w:val="16"/>
              </w:rPr>
              <w:t>saturated; directional only</w:t>
            </w:r>
          </w:p>
        </w:tc>
      </w:tr>
    </w:tbl>
    <w:p>
      <w:pPr>
        <w:spacing w:after="40"/>
      </w:pPr>
    </w:p>
    <w:p>
      <w:pPr>
        <w:jc w:val="both"/>
      </w:pPr>
      <w:r>
        <w:t xml:space="preserve">The correlation is also partly definitional. </w:t>
      </w:r>
      <w:r>
        <w:rPr>
          <w:i/>
        </w:rPr>
        <w:t>Y</w:t>
      </w:r>
      <w:r>
        <w:t xml:space="preserve"> counts degraded callers and </w:t>
      </w:r>
      <w:r>
        <w:rPr>
          <w:i/>
        </w:rPr>
        <w:t>X</w:t>
      </w:r>
      <w:r>
        <w:t xml:space="preserve"> counts callers, so </w:t>
      </w:r>
      <w:r>
        <w:rPr>
          <w:i/>
        </w:rPr>
        <w:t>Y</w:t>
      </w:r>
      <w:r>
        <w:t xml:space="preserve"> can never exceed </w:t>
      </w:r>
      <w:r>
        <w:rPr>
          <w:i/>
        </w:rPr>
        <w:t>X</w:t>
      </w:r>
      <w:r>
        <w:t xml:space="preserve">, and when every caller degrades the two coincide. On Hotel Reservation this happened for every service in every run, so its results only restate the predictor and are treated as directional. On Social Network, all but one of the 11 services lay exactly on the line </w:t>
      </w:r>
      <w:r>
        <w:rPr>
          <w:i/>
        </w:rPr>
        <w:t>y = x</w:t>
      </w:r>
      <w:r>
        <w:t xml:space="preserve"> (Fig. 11); only user-service, with 4 callers of which 2 degraded in every kill run, departed from it. Withholding one service at a time moves ρ between 0.696 and 1.000 (Fig. 12), and withholding user-service gives 1.000.</w:t>
      </w:r>
    </w:p>
    <w:p>
      <w:pPr>
        <w:jc w:val="center"/>
      </w:pPr>
      <w:r>
        <w:drawing>
          <wp:inline xmlns:a="http://schemas.openxmlformats.org/drawingml/2006/main" xmlns:pic="http://schemas.openxmlformats.org/drawingml/2006/picture">
            <wp:extent cx="5580000" cy="2583941"/>
            <wp:docPr id="12" name="Picture 12"/>
            <wp:cNvGraphicFramePr>
              <a:graphicFrameLocks noChangeAspect="1"/>
            </wp:cNvGraphicFramePr>
            <a:graphic>
              <a:graphicData uri="http://schemas.openxmlformats.org/drawingml/2006/picture">
                <pic:pic>
                  <pic:nvPicPr>
                    <pic:cNvPr id="0" name="fig_primary_sn.png"/>
                    <pic:cNvPicPr/>
                  </pic:nvPicPr>
                  <pic:blipFill>
                    <a:blip r:embed="rId22"/>
                    <a:stretch>
                      <a:fillRect/>
                    </a:stretch>
                  </pic:blipFill>
                  <pic:spPr>
                    <a:xfrm>
                      <a:off x="0" y="0"/>
                      <a:ext cx="5580000" cy="2583941"/>
                    </a:xfrm>
                    <a:prstGeom prst="rect"/>
                  </pic:spPr>
                </pic:pic>
              </a:graphicData>
            </a:graphic>
          </wp:inline>
        </w:drawing>
      </w:r>
    </w:p>
    <w:p>
      <w:pPr>
        <w:pStyle w:val="FigureCaption"/>
      </w:pPr>
      <w:r>
        <w:t>Fig. 11. Caller count X against the measured number of degraded callers Y for each Social Network service; points on the dashed line are saturated.</w:t>
      </w:r>
    </w:p>
    <w:p>
      <w:pPr>
        <w:jc w:val="center"/>
      </w:pPr>
      <w:r>
        <w:drawing>
          <wp:inline xmlns:a="http://schemas.openxmlformats.org/drawingml/2006/main" xmlns:pic="http://schemas.openxmlformats.org/drawingml/2006/picture">
            <wp:extent cx="5580000" cy="2228263"/>
            <wp:docPr id="13" name="Picture 13"/>
            <wp:cNvGraphicFramePr>
              <a:graphicFrameLocks noChangeAspect="1"/>
            </wp:cNvGraphicFramePr>
            <a:graphic>
              <a:graphicData uri="http://schemas.openxmlformats.org/drawingml/2006/picture">
                <pic:pic>
                  <pic:nvPicPr>
                    <pic:cNvPr id="0" name="fig_leave_one_out.png"/>
                    <pic:cNvPicPr/>
                  </pic:nvPicPr>
                  <pic:blipFill>
                    <a:blip r:embed="rId23"/>
                    <a:stretch>
                      <a:fillRect/>
                    </a:stretch>
                  </pic:blipFill>
                  <pic:spPr>
                    <a:xfrm>
                      <a:off x="0" y="0"/>
                      <a:ext cx="5580000" cy="2228263"/>
                    </a:xfrm>
                    <a:prstGeom prst="rect"/>
                  </pic:spPr>
                </pic:pic>
              </a:graphicData>
            </a:graphic>
          </wp:inline>
        </w:drawing>
      </w:r>
    </w:p>
    <w:p>
      <w:pPr>
        <w:pStyle w:val="FigureCaption"/>
      </w:pPr>
      <w:r>
        <w:t>Fig. 12. Leave-one-out check (post hoc): ρ between X and Y on Social Network under kill faults, with each service withheld in turn.</w:t>
      </w:r>
    </w:p>
    <w:p>
      <w:pPr>
        <w:pStyle w:val="Heading2"/>
      </w:pPr>
      <w:r>
        <w:t>7.3 The Fan-Out Metric (H2)</w:t>
      </w:r>
    </w:p>
    <w:p>
      <w:pPr>
        <w:jc w:val="both"/>
      </w:pPr>
      <w:r>
        <w:t>The hybrid criticality metric correlated negatively with degraded callers in every application and fault type: ρ = -0.144 on Social Network and ρ = -0.258 on Hotel Reservation (Table 7). After correction no cell could be told apart from zero, so no negative relationship is claimed; the data simply give the fan-out premise no support.</w:t>
      </w:r>
    </w:p>
    <w:p>
      <w:pPr>
        <w:pStyle w:val="TableCaption"/>
      </w:pPr>
      <w:r>
        <w:t>Table 7. The hybrid criticality metric against degraded callers</w:t>
      </w:r>
    </w:p>
    <w:tbl>
      <w:tblPr>
        <w:tblStyle w:val="TableGrid"/>
        <w:tblW w:type="auto" w:w="0"/>
        <w:jc w:val="center"/>
        <w:tblLook w:firstColumn="1" w:firstRow="1" w:lastColumn="0" w:lastRow="0" w:noHBand="0" w:noVBand="1" w:val="04A0"/>
      </w:tblPr>
      <w:tblGrid>
        <w:gridCol w:w="879"/>
        <w:gridCol w:w="879"/>
        <w:gridCol w:w="879"/>
        <w:gridCol w:w="879"/>
        <w:gridCol w:w="879"/>
        <w:gridCol w:w="879"/>
        <w:gridCol w:w="879"/>
        <w:gridCol w:w="879"/>
        <w:gridCol w:w="879"/>
        <w:gridCol w:w="879"/>
      </w:tblGrid>
      <w:tr>
        <w:tc>
          <w:tcPr>
            <w:tcW w:type="dxa" w:w="879"/>
          </w:tcPr>
          <w:p>
            <w:pPr>
              <w:spacing w:after="0" w:line="240" w:lineRule="auto"/>
            </w:pPr>
            <w:r>
              <w:rPr>
                <w:b/>
                <w:sz w:val="16"/>
              </w:rPr>
              <w:t>Family</w:t>
            </w:r>
          </w:p>
        </w:tc>
        <w:tc>
          <w:tcPr>
            <w:tcW w:type="dxa" w:w="879"/>
          </w:tcPr>
          <w:p>
            <w:pPr>
              <w:spacing w:after="0" w:line="240" w:lineRule="auto"/>
            </w:pPr>
            <w:r>
              <w:rPr>
                <w:b/>
                <w:sz w:val="16"/>
              </w:rPr>
              <w:t>Fault</w:t>
            </w:r>
          </w:p>
        </w:tc>
        <w:tc>
          <w:tcPr>
            <w:tcW w:type="dxa" w:w="879"/>
          </w:tcPr>
          <w:p>
            <w:pPr>
              <w:spacing w:after="0" w:line="240" w:lineRule="auto"/>
            </w:pPr>
            <w:r>
              <w:rPr>
                <w:b/>
                <w:sz w:val="16"/>
              </w:rPr>
              <w:t>Application</w:t>
            </w:r>
          </w:p>
        </w:tc>
        <w:tc>
          <w:tcPr>
            <w:tcW w:type="dxa" w:w="879"/>
          </w:tcPr>
          <w:p>
            <w:pPr>
              <w:spacing w:after="0" w:line="240" w:lineRule="auto"/>
            </w:pPr>
            <w:r>
              <w:rPr>
                <w:b/>
                <w:sz w:val="16"/>
              </w:rPr>
              <w:t>Services</w:t>
            </w:r>
          </w:p>
        </w:tc>
        <w:tc>
          <w:tcPr>
            <w:tcW w:type="dxa" w:w="879"/>
          </w:tcPr>
          <w:p>
            <w:pPr>
              <w:spacing w:after="0" w:line="240" w:lineRule="auto"/>
            </w:pPr>
            <w:r>
              <w:rPr>
                <w:b/>
                <w:sz w:val="16"/>
              </w:rPr>
              <w:t>ρ</w:t>
            </w:r>
          </w:p>
        </w:tc>
        <w:tc>
          <w:tcPr>
            <w:tcW w:type="dxa" w:w="879"/>
          </w:tcPr>
          <w:p>
            <w:pPr>
              <w:spacing w:after="0" w:line="240" w:lineRule="auto"/>
            </w:pPr>
            <w:r>
              <w:rPr>
                <w:b/>
                <w:sz w:val="16"/>
              </w:rPr>
              <w:t>95% CI</w:t>
            </w:r>
          </w:p>
        </w:tc>
        <w:tc>
          <w:tcPr>
            <w:tcW w:type="dxa" w:w="879"/>
          </w:tcPr>
          <w:p>
            <w:pPr>
              <w:spacing w:after="0" w:line="240" w:lineRule="auto"/>
            </w:pPr>
            <w:r>
              <w:rPr>
                <w:b/>
                <w:sz w:val="16"/>
              </w:rPr>
              <w:t>p (raw)</w:t>
            </w:r>
          </w:p>
        </w:tc>
        <w:tc>
          <w:tcPr>
            <w:tcW w:type="dxa" w:w="879"/>
          </w:tcPr>
          <w:p>
            <w:pPr>
              <w:spacing w:after="0" w:line="240" w:lineRule="auto"/>
            </w:pPr>
            <w:r>
              <w:rPr>
                <w:b/>
                <w:sz w:val="16"/>
              </w:rPr>
              <w:t>p (BH)</w:t>
            </w:r>
          </w:p>
        </w:tc>
        <w:tc>
          <w:tcPr>
            <w:tcW w:type="dxa" w:w="879"/>
          </w:tcPr>
          <w:p>
            <w:pPr>
              <w:spacing w:after="0" w:line="240" w:lineRule="auto"/>
            </w:pPr>
            <w:r>
              <w:rPr>
                <w:b/>
                <w:sz w:val="16"/>
              </w:rPr>
              <w:t>ρ ≤ 0</w:t>
            </w:r>
          </w:p>
        </w:tc>
        <w:tc>
          <w:tcPr>
            <w:tcW w:type="dxa" w:w="879"/>
          </w:tcPr>
          <w:p>
            <w:pPr>
              <w:spacing w:after="0" w:line="240" w:lineRule="auto"/>
            </w:pPr>
            <w:r>
              <w:rPr>
                <w:b/>
                <w:sz w:val="16"/>
              </w:rPr>
              <w:t>Distinguishable from zero after BH</w:t>
            </w:r>
          </w:p>
        </w:tc>
      </w:tr>
      <w:tr>
        <w:tc>
          <w:tcPr>
            <w:tcW w:type="dxa" w:w="879"/>
          </w:tcPr>
          <w:p>
            <w:pPr>
              <w:spacing w:after="0" w:line="240" w:lineRule="auto"/>
            </w:pPr>
            <w:r>
              <w:rPr>
                <w:b w:val="0"/>
                <w:sz w:val="16"/>
              </w:rPr>
              <w:t>confirmatory</w:t>
            </w:r>
          </w:p>
        </w:tc>
        <w:tc>
          <w:tcPr>
            <w:tcW w:type="dxa" w:w="879"/>
          </w:tcPr>
          <w:p>
            <w:pPr>
              <w:spacing w:after="0" w:line="240" w:lineRule="auto"/>
            </w:pPr>
            <w:r>
              <w:rPr>
                <w:b w:val="0"/>
                <w:sz w:val="16"/>
              </w:rPr>
              <w:t>kill</w:t>
            </w:r>
          </w:p>
        </w:tc>
        <w:tc>
          <w:tcPr>
            <w:tcW w:type="dxa" w:w="879"/>
          </w:tcPr>
          <w:p>
            <w:pPr>
              <w:spacing w:after="0" w:line="240" w:lineRule="auto"/>
            </w:pPr>
            <w:r>
              <w:rPr>
                <w:b w:val="0"/>
                <w:sz w:val="16"/>
              </w:rPr>
              <w:t>Social Network</w:t>
            </w:r>
          </w:p>
        </w:tc>
        <w:tc>
          <w:tcPr>
            <w:tcW w:type="dxa" w:w="879"/>
          </w:tcPr>
          <w:p>
            <w:pPr>
              <w:spacing w:after="0" w:line="240" w:lineRule="auto"/>
            </w:pPr>
            <w:r>
              <w:rPr>
                <w:b w:val="0"/>
                <w:sz w:val="16"/>
              </w:rPr>
              <w:t>11</w:t>
            </w:r>
          </w:p>
        </w:tc>
        <w:tc>
          <w:tcPr>
            <w:tcW w:type="dxa" w:w="879"/>
          </w:tcPr>
          <w:p>
            <w:pPr>
              <w:spacing w:after="0" w:line="240" w:lineRule="auto"/>
            </w:pPr>
            <w:r>
              <w:rPr>
                <w:b w:val="0"/>
                <w:sz w:val="16"/>
              </w:rPr>
              <w:t>-0.144</w:t>
            </w:r>
          </w:p>
        </w:tc>
        <w:tc>
          <w:tcPr>
            <w:tcW w:type="dxa" w:w="879"/>
          </w:tcPr>
          <w:p>
            <w:pPr>
              <w:spacing w:after="0" w:line="240" w:lineRule="auto"/>
            </w:pPr>
            <w:r>
              <w:rPr>
                <w:b w:val="0"/>
                <w:sz w:val="16"/>
              </w:rPr>
              <w:t>-0.810 to 0.698</w:t>
            </w:r>
          </w:p>
        </w:tc>
        <w:tc>
          <w:tcPr>
            <w:tcW w:type="dxa" w:w="879"/>
          </w:tcPr>
          <w:p>
            <w:pPr>
              <w:spacing w:after="0" w:line="240" w:lineRule="auto"/>
            </w:pPr>
            <w:r>
              <w:rPr>
                <w:b w:val="0"/>
                <w:sz w:val="16"/>
              </w:rPr>
              <w:t>0.6688</w:t>
            </w:r>
          </w:p>
        </w:tc>
        <w:tc>
          <w:tcPr>
            <w:tcW w:type="dxa" w:w="879"/>
          </w:tcPr>
          <w:p>
            <w:pPr>
              <w:spacing w:after="0" w:line="240" w:lineRule="auto"/>
            </w:pPr>
            <w:r>
              <w:rPr>
                <w:b w:val="0"/>
                <w:sz w:val="16"/>
              </w:rPr>
              <w:t>0.9925</w:t>
            </w:r>
          </w:p>
        </w:tc>
        <w:tc>
          <w:tcPr>
            <w:tcW w:type="dxa" w:w="879"/>
          </w:tcPr>
          <w:p>
            <w:pPr>
              <w:spacing w:after="0" w:line="240" w:lineRule="auto"/>
            </w:pPr>
            <w:r>
              <w:rPr>
                <w:b w:val="0"/>
                <w:sz w:val="16"/>
              </w:rPr>
              <w:t>yes</w:t>
            </w:r>
          </w:p>
        </w:tc>
        <w:tc>
          <w:tcPr>
            <w:tcW w:type="dxa" w:w="879"/>
          </w:tcPr>
          <w:p>
            <w:pPr>
              <w:spacing w:after="0" w:line="240" w:lineRule="auto"/>
            </w:pPr>
            <w:r>
              <w:rPr>
                <w:b w:val="0"/>
                <w:sz w:val="16"/>
              </w:rPr>
              <w:t>no</w:t>
            </w:r>
          </w:p>
        </w:tc>
      </w:tr>
      <w:tr>
        <w:tc>
          <w:tcPr>
            <w:tcW w:type="dxa" w:w="879"/>
          </w:tcPr>
          <w:p>
            <w:pPr>
              <w:spacing w:after="0" w:line="240" w:lineRule="auto"/>
            </w:pPr>
            <w:r>
              <w:rPr>
                <w:b w:val="0"/>
                <w:sz w:val="16"/>
              </w:rPr>
              <w:t>confirmatory</w:t>
            </w:r>
          </w:p>
        </w:tc>
        <w:tc>
          <w:tcPr>
            <w:tcW w:type="dxa" w:w="879"/>
          </w:tcPr>
          <w:p>
            <w:pPr>
              <w:spacing w:after="0" w:line="240" w:lineRule="auto"/>
            </w:pPr>
            <w:r>
              <w:rPr>
                <w:b w:val="0"/>
                <w:sz w:val="16"/>
              </w:rPr>
              <w:t>kill</w:t>
            </w:r>
          </w:p>
        </w:tc>
        <w:tc>
          <w:tcPr>
            <w:tcW w:type="dxa" w:w="879"/>
          </w:tcPr>
          <w:p>
            <w:pPr>
              <w:spacing w:after="0" w:line="240" w:lineRule="auto"/>
            </w:pPr>
            <w:r>
              <w:rPr>
                <w:b w:val="0"/>
                <w:sz w:val="16"/>
              </w:rPr>
              <w:t>Hotel Reservation</w:t>
            </w:r>
          </w:p>
        </w:tc>
        <w:tc>
          <w:tcPr>
            <w:tcW w:type="dxa" w:w="879"/>
          </w:tcPr>
          <w:p>
            <w:pPr>
              <w:spacing w:after="0" w:line="240" w:lineRule="auto"/>
            </w:pPr>
            <w:r>
              <w:rPr>
                <w:b w:val="0"/>
                <w:sz w:val="16"/>
              </w:rPr>
              <w:t>7</w:t>
            </w:r>
          </w:p>
        </w:tc>
        <w:tc>
          <w:tcPr>
            <w:tcW w:type="dxa" w:w="879"/>
          </w:tcPr>
          <w:p>
            <w:pPr>
              <w:spacing w:after="0" w:line="240" w:lineRule="auto"/>
            </w:pPr>
            <w:r>
              <w:rPr>
                <w:b w:val="0"/>
                <w:sz w:val="16"/>
              </w:rPr>
              <w:t>-0.258</w:t>
            </w:r>
          </w:p>
        </w:tc>
        <w:tc>
          <w:tcPr>
            <w:tcW w:type="dxa" w:w="879"/>
          </w:tcPr>
          <w:p>
            <w:pPr>
              <w:spacing w:after="0" w:line="240" w:lineRule="auto"/>
            </w:pPr>
            <w:r>
              <w:rPr>
                <w:b w:val="0"/>
                <w:sz w:val="16"/>
              </w:rPr>
              <w:t>-0.730 to -0.167</w:t>
            </w:r>
          </w:p>
        </w:tc>
        <w:tc>
          <w:tcPr>
            <w:tcW w:type="dxa" w:w="879"/>
          </w:tcPr>
          <w:p>
            <w:pPr>
              <w:spacing w:after="0" w:line="240" w:lineRule="auto"/>
            </w:pPr>
            <w:r>
              <w:rPr>
                <w:b w:val="0"/>
                <w:sz w:val="16"/>
              </w:rPr>
              <w:t>1.0000</w:t>
            </w:r>
          </w:p>
        </w:tc>
        <w:tc>
          <w:tcPr>
            <w:tcW w:type="dxa" w:w="879"/>
          </w:tcPr>
          <w:p>
            <w:pPr>
              <w:spacing w:after="0" w:line="240" w:lineRule="auto"/>
            </w:pPr>
            <w:r>
              <w:rPr>
                <w:b w:val="0"/>
                <w:sz w:val="16"/>
              </w:rPr>
              <w:t>1.0000</w:t>
            </w:r>
          </w:p>
        </w:tc>
        <w:tc>
          <w:tcPr>
            <w:tcW w:type="dxa" w:w="879"/>
          </w:tcPr>
          <w:p>
            <w:pPr>
              <w:spacing w:after="0" w:line="240" w:lineRule="auto"/>
            </w:pPr>
            <w:r>
              <w:rPr>
                <w:b w:val="0"/>
                <w:sz w:val="16"/>
              </w:rPr>
              <w:t>yes</w:t>
            </w:r>
          </w:p>
        </w:tc>
        <w:tc>
          <w:tcPr>
            <w:tcW w:type="dxa" w:w="879"/>
          </w:tcPr>
          <w:p>
            <w:pPr>
              <w:spacing w:after="0" w:line="240" w:lineRule="auto"/>
            </w:pPr>
            <w:r>
              <w:rPr>
                <w:b w:val="0"/>
                <w:sz w:val="16"/>
              </w:rPr>
              <w:t>no</w:t>
            </w:r>
          </w:p>
        </w:tc>
      </w:tr>
      <w:tr>
        <w:tc>
          <w:tcPr>
            <w:tcW w:type="dxa" w:w="879"/>
          </w:tcPr>
          <w:p>
            <w:pPr>
              <w:spacing w:after="0" w:line="240" w:lineRule="auto"/>
            </w:pPr>
            <w:r>
              <w:rPr>
                <w:b w:val="0"/>
                <w:sz w:val="16"/>
              </w:rPr>
              <w:t>replication</w:t>
            </w:r>
          </w:p>
        </w:tc>
        <w:tc>
          <w:tcPr>
            <w:tcW w:type="dxa" w:w="879"/>
          </w:tcPr>
          <w:p>
            <w:pPr>
              <w:spacing w:after="0" w:line="240" w:lineRule="auto"/>
            </w:pPr>
            <w:r>
              <w:rPr>
                <w:b w:val="0"/>
                <w:sz w:val="16"/>
              </w:rPr>
              <w:t>latency</w:t>
            </w:r>
          </w:p>
        </w:tc>
        <w:tc>
          <w:tcPr>
            <w:tcW w:type="dxa" w:w="879"/>
          </w:tcPr>
          <w:p>
            <w:pPr>
              <w:spacing w:after="0" w:line="240" w:lineRule="auto"/>
            </w:pPr>
            <w:r>
              <w:rPr>
                <w:b w:val="0"/>
                <w:sz w:val="16"/>
              </w:rPr>
              <w:t>Social Network</w:t>
            </w:r>
          </w:p>
        </w:tc>
        <w:tc>
          <w:tcPr>
            <w:tcW w:type="dxa" w:w="879"/>
          </w:tcPr>
          <w:p>
            <w:pPr>
              <w:spacing w:after="0" w:line="240" w:lineRule="auto"/>
            </w:pPr>
            <w:r>
              <w:rPr>
                <w:b w:val="0"/>
                <w:sz w:val="16"/>
              </w:rPr>
              <w:t>11</w:t>
            </w:r>
          </w:p>
        </w:tc>
        <w:tc>
          <w:tcPr>
            <w:tcW w:type="dxa" w:w="879"/>
          </w:tcPr>
          <w:p>
            <w:pPr>
              <w:spacing w:after="0" w:line="240" w:lineRule="auto"/>
            </w:pPr>
            <w:r>
              <w:rPr>
                <w:b w:val="0"/>
                <w:sz w:val="16"/>
              </w:rPr>
              <w:t>-0.144</w:t>
            </w:r>
          </w:p>
        </w:tc>
        <w:tc>
          <w:tcPr>
            <w:tcW w:type="dxa" w:w="879"/>
          </w:tcPr>
          <w:p>
            <w:pPr>
              <w:spacing w:after="0" w:line="240" w:lineRule="auto"/>
            </w:pPr>
            <w:r>
              <w:rPr>
                <w:b w:val="0"/>
                <w:sz w:val="16"/>
              </w:rPr>
              <w:t>-0.805 to 0.713</w:t>
            </w:r>
          </w:p>
        </w:tc>
        <w:tc>
          <w:tcPr>
            <w:tcW w:type="dxa" w:w="879"/>
          </w:tcPr>
          <w:p>
            <w:pPr>
              <w:spacing w:after="0" w:line="240" w:lineRule="auto"/>
            </w:pPr>
            <w:r>
              <w:rPr>
                <w:b w:val="0"/>
                <w:sz w:val="16"/>
              </w:rPr>
              <w:t>0.6656</w:t>
            </w:r>
          </w:p>
        </w:tc>
        <w:tc>
          <w:tcPr>
            <w:tcW w:type="dxa" w:w="879"/>
          </w:tcPr>
          <w:p>
            <w:pPr>
              <w:spacing w:after="0" w:line="240" w:lineRule="auto"/>
            </w:pPr>
            <w:r>
              <w:rPr>
                <w:b w:val="0"/>
                <w:sz w:val="16"/>
              </w:rPr>
              <w:t>0.9152</w:t>
            </w:r>
          </w:p>
        </w:tc>
        <w:tc>
          <w:tcPr>
            <w:tcW w:type="dxa" w:w="879"/>
          </w:tcPr>
          <w:p>
            <w:pPr>
              <w:spacing w:after="0" w:line="240" w:lineRule="auto"/>
            </w:pPr>
            <w:r>
              <w:rPr>
                <w:b w:val="0"/>
                <w:sz w:val="16"/>
              </w:rPr>
              <w:t>yes</w:t>
            </w:r>
          </w:p>
        </w:tc>
        <w:tc>
          <w:tcPr>
            <w:tcW w:type="dxa" w:w="879"/>
          </w:tcPr>
          <w:p>
            <w:pPr>
              <w:spacing w:after="0" w:line="240" w:lineRule="auto"/>
            </w:pPr>
            <w:r>
              <w:rPr>
                <w:b w:val="0"/>
                <w:sz w:val="16"/>
              </w:rPr>
              <w:t>no</w:t>
            </w:r>
          </w:p>
        </w:tc>
      </w:tr>
      <w:tr>
        <w:tc>
          <w:tcPr>
            <w:tcW w:type="dxa" w:w="879"/>
          </w:tcPr>
          <w:p>
            <w:pPr>
              <w:spacing w:after="0" w:line="240" w:lineRule="auto"/>
            </w:pPr>
            <w:r>
              <w:rPr>
                <w:b w:val="0"/>
                <w:sz w:val="16"/>
              </w:rPr>
              <w:t>replication</w:t>
            </w:r>
          </w:p>
        </w:tc>
        <w:tc>
          <w:tcPr>
            <w:tcW w:type="dxa" w:w="879"/>
          </w:tcPr>
          <w:p>
            <w:pPr>
              <w:spacing w:after="0" w:line="240" w:lineRule="auto"/>
            </w:pPr>
            <w:r>
              <w:rPr>
                <w:b w:val="0"/>
                <w:sz w:val="16"/>
              </w:rPr>
              <w:t>latency</w:t>
            </w:r>
          </w:p>
        </w:tc>
        <w:tc>
          <w:tcPr>
            <w:tcW w:type="dxa" w:w="879"/>
          </w:tcPr>
          <w:p>
            <w:pPr>
              <w:spacing w:after="0" w:line="240" w:lineRule="auto"/>
            </w:pPr>
            <w:r>
              <w:rPr>
                <w:b w:val="0"/>
                <w:sz w:val="16"/>
              </w:rPr>
              <w:t>Hotel Reservation</w:t>
            </w:r>
          </w:p>
        </w:tc>
        <w:tc>
          <w:tcPr>
            <w:tcW w:type="dxa" w:w="879"/>
          </w:tcPr>
          <w:p>
            <w:pPr>
              <w:spacing w:after="0" w:line="240" w:lineRule="auto"/>
            </w:pPr>
            <w:r>
              <w:rPr>
                <w:b w:val="0"/>
                <w:sz w:val="16"/>
              </w:rPr>
              <w:t>7</w:t>
            </w:r>
          </w:p>
        </w:tc>
        <w:tc>
          <w:tcPr>
            <w:tcW w:type="dxa" w:w="879"/>
          </w:tcPr>
          <w:p>
            <w:pPr>
              <w:spacing w:after="0" w:line="240" w:lineRule="auto"/>
            </w:pPr>
            <w:r>
              <w:rPr>
                <w:b w:val="0"/>
                <w:sz w:val="16"/>
              </w:rPr>
              <w:t>-0.258</w:t>
            </w:r>
          </w:p>
        </w:tc>
        <w:tc>
          <w:tcPr>
            <w:tcW w:type="dxa" w:w="879"/>
          </w:tcPr>
          <w:p>
            <w:pPr>
              <w:spacing w:after="0" w:line="240" w:lineRule="auto"/>
            </w:pPr>
            <w:r>
              <w:rPr>
                <w:b w:val="0"/>
                <w:sz w:val="16"/>
              </w:rPr>
              <w:t>-0.750 to -0.167</w:t>
            </w:r>
          </w:p>
        </w:tc>
        <w:tc>
          <w:tcPr>
            <w:tcW w:type="dxa" w:w="879"/>
          </w:tcPr>
          <w:p>
            <w:pPr>
              <w:spacing w:after="0" w:line="240" w:lineRule="auto"/>
            </w:pPr>
            <w:r>
              <w:rPr>
                <w:b w:val="0"/>
                <w:sz w:val="16"/>
              </w:rPr>
              <w:t>1.0000</w:t>
            </w:r>
          </w:p>
        </w:tc>
        <w:tc>
          <w:tcPr>
            <w:tcW w:type="dxa" w:w="879"/>
          </w:tcPr>
          <w:p>
            <w:pPr>
              <w:spacing w:after="0" w:line="240" w:lineRule="auto"/>
            </w:pPr>
            <w:r>
              <w:rPr>
                <w:b w:val="0"/>
                <w:sz w:val="16"/>
              </w:rPr>
              <w:t>1.0000</w:t>
            </w:r>
          </w:p>
        </w:tc>
        <w:tc>
          <w:tcPr>
            <w:tcW w:type="dxa" w:w="879"/>
          </w:tcPr>
          <w:p>
            <w:pPr>
              <w:spacing w:after="0" w:line="240" w:lineRule="auto"/>
            </w:pPr>
            <w:r>
              <w:rPr>
                <w:b w:val="0"/>
                <w:sz w:val="16"/>
              </w:rPr>
              <w:t>yes</w:t>
            </w:r>
          </w:p>
        </w:tc>
        <w:tc>
          <w:tcPr>
            <w:tcW w:type="dxa" w:w="879"/>
          </w:tcPr>
          <w:p>
            <w:pPr>
              <w:spacing w:after="0" w:line="240" w:lineRule="auto"/>
            </w:pPr>
            <w:r>
              <w:rPr>
                <w:b w:val="0"/>
                <w:sz w:val="16"/>
              </w:rPr>
              <w:t>no</w:t>
            </w:r>
          </w:p>
        </w:tc>
      </w:tr>
    </w:tbl>
    <w:p>
      <w:pPr>
        <w:spacing w:after="40"/>
      </w:pPr>
    </w:p>
    <w:p>
      <w:pPr>
        <w:jc w:val="both"/>
      </w:pPr>
      <w:r>
        <w:t>The case that motivated the metric shows why. compose-post-service calls 7 services directly and has 10 descendants, so the hybrid metric ranks it first of 11; by callers it ranks last, with a single caller (Fig. 13). In all 10 of its runs exactly one caller degraded, and that caller was always the gateway.</w:t>
      </w:r>
    </w:p>
    <w:p>
      <w:pPr>
        <w:jc w:val="center"/>
      </w:pPr>
      <w:r>
        <w:drawing>
          <wp:inline xmlns:a="http://schemas.openxmlformats.org/drawingml/2006/main" xmlns:pic="http://schemas.openxmlformats.org/drawingml/2006/picture">
            <wp:extent cx="5580000" cy="3904795"/>
            <wp:docPr id="14" name="Picture 14"/>
            <wp:cNvGraphicFramePr>
              <a:graphicFrameLocks noChangeAspect="1"/>
            </wp:cNvGraphicFramePr>
            <a:graphic>
              <a:graphicData uri="http://schemas.openxmlformats.org/drawingml/2006/picture">
                <pic:pic>
                  <pic:nvPicPr>
                    <pic:cNvPr id="0" name="fig_rank_inversion.png"/>
                    <pic:cNvPicPr/>
                  </pic:nvPicPr>
                  <pic:blipFill>
                    <a:blip r:embed="rId24"/>
                    <a:stretch>
                      <a:fillRect/>
                    </a:stretch>
                  </pic:blipFill>
                  <pic:spPr>
                    <a:xfrm>
                      <a:off x="0" y="0"/>
                      <a:ext cx="5580000" cy="3904795"/>
                    </a:xfrm>
                    <a:prstGeom prst="rect"/>
                  </pic:spPr>
                </pic:pic>
              </a:graphicData>
            </a:graphic>
          </wp:inline>
        </w:drawing>
      </w:r>
    </w:p>
    <w:p>
      <w:pPr>
        <w:pStyle w:val="FigureCaption"/>
      </w:pPr>
      <w:r>
        <w:t>Fig. 13. Rank of each Social Network service by the hybrid metric and by caller count, with compose-post-service highlighted.</w:t>
      </w:r>
    </w:p>
    <w:p>
      <w:pPr>
        <w:jc w:val="both"/>
      </w:pPr>
      <w:r>
        <w:t>A sweep over all 231 weightings on the preregistered grid, run after the confirmatory results were known, found no weighting with a significant association with degraded callers (Fig. 14), so the null result does not depend on the inherited weights.</w:t>
      </w:r>
    </w:p>
    <w:p>
      <w:pPr>
        <w:jc w:val="center"/>
      </w:pPr>
      <w:r>
        <w:drawing>
          <wp:inline xmlns:a="http://schemas.openxmlformats.org/drawingml/2006/main" xmlns:pic="http://schemas.openxmlformats.org/drawingml/2006/picture">
            <wp:extent cx="5580000" cy="4954806"/>
            <wp:docPr id="15" name="Picture 15"/>
            <wp:cNvGraphicFramePr>
              <a:graphicFrameLocks noChangeAspect="1"/>
            </wp:cNvGraphicFramePr>
            <a:graphic>
              <a:graphicData uri="http://schemas.openxmlformats.org/drawingml/2006/picture">
                <pic:pic>
                  <pic:nvPicPr>
                    <pic:cNvPr id="0" name="fig_weight_sensitivity.png"/>
                    <pic:cNvPicPr/>
                  </pic:nvPicPr>
                  <pic:blipFill>
                    <a:blip r:embed="rId25"/>
                    <a:stretch>
                      <a:fillRect/>
                    </a:stretch>
                  </pic:blipFill>
                  <pic:spPr>
                    <a:xfrm>
                      <a:off x="0" y="0"/>
                      <a:ext cx="5580000" cy="4954806"/>
                    </a:xfrm>
                    <a:prstGeom prst="rect"/>
                  </pic:spPr>
                </pic:pic>
              </a:graphicData>
            </a:graphic>
          </wp:inline>
        </w:drawing>
      </w:r>
    </w:p>
    <w:p>
      <w:pPr>
        <w:pStyle w:val="FigureCaption"/>
      </w:pPr>
      <w:r>
        <w:t>Fig. 14. Post hoc weight sensitivity: ρ of the hybrid metric against degraded callers and against gateway error rate for every weight triplet.</w:t>
      </w:r>
    </w:p>
    <w:p>
      <w:pPr>
        <w:pStyle w:val="Heading2"/>
      </w:pPr>
      <w:r>
        <w:t>7.4 Replication and Direction of Propagation</w:t>
      </w:r>
    </w:p>
    <w:p>
      <w:pPr>
        <w:jc w:val="both"/>
      </w:pPr>
      <w:r>
        <w:t>The latency-fault replication family also had no significant test after correction; its smallest adjusted p-value was 0.1848. Which services degraded hardly depended on how the fault was delivered: 17 of 18 services showed identical per-run counts under kill and delay.</w:t>
      </w:r>
    </w:p>
    <w:p>
      <w:pPr>
        <w:jc w:val="both"/>
      </w:pPr>
      <w:r>
        <w:t>The clearest result is the direction of propagation. No descendant of the faulted service degraded in 179 of 180 runs, and unrelated services stayed unaffected in 179 of 180. A failure travelled up to the services that wait on the failed one and almost never down to the services it calls. This is consistent with the reasoning in Section 1.2: a callee of a dead or slow service simply receives fewer requests.</w:t>
      </w:r>
    </w:p>
    <w:p>
      <w:pPr>
        <w:pStyle w:val="Heading2"/>
      </w:pPr>
      <w:r>
        <w:t>7.5 Limits of the Design</w:t>
      </w:r>
    </w:p>
    <w:p>
      <w:pPr>
        <w:jc w:val="both"/>
      </w:pPr>
      <w:r>
        <w:t>With the service as the unit of analysis, the sample sizes are 11 and 7 services, and the caller count takes only four and two distinct values. These ties cap the correlation an untied outcome could reach at 0.941 and 0.791 (Table 8). On Hotel Reservation even that ceiling gives a p-value of 0.0952, above the usual threshold before any correction, so that application could not have produced a significant result on its own. These limits were computed before data collection.</w:t>
      </w:r>
    </w:p>
    <w:p>
      <w:pPr>
        <w:pStyle w:val="TableCaption"/>
      </w:pPr>
      <w:r>
        <w:t>Table 8. What the design could detect</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line="240" w:lineRule="auto"/>
            </w:pPr>
            <w:r>
              <w:rPr>
                <w:b/>
                <w:sz w:val="18"/>
              </w:rPr>
              <w:t>Quantity</w:t>
            </w:r>
          </w:p>
        </w:tc>
        <w:tc>
          <w:tcPr>
            <w:tcW w:type="dxa" w:w="2929"/>
          </w:tcPr>
          <w:p>
            <w:pPr>
              <w:spacing w:after="0" w:line="240" w:lineRule="auto"/>
            </w:pPr>
            <w:r>
              <w:rPr>
                <w:b/>
                <w:sz w:val="18"/>
              </w:rPr>
              <w:t>Social Network</w:t>
            </w:r>
          </w:p>
        </w:tc>
        <w:tc>
          <w:tcPr>
            <w:tcW w:type="dxa" w:w="2929"/>
          </w:tcPr>
          <w:p>
            <w:pPr>
              <w:spacing w:after="0" w:line="240" w:lineRule="auto"/>
            </w:pPr>
            <w:r>
              <w:rPr>
                <w:b/>
                <w:sz w:val="18"/>
              </w:rPr>
              <w:t>Hotel Reservation</w:t>
            </w:r>
          </w:p>
        </w:tc>
      </w:tr>
      <w:tr>
        <w:tc>
          <w:tcPr>
            <w:tcW w:type="dxa" w:w="2929"/>
          </w:tcPr>
          <w:p>
            <w:pPr>
              <w:spacing w:after="0" w:line="240" w:lineRule="auto"/>
            </w:pPr>
            <w:r>
              <w:rPr>
                <w:b w:val="0"/>
                <w:sz w:val="18"/>
              </w:rPr>
              <w:t>Services, realised / preregistered</w:t>
            </w:r>
          </w:p>
        </w:tc>
        <w:tc>
          <w:tcPr>
            <w:tcW w:type="dxa" w:w="2929"/>
          </w:tcPr>
          <w:p>
            <w:pPr>
              <w:spacing w:after="0" w:line="240" w:lineRule="auto"/>
            </w:pPr>
            <w:r>
              <w:rPr>
                <w:b w:val="0"/>
                <w:sz w:val="18"/>
              </w:rPr>
              <w:t>11 / 11</w:t>
            </w:r>
          </w:p>
        </w:tc>
        <w:tc>
          <w:tcPr>
            <w:tcW w:type="dxa" w:w="2929"/>
          </w:tcPr>
          <w:p>
            <w:pPr>
              <w:spacing w:after="0" w:line="240" w:lineRule="auto"/>
            </w:pPr>
            <w:r>
              <w:rPr>
                <w:b w:val="0"/>
                <w:sz w:val="18"/>
              </w:rPr>
              <w:t>7 / 7</w:t>
            </w:r>
          </w:p>
        </w:tc>
      </w:tr>
      <w:tr>
        <w:tc>
          <w:tcPr>
            <w:tcW w:type="dxa" w:w="2929"/>
          </w:tcPr>
          <w:p>
            <w:pPr>
              <w:spacing w:after="0" w:line="240" w:lineRule="auto"/>
            </w:pPr>
            <w:r>
              <w:rPr>
                <w:b w:val="0"/>
                <w:sz w:val="18"/>
              </w:rPr>
              <w:t xml:space="preserve">Distinct </w:t>
            </w:r>
            <w:r>
              <w:rPr>
                <w:b w:val="0"/>
                <w:i/>
                <w:sz w:val="18"/>
              </w:rPr>
              <w:t>X</w:t>
            </w:r>
            <w:r>
              <w:rPr>
                <w:b w:val="0"/>
                <w:sz w:val="18"/>
              </w:rPr>
              <w:t xml:space="preserve"> values, realised / preregistered</w:t>
            </w:r>
          </w:p>
        </w:tc>
        <w:tc>
          <w:tcPr>
            <w:tcW w:type="dxa" w:w="2929"/>
          </w:tcPr>
          <w:p>
            <w:pPr>
              <w:spacing w:after="0" w:line="240" w:lineRule="auto"/>
            </w:pPr>
            <w:r>
              <w:rPr>
                <w:b w:val="0"/>
                <w:sz w:val="18"/>
              </w:rPr>
              <w:t>4 / 4</w:t>
            </w:r>
          </w:p>
        </w:tc>
        <w:tc>
          <w:tcPr>
            <w:tcW w:type="dxa" w:w="2929"/>
          </w:tcPr>
          <w:p>
            <w:pPr>
              <w:spacing w:after="0" w:line="240" w:lineRule="auto"/>
            </w:pPr>
            <w:r>
              <w:rPr>
                <w:b w:val="0"/>
                <w:sz w:val="18"/>
              </w:rPr>
              <w:t>2 / 2</w:t>
            </w:r>
          </w:p>
        </w:tc>
      </w:tr>
      <w:tr>
        <w:tc>
          <w:tcPr>
            <w:tcW w:type="dxa" w:w="2929"/>
          </w:tcPr>
          <w:p>
            <w:pPr>
              <w:spacing w:after="0" w:line="240" w:lineRule="auto"/>
            </w:pPr>
            <w:r>
              <w:rPr>
                <w:b w:val="0"/>
                <w:i/>
                <w:sz w:val="18"/>
              </w:rPr>
              <w:t>X</w:t>
            </w:r>
            <w:r>
              <w:rPr>
                <w:b w:val="0"/>
                <w:sz w:val="18"/>
              </w:rPr>
              <w:t xml:space="preserve"> values</w:t>
            </w:r>
          </w:p>
        </w:tc>
        <w:tc>
          <w:tcPr>
            <w:tcW w:type="dxa" w:w="2929"/>
          </w:tcPr>
          <w:p>
            <w:pPr>
              <w:spacing w:after="0" w:line="240" w:lineRule="auto"/>
            </w:pPr>
            <w:r>
              <w:rPr>
                <w:b w:val="0"/>
                <w:sz w:val="18"/>
              </w:rPr>
              <w:t>1, 2, 2, 2, 2, 2, 3, 3, 3, 4, 4</w:t>
            </w:r>
          </w:p>
        </w:tc>
        <w:tc>
          <w:tcPr>
            <w:tcW w:type="dxa" w:w="2929"/>
          </w:tcPr>
          <w:p>
            <w:pPr>
              <w:spacing w:after="0" w:line="240" w:lineRule="auto"/>
            </w:pPr>
            <w:r>
              <w:rPr>
                <w:b w:val="0"/>
                <w:sz w:val="18"/>
              </w:rPr>
              <w:t>1, 1, 1, 1, 1, 2, 2</w:t>
            </w:r>
          </w:p>
        </w:tc>
      </w:tr>
      <w:tr>
        <w:tc>
          <w:tcPr>
            <w:tcW w:type="dxa" w:w="2929"/>
          </w:tcPr>
          <w:p>
            <w:pPr>
              <w:spacing w:after="0" w:line="240" w:lineRule="auto"/>
            </w:pPr>
            <w:r>
              <w:rPr>
                <w:b w:val="0"/>
                <w:sz w:val="18"/>
              </w:rPr>
              <w:t>Ceiling ρ, outcome without ties, realised / preregistered</w:t>
            </w:r>
          </w:p>
        </w:tc>
        <w:tc>
          <w:tcPr>
            <w:tcW w:type="dxa" w:w="2929"/>
          </w:tcPr>
          <w:p>
            <w:pPr>
              <w:spacing w:after="0" w:line="240" w:lineRule="auto"/>
            </w:pPr>
            <w:r>
              <w:rPr>
                <w:b w:val="0"/>
                <w:sz w:val="18"/>
              </w:rPr>
              <w:t>0.941 / 0.941</w:t>
            </w:r>
          </w:p>
        </w:tc>
        <w:tc>
          <w:tcPr>
            <w:tcW w:type="dxa" w:w="2929"/>
          </w:tcPr>
          <w:p>
            <w:pPr>
              <w:spacing w:after="0" w:line="240" w:lineRule="auto"/>
            </w:pPr>
            <w:r>
              <w:rPr>
                <w:b w:val="0"/>
                <w:sz w:val="18"/>
              </w:rPr>
              <w:t>0.791 / 0.791</w:t>
            </w:r>
          </w:p>
        </w:tc>
      </w:tr>
      <w:tr>
        <w:tc>
          <w:tcPr>
            <w:tcW w:type="dxa" w:w="2929"/>
          </w:tcPr>
          <w:p>
            <w:pPr>
              <w:spacing w:after="0" w:line="240" w:lineRule="auto"/>
            </w:pPr>
            <w:r>
              <w:rPr>
                <w:b w:val="0"/>
                <w:sz w:val="18"/>
              </w:rPr>
              <w:t>Ceiling p, outcome without ties, permutation</w:t>
            </w:r>
          </w:p>
        </w:tc>
        <w:tc>
          <w:tcPr>
            <w:tcW w:type="dxa" w:w="2929"/>
          </w:tcPr>
          <w:p>
            <w:pPr>
              <w:spacing w:after="0" w:line="240" w:lineRule="auto"/>
            </w:pPr>
            <w:r>
              <w:rPr>
                <w:b w:val="0"/>
                <w:sz w:val="18"/>
              </w:rPr>
              <w:t>0.0002</w:t>
            </w:r>
          </w:p>
        </w:tc>
        <w:tc>
          <w:tcPr>
            <w:tcW w:type="dxa" w:w="2929"/>
          </w:tcPr>
          <w:p>
            <w:pPr>
              <w:spacing w:after="0" w:line="240" w:lineRule="auto"/>
            </w:pPr>
            <w:r>
              <w:rPr>
                <w:b w:val="0"/>
                <w:sz w:val="18"/>
              </w:rPr>
              <w:t>0.0952</w:t>
            </w:r>
          </w:p>
        </w:tc>
      </w:tr>
      <w:tr>
        <w:tc>
          <w:tcPr>
            <w:tcW w:type="dxa" w:w="2929"/>
          </w:tcPr>
          <w:p>
            <w:pPr>
              <w:spacing w:after="0" w:line="240" w:lineRule="auto"/>
            </w:pPr>
            <w:r>
              <w:rPr>
                <w:b w:val="0"/>
                <w:sz w:val="18"/>
              </w:rPr>
              <w:t>Ceiling p, outcome without ties, asymptotic (not for inference)</w:t>
            </w:r>
          </w:p>
        </w:tc>
        <w:tc>
          <w:tcPr>
            <w:tcW w:type="dxa" w:w="2929"/>
          </w:tcPr>
          <w:p>
            <w:pPr>
              <w:spacing w:after="0" w:line="240" w:lineRule="auto"/>
            </w:pPr>
            <w:r>
              <w:rPr>
                <w:b w:val="0"/>
                <w:sz w:val="18"/>
              </w:rPr>
              <w:t>&lt;0.0001</w:t>
            </w:r>
          </w:p>
        </w:tc>
        <w:tc>
          <w:tcPr>
            <w:tcW w:type="dxa" w:w="2929"/>
          </w:tcPr>
          <w:p>
            <w:pPr>
              <w:spacing w:after="0" w:line="240" w:lineRule="auto"/>
            </w:pPr>
            <w:r>
              <w:rPr>
                <w:b w:val="0"/>
                <w:sz w:val="18"/>
              </w:rPr>
              <w:t>0.0343</w:t>
            </w:r>
          </w:p>
        </w:tc>
      </w:tr>
      <w:tr>
        <w:tc>
          <w:tcPr>
            <w:tcW w:type="dxa" w:w="2929"/>
          </w:tcPr>
          <w:p>
            <w:pPr>
              <w:spacing w:after="0" w:line="240" w:lineRule="auto"/>
            </w:pPr>
            <w:r>
              <w:rPr>
                <w:b w:val="0"/>
                <w:sz w:val="18"/>
              </w:rPr>
              <w:t xml:space="preserve">Ceiling ρ, outcome tied like </w:t>
            </w:r>
            <w:r>
              <w:rPr>
                <w:b w:val="0"/>
                <w:i/>
                <w:sz w:val="18"/>
              </w:rPr>
              <w:t>X</w:t>
            </w:r>
          </w:p>
        </w:tc>
        <w:tc>
          <w:tcPr>
            <w:tcW w:type="dxa" w:w="2929"/>
          </w:tcPr>
          <w:p>
            <w:pPr>
              <w:spacing w:after="0" w:line="240" w:lineRule="auto"/>
            </w:pPr>
            <w:r>
              <w:rPr>
                <w:b w:val="0"/>
                <w:sz w:val="18"/>
              </w:rPr>
              <w:t>1.000</w:t>
            </w:r>
          </w:p>
        </w:tc>
        <w:tc>
          <w:tcPr>
            <w:tcW w:type="dxa" w:w="2929"/>
          </w:tcPr>
          <w:p>
            <w:pPr>
              <w:spacing w:after="0" w:line="240" w:lineRule="auto"/>
            </w:pPr>
            <w:r>
              <w:rPr>
                <w:b w:val="0"/>
                <w:sz w:val="18"/>
              </w:rPr>
              <w:t>1.000</w:t>
            </w:r>
          </w:p>
        </w:tc>
      </w:tr>
      <w:tr>
        <w:tc>
          <w:tcPr>
            <w:tcW w:type="dxa" w:w="2929"/>
          </w:tcPr>
          <w:p>
            <w:pPr>
              <w:spacing w:after="0" w:line="240" w:lineRule="auto"/>
            </w:pPr>
            <w:r>
              <w:rPr>
                <w:b w:val="0"/>
                <w:sz w:val="18"/>
              </w:rPr>
              <w:t xml:space="preserve">Ceiling p, outcome tied like </w:t>
            </w:r>
            <w:r>
              <w:rPr>
                <w:b w:val="0"/>
                <w:i/>
                <w:sz w:val="18"/>
              </w:rPr>
              <w:t>X</w:t>
            </w:r>
            <w:r>
              <w:rPr>
                <w:b w:val="0"/>
                <w:sz w:val="18"/>
              </w:rPr>
              <w:t>, permutation</w:t>
            </w:r>
          </w:p>
        </w:tc>
        <w:tc>
          <w:tcPr>
            <w:tcW w:type="dxa" w:w="2929"/>
          </w:tcPr>
          <w:p>
            <w:pPr>
              <w:spacing w:after="0" w:line="240" w:lineRule="auto"/>
            </w:pPr>
            <w:r>
              <w:rPr>
                <w:b w:val="0"/>
                <w:sz w:val="18"/>
              </w:rPr>
              <w:t>0.0001</w:t>
            </w:r>
          </w:p>
        </w:tc>
        <w:tc>
          <w:tcPr>
            <w:tcW w:type="dxa" w:w="2929"/>
          </w:tcPr>
          <w:p>
            <w:pPr>
              <w:spacing w:after="0" w:line="240" w:lineRule="auto"/>
            </w:pPr>
            <w:r>
              <w:rPr>
                <w:b w:val="0"/>
                <w:sz w:val="18"/>
              </w:rPr>
              <w:t>0.0476</w:t>
            </w:r>
          </w:p>
        </w:tc>
      </w:tr>
      <w:tr>
        <w:tc>
          <w:tcPr>
            <w:tcW w:type="dxa" w:w="2929"/>
          </w:tcPr>
          <w:p>
            <w:pPr>
              <w:spacing w:after="0" w:line="240" w:lineRule="auto"/>
            </w:pPr>
            <w:r>
              <w:rPr>
                <w:b w:val="0"/>
                <w:sz w:val="18"/>
              </w:rPr>
              <w:t>p quoted in the preregistration</w:t>
            </w:r>
          </w:p>
        </w:tc>
        <w:tc>
          <w:tcPr>
            <w:tcW w:type="dxa" w:w="2929"/>
          </w:tcPr>
          <w:p>
            <w:pPr>
              <w:spacing w:after="0" w:line="240" w:lineRule="auto"/>
            </w:pPr>
          </w:p>
        </w:tc>
        <w:tc>
          <w:tcPr>
            <w:tcW w:type="dxa" w:w="2929"/>
          </w:tcPr>
          <w:p>
            <w:pPr>
              <w:spacing w:after="0" w:line="240" w:lineRule="auto"/>
            </w:pPr>
            <w:r>
              <w:rPr>
                <w:b w:val="0"/>
                <w:sz w:val="18"/>
              </w:rPr>
              <w:t>0.034</w:t>
            </w:r>
          </w:p>
        </w:tc>
      </w:tr>
    </w:tbl>
    <w:p>
      <w:pPr>
        <w:spacing w:after="40"/>
      </w:pPr>
    </w:p>
    <w:p>
      <w:pPr>
        <w:jc w:val="both"/>
      </w:pPr>
      <w:r>
        <w:t>Recovery time showed no significant association with either predictor in either family. Observed recovery times ranged from 9.72 to 156.27 s, with a median of 15.74 s.</w:t>
      </w:r>
    </w:p>
    <w:p>
      <w:pPr>
        <w:pStyle w:val="Heading2"/>
      </w:pPr>
      <w:r>
        <w:t>7.6 Discussion</w:t>
      </w:r>
    </w:p>
    <w:p>
      <w:pPr>
        <w:jc w:val="both"/>
      </w:pPr>
      <w:r>
        <w:t>The findings point towards looking up the graph, at callers, and away from looking down it, at callees, when ranking services for hardening. The caveat is important: the project's own test of the caller ranking did not reach significance, so it is not claimed that the caller count predicts failure impact. In an exploratory analysis, the error rate seen at the gateway followed the share of traffic that passed through the failed service, which suggests that a ranking weighting callers by traffic is worth testing as a new, preregistered hypothesis.</w:t>
      </w:r>
    </w:p>
    <w:p>
      <w:pPr>
        <w:jc w:val="both"/>
      </w:pPr>
      <w:r>
        <w:t>Measurement also taught lessons. Attributing latency per service, rather than charging end-to-end latency to every service on a path, changed which services counted as degraded. And a structural predictor tested against a structurally defined outcome needs a saturation measure next to the correlation; without it, a high ρ can look like evidence when it mostly restates the definition.</w:t>
      </w:r>
    </w:p>
    <w:p>
      <w:pPr>
        <w:jc w:val="both"/>
      </w:pPr>
      <w:r>
        <w:t>The main threats to validity are the small number of services, the single benchmark suite and workload, a call graph that depends on the traffic used to build it, and fault types limited to a kill and a delay.</w:t>
      </w:r>
    </w:p>
    <w:p>
      <w:pPr>
        <w:pStyle w:val="Heading2"/>
      </w:pPr>
      <w:r>
        <w:t>7.7 Cost Analysis</w:t>
      </w:r>
    </w:p>
    <w:p>
      <w:pPr>
        <w:jc w:val="both"/>
      </w:pPr>
      <w:r>
        <w:t>The project incurred no monetary cost. All software is open source or free for educational use, and the experiments ran on the author's laptop without cloud resources. The main cost was machine time: the campaign itself took about 8.5 hours, and the full analysis can be rerun from the stored data without Docker.</w:t>
      </w:r>
    </w:p>
    <w:p>
      <w:r>
        <w:br w:type="page"/>
      </w:r>
    </w:p>
    <w:p>
      <w:pPr>
        <w:spacing w:line="360" w:lineRule="auto" w:after="0"/>
        <w:jc w:val="center"/>
      </w:pPr>
      <w:r>
        <w:rPr>
          <w:b/>
          <w:sz w:val="28"/>
        </w:rPr>
        <w:t>CHAPTER 8</w:t>
      </w:r>
    </w:p>
    <w:p>
      <w:pPr>
        <w:pStyle w:val="Heading1"/>
      </w:pPr>
      <w:r>
        <w:t>8. CONCLUSION</w:t>
      </w:r>
    </w:p>
    <w:p>
      <w:pPr>
        <w:jc w:val="both"/>
      </w:pPr>
      <w:r>
        <w:t>The project set out to identify failure-prone microservices from graph centrality metrics, and tested that idea with a preregistered fault-injection campaign of 180 balanced runs on two benchmark applications. The centrality metric the project began with, which favours services with high fan-out, did not identify the services whose failure did the most damage: its correlation with degraded callers was negative everywhere and never distinguishable from zero. The caller count correlated strongly with degraded callers on Social Network, but no test survived correction, and much of that correlation follows from how the outcome is defined.</w:t>
      </w:r>
    </w:p>
    <w:p>
      <w:pPr>
        <w:jc w:val="both"/>
      </w:pPr>
      <w:r>
        <w:t>What held without any statistical test is the direction of propagation: failures reached callers and almost never callees. The project also showed that per-service latency attribution is essential when traces are used to judge which services degrade, and it rebuilt its pipeline so that every number can be regenerated from logged data after an audit of the earlier version.</w:t>
      </w:r>
    </w:p>
    <w:p>
      <w:pPr>
        <w:jc w:val="both"/>
      </w:pPr>
      <w:r>
        <w:t>Future work follows from these results: test a ranking of services by callers weighted by the traffic they carry, as a new preregistered hypothesis; use larger applications to lift the ceiling that a handful of services place on any correlation; and study how containment mechanisms such as retries and circuit breakers change how far a failure travels. A manuscript describing the study has been prepared for submission to IEEE Access.</w:t>
      </w:r>
    </w:p>
    <w:p>
      <w:r>
        <w:br w:type="page"/>
      </w:r>
    </w:p>
    <w:p>
      <w:pPr>
        <w:spacing w:line="360" w:lineRule="auto" w:after="0"/>
        <w:jc w:val="center"/>
      </w:pPr>
      <w:r>
        <w:rPr>
          <w:b/>
          <w:sz w:val="28"/>
        </w:rPr>
        <w:t>CHAPTER 9</w:t>
      </w:r>
    </w:p>
    <w:p>
      <w:pPr>
        <w:pStyle w:val="Heading1"/>
      </w:pPr>
      <w:r>
        <w:t>9. REFERENCES</w:t>
      </w:r>
    </w:p>
    <w:p>
      <w:pPr>
        <w:ind w:left="510" w:hanging="510"/>
        <w:jc w:val="left"/>
      </w:pPr>
      <w:r>
        <w:t xml:space="preserve">[1] N. Dragoni et al., "Microservices: Yesterday, Today, and Tomorrow," </w:t>
      </w:r>
      <w:r>
        <w:rPr>
          <w:i/>
        </w:rPr>
        <w:t>Present and Ulterior Software Engineering (Springer)</w:t>
      </w:r>
      <w:r>
        <w:t>, pp. 195–216, 2017. doi: 10.1007/978-3-319-67425-4_12.</w:t>
      </w:r>
    </w:p>
    <w:p>
      <w:pPr>
        <w:ind w:left="510" w:hanging="510"/>
        <w:jc w:val="left"/>
      </w:pPr>
      <w:r>
        <w:t xml:space="preserve">[2] P. Jamshidi, C. Pahl, N. C. Mendonca, J. Lewis, and S. Tilkov, "Microservices: The Journey So Far and Challenges Ahead," </w:t>
      </w:r>
      <w:r>
        <w:rPr>
          <w:i/>
        </w:rPr>
        <w:t>IEEE Software</w:t>
      </w:r>
      <w:r>
        <w:t>, vol. 35, no. 3, pp. 24–35, 2018. doi: 10.1109/ms.2018.2141039.</w:t>
      </w:r>
    </w:p>
    <w:p>
      <w:pPr>
        <w:ind w:left="510" w:hanging="510"/>
        <w:jc w:val="left"/>
      </w:pPr>
      <w:r>
        <w:t xml:space="preserve">[3] J. Soldani, D. A. Tamburri, and W. J. Van Den Heuvel, "The pains and gains of microservices: A Systematic grey literature review," </w:t>
      </w:r>
      <w:r>
        <w:rPr>
          <w:i/>
        </w:rPr>
        <w:t>Journal of Systems and Software</w:t>
      </w:r>
      <w:r>
        <w:t>, vol. 146, pp. 215–232, 2018. doi: 10.1016/j.jss.2018.09.082.</w:t>
      </w:r>
    </w:p>
    <w:p>
      <w:pPr>
        <w:ind w:left="510" w:hanging="510"/>
        <w:jc w:val="left"/>
      </w:pPr>
      <w:r>
        <w:t xml:space="preserve">[4] R. Heinrich et al., "Performance Engineering for Microservices: Research Challenges and Directions," in </w:t>
      </w:r>
      <w:r>
        <w:rPr>
          <w:i/>
        </w:rPr>
        <w:t>Proceedings of the 8th ACM/SPEC on International Conference on Performance Engineering Companion</w:t>
      </w:r>
      <w:r>
        <w:t>, pp. 223–226, 2017. doi: 10.1145/3053600.3053653.</w:t>
      </w:r>
    </w:p>
    <w:p>
      <w:pPr>
        <w:ind w:left="510" w:hanging="510"/>
        <w:jc w:val="left"/>
      </w:pPr>
      <w:r>
        <w:t xml:space="preserve">[5] H. S. Gunawi et al., "Why Does the Cloud Stop Computing? Lessons from Hundreds of Service Outages," in </w:t>
      </w:r>
      <w:r>
        <w:rPr>
          <w:i/>
        </w:rPr>
        <w:t>Proceedings of the Seventh ACM Symposium on Cloud Computing</w:t>
      </w:r>
      <w:r>
        <w:t>, pp. 1–16, 2016. doi: 10.1145/2987550.2987583.</w:t>
      </w:r>
    </w:p>
    <w:p>
      <w:pPr>
        <w:ind w:left="510" w:hanging="510"/>
        <w:jc w:val="left"/>
      </w:pPr>
      <w:r>
        <w:t xml:space="preserve">[6] X. Zhou et al., "Fault Analysis and Debugging of Microservice Systems: Industrial Survey, Benchmark System, and Empirical Study," </w:t>
      </w:r>
      <w:r>
        <w:rPr>
          <w:i/>
        </w:rPr>
        <w:t>IEEE Transactions on Software Engineering</w:t>
      </w:r>
      <w:r>
        <w:t>, vol. 47, no. 2, pp. 243–260, 2021. doi: 10.1109/TSE.2018.2887384.</w:t>
      </w:r>
    </w:p>
    <w:p>
      <w:pPr>
        <w:ind w:left="510" w:hanging="510"/>
        <w:jc w:val="left"/>
      </w:pPr>
      <w:r>
        <w:t xml:space="preserve">[7] B. H. Sigelman et al., "Dapper, a Large-Scale Distributed Systems Tracing Infrastructure," </w:t>
      </w:r>
      <w:r>
        <w:rPr>
          <w:i/>
        </w:rPr>
        <w:t>Google Technical Report dapper-2010-1</w:t>
      </w:r>
      <w:r>
        <w:t>, 2010. [Online]. Available: https://research.google/pubs/dapper-a-large-scale-distributed-systems-tracing-infrastructure/</w:t>
      </w:r>
    </w:p>
    <w:p>
      <w:pPr>
        <w:ind w:left="510" w:hanging="510"/>
        <w:jc w:val="left"/>
      </w:pPr>
      <w:r>
        <w:t xml:space="preserve">[8] L. C. Freeman, "Centrality in Social Networks: Conceptual Clarification," </w:t>
      </w:r>
      <w:r>
        <w:rPr>
          <w:i/>
        </w:rPr>
        <w:t>Social Networks</w:t>
      </w:r>
      <w:r>
        <w:t>, vol. 1, no. 3, pp. 215–239, 1978. doi: 10.1016/0378-8733(78)90021-7.</w:t>
      </w:r>
    </w:p>
    <w:p>
      <w:pPr>
        <w:ind w:left="510" w:hanging="510"/>
        <w:jc w:val="left"/>
      </w:pPr>
      <w:r>
        <w:t xml:space="preserve">[9] T. Zimmermann, and N. Nagappan, "Predicting Defects Using Network Analysis on Dependency Graphs," in </w:t>
      </w:r>
      <w:r>
        <w:rPr>
          <w:i/>
        </w:rPr>
        <w:t>Proceedings of the 30th International Conference on Software Engineering (ICSE '08)</w:t>
      </w:r>
      <w:r>
        <w:t>, pp. 531–540, 2008. doi: 10.1145/1368088.1368161.</w:t>
      </w:r>
    </w:p>
    <w:p>
      <w:pPr>
        <w:ind w:left="510" w:hanging="510"/>
        <w:jc w:val="left"/>
      </w:pPr>
      <w:r>
        <w:t xml:space="preserve">[10] Y. Gan et al., "An Open-Source Benchmark Suite for Microservices and Their Hardware-Software Implications for Cloud &amp; Edge Systems," in </w:t>
      </w:r>
      <w:r>
        <w:rPr>
          <w:i/>
        </w:rPr>
        <w:t>Proceedings of the 24th International Conference on Architectural Support for Programming Languages and Operating Systems (ASPLOS '19)</w:t>
      </w:r>
      <w:r>
        <w:t>, pp. 3–18, 2019. doi: 10.1145/3297858.3304013.</w:t>
      </w:r>
    </w:p>
    <w:p>
      <w:pPr>
        <w:ind w:left="510" w:hanging="510"/>
        <w:jc w:val="left"/>
      </w:pPr>
      <w:r>
        <w:t xml:space="preserve">[11] U. Brandes, "A Faster Algorithm for Betweenness Centrality," </w:t>
      </w:r>
      <w:r>
        <w:rPr>
          <w:i/>
        </w:rPr>
        <w:t>The Journal of Mathematical Sociology</w:t>
      </w:r>
      <w:r>
        <w:t>, vol. 25, no. 2, pp. 163–177, 2001. doi: 10.1080/0022250X.2001.9990249.</w:t>
      </w:r>
    </w:p>
    <w:p>
      <w:pPr>
        <w:ind w:left="510" w:hanging="510"/>
        <w:jc w:val="left"/>
      </w:pPr>
      <w:r>
        <w:t xml:space="preserve">[12] P. Bonacich, "Power and Centrality: A Family of Measures," </w:t>
      </w:r>
      <w:r>
        <w:rPr>
          <w:i/>
        </w:rPr>
        <w:t>American Journal of Sociology</w:t>
      </w:r>
      <w:r>
        <w:t>, vol. 92, no. 5, pp. 1170–1182, 1987. doi: 10.1086/228631.</w:t>
      </w:r>
    </w:p>
    <w:p>
      <w:pPr>
        <w:ind w:left="510" w:hanging="510"/>
        <w:jc w:val="left"/>
      </w:pPr>
      <w:r>
        <w:t xml:space="preserve">[13] S. Brin, and L. Page, "The anatomy of a large-scale hypertextual Web search engine," </w:t>
      </w:r>
      <w:r>
        <w:rPr>
          <w:i/>
        </w:rPr>
        <w:t>Computer Networks and ISDN Systems</w:t>
      </w:r>
      <w:r>
        <w:t>, vol. 30, no. 1-7, pp. 107–117, 1998. doi: 10.1016/s0169-7552(98)00110-x.</w:t>
      </w:r>
    </w:p>
    <w:p>
      <w:pPr>
        <w:ind w:left="510" w:hanging="510"/>
        <w:jc w:val="left"/>
      </w:pPr>
      <w:r>
        <w:t xml:space="preserve">[14] T. Lengauer, and R. E. Tarjan, "A fast algorithm for finding dominators in a flowgraph," </w:t>
      </w:r>
      <w:r>
        <w:rPr>
          <w:i/>
        </w:rPr>
        <w:t>ACM Transactions on Programming Languages and Systems</w:t>
      </w:r>
      <w:r>
        <w:t>, vol. 1, no. 1, pp. 121–141, 1979. doi: 10.1145/357062.357071.</w:t>
      </w:r>
    </w:p>
    <w:p>
      <w:pPr>
        <w:ind w:left="510" w:hanging="510"/>
        <w:jc w:val="left"/>
      </w:pPr>
      <w:r>
        <w:t xml:space="preserve">[15] A. A. Hagberg, D. A. Schult, and P. J. Swart, "Exploring Network Structure, Dynamics, and Function using NetworkX," in </w:t>
      </w:r>
      <w:r>
        <w:rPr>
          <w:i/>
        </w:rPr>
        <w:t>Proceedings of the 7th Python in Science Conference (SciPy2008), G. Varoquaux, T. Vaught, J. Millman (Eds.), Pasadena, CA, USA</w:t>
      </w:r>
      <w:r>
        <w:t>, pp. 11–15, 2008. [Online]. Available: http://conference.scipy.org/proceedings/SciPy2008/paper_2/</w:t>
      </w:r>
    </w:p>
    <w:p>
      <w:pPr>
        <w:ind w:left="510" w:hanging="510"/>
        <w:jc w:val="left"/>
      </w:pPr>
      <w:r>
        <w:t xml:space="preserve">[16] R. Albert, H. Jeong, and A. L. Barabási, "Error and attack tolerance of complex networks," </w:t>
      </w:r>
      <w:r>
        <w:rPr>
          <w:i/>
        </w:rPr>
        <w:t>Nature</w:t>
      </w:r>
      <w:r>
        <w:t>, vol. 406, no. 6794, pp. 378–382, 2000. doi: 10.1038/35019019.</w:t>
      </w:r>
    </w:p>
    <w:p>
      <w:pPr>
        <w:ind w:left="510" w:hanging="510"/>
        <w:jc w:val="left"/>
      </w:pPr>
      <w:r>
        <w:t xml:space="preserve">[17] A. E. Motter, and Y. C. Lai, "Cascade-based attacks on complex networks," </w:t>
      </w:r>
      <w:r>
        <w:rPr>
          <w:i/>
        </w:rPr>
        <w:t>Physical Review E</w:t>
      </w:r>
      <w:r>
        <w:t>, vol. 66, no. 6, 2002. doi: 10.1103/physreve.66.065102.</w:t>
      </w:r>
    </w:p>
    <w:p>
      <w:pPr>
        <w:ind w:left="510" w:hanging="510"/>
        <w:jc w:val="left"/>
      </w:pPr>
      <w:r>
        <w:t xml:space="preserve">[18] S. P. Ma, C. Y. Fan, Y. Chuang, W. T. Lee, S. J. Lee, and N. L. Hsueh, "Using Service Dependency Graph to Analyze and Test Microservices," in </w:t>
      </w:r>
      <w:r>
        <w:rPr>
          <w:i/>
        </w:rPr>
        <w:t>2018 IEEE 42nd Annual Computer Software and Applications Conference (COMPSAC)</w:t>
      </w:r>
      <w:r>
        <w:t>, pp. 81–86, 2018. doi: 10.1109/compsac.2018.10207.</w:t>
      </w:r>
    </w:p>
    <w:p>
      <w:pPr>
        <w:ind w:left="510" w:hanging="510"/>
        <w:jc w:val="left"/>
      </w:pPr>
      <w:r>
        <w:t xml:space="preserve">[19] A. Basiri et al., "Chaos Engineering," </w:t>
      </w:r>
      <w:r>
        <w:rPr>
          <w:i/>
        </w:rPr>
        <w:t>IEEE Software</w:t>
      </w:r>
      <w:r>
        <w:t>, vol. 33, no. 3, pp. 35–41, 2016. doi: 10.1109/MS.2016.60.</w:t>
      </w:r>
    </w:p>
    <w:p>
      <w:pPr>
        <w:ind w:left="510" w:hanging="510"/>
        <w:jc w:val="left"/>
      </w:pPr>
      <w:r>
        <w:t xml:space="preserve">[20] A. Basiri, L. Hochstein, N. Jones, and H. Tucker, "Automating Chaos Experiments in Production," in </w:t>
      </w:r>
      <w:r>
        <w:rPr>
          <w:i/>
        </w:rPr>
        <w:t>2019 IEEE/ACM 41st International Conference on Software Engineering: Software Engineering in Practice (ICSE-SEIP)</w:t>
      </w:r>
      <w:r>
        <w:t>, pp. 31–40, 2019. doi: 10.1109/icse-seip.2019.00012.</w:t>
      </w:r>
    </w:p>
    <w:p>
      <w:pPr>
        <w:ind w:left="510" w:hanging="510"/>
        <w:jc w:val="left"/>
      </w:pPr>
      <w:r>
        <w:t xml:space="preserve">[21] V. Heorhiadi, S. Rajagopalan, H. Jamjoom, M. K. Reiter, and V. Sekar, "Gremlin: Systematic Resilience Testing of Microservices," in </w:t>
      </w:r>
      <w:r>
        <w:rPr>
          <w:i/>
        </w:rPr>
        <w:t>2016 IEEE 36th International Conference on Distributed Computing Systems (ICDCS)</w:t>
      </w:r>
      <w:r>
        <w:t>, pp. 57–66, 2016. doi: 10.1109/ICDCS.2016.11.</w:t>
      </w:r>
    </w:p>
    <w:p>
      <w:pPr>
        <w:ind w:left="510" w:hanging="510"/>
        <w:jc w:val="left"/>
      </w:pPr>
      <w:r>
        <w:t xml:space="preserve">[22] C. S. Meiklejohn, A. Estrada, Y. Song, H. Miller, and R. Padhye, "Service-Level Fault Injection Testing," in </w:t>
      </w:r>
      <w:r>
        <w:rPr>
          <w:i/>
        </w:rPr>
        <w:t>Proceedings of the ACM Symposium on Cloud Computing</w:t>
      </w:r>
      <w:r>
        <w:t>, pp. 388–402, 2021. doi: 10.1145/3472883.3487005.</w:t>
      </w:r>
    </w:p>
    <w:p>
      <w:pPr>
        <w:ind w:left="510" w:hanging="510"/>
        <w:jc w:val="left"/>
      </w:pPr>
      <w:r>
        <w:t xml:space="preserve">[23] P. Alvaro, J. Rosen, and J. M. Hellerstein, "Lineage-driven Fault Injection," in </w:t>
      </w:r>
      <w:r>
        <w:rPr>
          <w:i/>
        </w:rPr>
        <w:t>Proceedings of the 2015 ACM SIGMOD International Conference on Management of Data</w:t>
      </w:r>
      <w:r>
        <w:t>, pp. 331–346, 2015. doi: 10.1145/2723372.2723711.</w:t>
      </w:r>
    </w:p>
    <w:p>
      <w:pPr>
        <w:ind w:left="510" w:hanging="510"/>
        <w:jc w:val="left"/>
      </w:pPr>
      <w:r>
        <w:t xml:space="preserve">[24] P. Huang et al., "Gray Failure: The Achilles' Heel of Cloud-Scale Systems," in </w:t>
      </w:r>
      <w:r>
        <w:rPr>
          <w:i/>
        </w:rPr>
        <w:t>Proceedings of the 16th Workshop on Hot Topics in Operating Systems</w:t>
      </w:r>
      <w:r>
        <w:t>, pp. 150–155, 2017. doi: 10.1145/3102980.3103005.</w:t>
      </w:r>
    </w:p>
    <w:p>
      <w:pPr>
        <w:ind w:left="510" w:hanging="510"/>
        <w:jc w:val="left"/>
      </w:pPr>
      <w:r>
        <w:t xml:space="preserve">[25] S. Luo et al., "Characterizing Microservice Dependency and Performance: Alibaba Trace Analysis," in </w:t>
      </w:r>
      <w:r>
        <w:rPr>
          <w:i/>
        </w:rPr>
        <w:t>Proceedings of the ACM Symposium on Cloud Computing (SoCC '21)</w:t>
      </w:r>
      <w:r>
        <w:t>, pp. 412–426, 2021. doi: 10.1145/3472883.3487003.</w:t>
      </w:r>
    </w:p>
    <w:p>
      <w:pPr>
        <w:ind w:left="510" w:hanging="510"/>
        <w:jc w:val="left"/>
      </w:pPr>
      <w:r>
        <w:t xml:space="preserve">[26] M. Chen, E. Kiciman, E. Fratkin, A. Fox, and E. Brewer, "Pinpoint: problem determination in large, dynamic Internet services," in </w:t>
      </w:r>
      <w:r>
        <w:rPr>
          <w:i/>
        </w:rPr>
        <w:t>Proceedings International Conference on Dependable Systems and Networks</w:t>
      </w:r>
      <w:r>
        <w:t>, pp. 595–604, 2002. doi: 10.1109/dsn.2002.1029005.</w:t>
      </w:r>
    </w:p>
    <w:p>
      <w:pPr>
        <w:ind w:left="510" w:hanging="510"/>
        <w:jc w:val="left"/>
      </w:pPr>
      <w:r>
        <w:t xml:space="preserve">[27] J. Lin, P. Chen, and Z. Zheng, "Microscope: Pinpoint Performance Issues with Causal Graphs in Micro-service Environments," in </w:t>
      </w:r>
      <w:r>
        <w:rPr>
          <w:i/>
        </w:rPr>
        <w:t>Lecture Notes in Computer Science</w:t>
      </w:r>
      <w:r>
        <w:t>, pp. 3–20, 2018. doi: 10.1007/978-3-030-03596-9_1.</w:t>
      </w:r>
    </w:p>
    <w:p>
      <w:pPr>
        <w:ind w:left="510" w:hanging="510"/>
        <w:jc w:val="left"/>
      </w:pPr>
      <w:r>
        <w:t xml:space="preserve">[28] L. Wu, J. Tordsson, E. Elmroth, and O. Kao, "MicroRCA: Root Cause Localization of Performance Issues in Microservices," in </w:t>
      </w:r>
      <w:r>
        <w:rPr>
          <w:i/>
        </w:rPr>
        <w:t>NOMS 2020 - IEEE/IFIP Network Operations and Management Symposium</w:t>
      </w:r>
      <w:r>
        <w:t>, pp. 1–9, 2020. doi: 10.1109/NOMS47738.2020.9110353.</w:t>
      </w:r>
    </w:p>
    <w:p>
      <w:pPr>
        <w:ind w:left="510" w:hanging="510"/>
        <w:jc w:val="left"/>
      </w:pPr>
      <w:r>
        <w:t xml:space="preserve">[29] Y. Gan et al., "Seer: Leveraging Big Data to Navigate the Complexity of Performance Debugging in Cloud Microservices," in </w:t>
      </w:r>
      <w:r>
        <w:rPr>
          <w:i/>
        </w:rPr>
        <w:t>Proceedings of the Twenty-Fourth International Conference on Architectural Support for Programming Languages and Operating Systems</w:t>
      </w:r>
      <w:r>
        <w:t>, pp. 19–33, 2019. doi: 10.1145/3297858.3304004.</w:t>
      </w:r>
    </w:p>
    <w:p>
      <w:pPr>
        <w:ind w:left="510" w:hanging="510"/>
        <w:jc w:val="left"/>
      </w:pPr>
      <w:r>
        <w:t xml:space="preserve">[30] J. Soldani, and A. Brogi, "Anomaly Detection and Failure Root Cause Analysis in (Micro) Service-Based Cloud Applications: A Survey," </w:t>
      </w:r>
      <w:r>
        <w:rPr>
          <w:i/>
        </w:rPr>
        <w:t>ACM Computing Surveys</w:t>
      </w:r>
      <w:r>
        <w:t>, vol. 55, no. 3, pp. 1–39, 2022. doi: 10.1145/3501297.</w:t>
      </w:r>
    </w:p>
    <w:p>
      <w:pPr>
        <w:ind w:left="510" w:hanging="510"/>
        <w:jc w:val="left"/>
      </w:pPr>
      <w:r>
        <w:t xml:space="preserve">[31] B. A. Nosek, C. R. Ebersole, A. C. DeHaven, and D. T. Mellor, "The Preregistration Revolution," in </w:t>
      </w:r>
      <w:r>
        <w:rPr>
          <w:i/>
        </w:rPr>
        <w:t>Proceedings of the National Academy of Sciences</w:t>
      </w:r>
      <w:r>
        <w:t>, vol. 115, no. 11, pp. 2600–2606, 2018. doi: 10.1073/pnas.1708274114.</w:t>
      </w:r>
    </w:p>
    <w:p>
      <w:pPr>
        <w:ind w:left="510" w:hanging="510"/>
        <w:jc w:val="left"/>
      </w:pPr>
      <w:r>
        <w:t xml:space="preserve">[32] Y. Benjamini, and Y. Hochberg, "Controlling the False Discovery Rate: A Practical and Powerful Approach to Multiple Testing," </w:t>
      </w:r>
      <w:r>
        <w:rPr>
          <w:i/>
        </w:rPr>
        <w:t>Journal of the Royal Statistical Society: Series B (Methodological)</w:t>
      </w:r>
      <w:r>
        <w:t>, vol. 57, no. 1, pp. 289–300, 1995. doi: 10.1111/j.2517-6161.1995.tb02031.x.</w:t>
      </w:r>
    </w:p>
    <w:p>
      <w:pPr>
        <w:ind w:left="510" w:hanging="510"/>
        <w:jc w:val="left"/>
      </w:pPr>
      <w:r>
        <w:t xml:space="preserve">[33] B. Phipson, and G. K. Smyth, "Permutation P-values Should Never Be Zero: Calculating Exact P-values When Permutations Are Randomly Drawn," </w:t>
      </w:r>
      <w:r>
        <w:rPr>
          <w:i/>
        </w:rPr>
        <w:t>Statistical Applications in Genetics and Molecular Biology</w:t>
      </w:r>
      <w:r>
        <w:t>, vol. 9, no. 1, 2010. doi: 10.2202/1544-6115.1585.</w:t>
      </w:r>
    </w:p>
    <w:p>
      <w:pPr>
        <w:ind w:left="510" w:hanging="510"/>
        <w:jc w:val="left"/>
      </w:pPr>
      <w:r>
        <w:t xml:space="preserve">[34] B. Efron, "Better Bootstrap Confidence Intervals," </w:t>
      </w:r>
      <w:r>
        <w:rPr>
          <w:i/>
        </w:rPr>
        <w:t>Journal of the American Statistical Association</w:t>
      </w:r>
      <w:r>
        <w:t>, vol. 82, no. 397, pp. 171–185, 1987. doi: 10.1080/01621459.1987.10478410.</w:t>
      </w:r>
    </w:p>
    <w:p>
      <w:pPr>
        <w:ind w:left="510" w:hanging="510"/>
        <w:jc w:val="left"/>
      </w:pPr>
      <w:r>
        <w:t xml:space="preserve">[35] D. R. Cox, "Regression Models and Life-Tables," </w:t>
      </w:r>
      <w:r>
        <w:rPr>
          <w:i/>
        </w:rPr>
        <w:t>Journal of the Royal Statistical Society Series B: Statistical Methodology</w:t>
      </w:r>
      <w:r>
        <w:t>, vol. 34, no. 2, pp. 187–202, 1972. doi: 10.1111/j.2517-6161.1972.tb00899.x.</w:t>
      </w:r>
    </w:p>
    <w:p>
      <w:r>
        <w:br w:type="page"/>
      </w:r>
    </w:p>
    <w:p>
      <w:pPr>
        <w:pStyle w:val="Heading1"/>
      </w:pPr>
      <w:r>
        <w:t>APPENDIX A – SAMPLE CODE</w:t>
      </w:r>
    </w:p>
    <w:p>
      <w:pPr>
        <w:jc w:val="both"/>
      </w:pPr>
      <w:r>
        <w:t>The function below classifies the services that degraded in a run by their relation to the faulted service. It is read from the repository when this report is built, so it matches the code that produced the results.</w:t>
      </w:r>
    </w:p>
    <w:p>
      <w:pPr>
        <w:jc w:val="left"/>
      </w:pPr>
      <w:r>
        <w:rPr>
          <w:rFonts w:ascii="Courier New" w:hAnsi="Courier New"/>
          <w:sz w:val="22"/>
        </w:rPr>
        <w:t>measurement/blast_radius.py</w:t>
      </w:r>
      <w:r>
        <w:t xml:space="preserve">, function </w:t>
      </w:r>
      <w:r>
        <w:rPr>
          <w:rFonts w:ascii="Courier New" w:hAnsi="Courier New"/>
          <w:sz w:val="22"/>
        </w:rPr>
        <w:t>classify_affected</w:t>
      </w:r>
      <w:r>
        <w:t>:</w:t>
      </w:r>
    </w:p>
    <w:p>
      <w:pPr>
        <w:spacing w:after="0" w:line="240" w:lineRule="auto"/>
      </w:pPr>
      <w:r>
        <w:rPr>
          <w:rFonts w:ascii="Courier New" w:hAnsi="Courier New"/>
          <w:sz w:val="17"/>
        </w:rPr>
        <w:t>def classify_affected(</w:t>
      </w:r>
    </w:p>
    <w:p>
      <w:pPr>
        <w:spacing w:after="0" w:line="240" w:lineRule="auto"/>
      </w:pPr>
      <w:r>
        <w:rPr>
          <w:rFonts w:ascii="Courier New" w:hAnsi="Courier New"/>
          <w:sz w:val="17"/>
        </w:rPr>
        <w:t xml:space="preserve">    graph: nx.DiGraph,</w:t>
      </w:r>
    </w:p>
    <w:p>
      <w:pPr>
        <w:spacing w:after="0" w:line="240" w:lineRule="auto"/>
      </w:pPr>
      <w:r>
        <w:rPr>
          <w:rFonts w:ascii="Courier New" w:hAnsi="Courier New"/>
          <w:sz w:val="17"/>
        </w:rPr>
        <w:t xml:space="preserve">    faulted_service: str,</w:t>
      </w:r>
    </w:p>
    <w:p>
      <w:pPr>
        <w:spacing w:after="0" w:line="240" w:lineRule="auto"/>
      </w:pPr>
      <w:r>
        <w:rPr>
          <w:rFonts w:ascii="Courier New" w:hAnsi="Courier New"/>
          <w:sz w:val="17"/>
        </w:rPr>
        <w:t xml:space="preserve">    affected_services: Iterable[str],</w:t>
      </w:r>
    </w:p>
    <w:p>
      <w:pPr>
        <w:spacing w:after="0" w:line="240" w:lineRule="auto"/>
      </w:pPr>
      <w:r>
        <w:rPr>
          <w:rFonts w:ascii="Courier New" w:hAnsi="Courier New"/>
          <w:sz w:val="17"/>
        </w:rPr>
        <w:t>) -&gt; dict[str, object]:</w:t>
      </w:r>
    </w:p>
    <w:p>
      <w:pPr>
        <w:spacing w:after="0" w:line="240" w:lineRule="auto"/>
      </w:pPr>
      <w:r>
        <w:rPr>
          <w:rFonts w:ascii="Courier New" w:hAnsi="Courier New"/>
          <w:sz w:val="17"/>
        </w:rPr>
        <w:t xml:space="preserve">    """Split the degraded set by graph relationship to the faulted service.</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Args:</w:t>
      </w:r>
    </w:p>
    <w:p>
      <w:pPr>
        <w:spacing w:after="0" w:line="240" w:lineRule="auto"/>
      </w:pPr>
      <w:r>
        <w:rPr>
          <w:rFonts w:ascii="Courier New" w:hAnsi="Courier New"/>
          <w:sz w:val="17"/>
        </w:rPr>
        <w:t xml:space="preserve">        graph: the service dependency graph (edge X-&gt;Y means "X calls Y").</w:t>
      </w:r>
    </w:p>
    <w:p>
      <w:pPr>
        <w:spacing w:after="0" w:line="240" w:lineRule="auto"/>
      </w:pPr>
      <w:r>
        <w:rPr>
          <w:rFonts w:ascii="Courier New" w:hAnsi="Courier New"/>
          <w:sz w:val="17"/>
        </w:rPr>
        <w:t xml:space="preserve">        faulted_service: the service the fault was injected into.</w:t>
      </w:r>
    </w:p>
    <w:p>
      <w:pPr>
        <w:spacing w:after="0" w:line="240" w:lineRule="auto"/>
      </w:pPr>
      <w:r>
        <w:rPr>
          <w:rFonts w:ascii="Courier New" w:hAnsi="Courier New"/>
          <w:sz w:val="17"/>
        </w:rPr>
        <w:t xml:space="preserve">        affected_services: services observed to degrade during the fault window.</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Returns:</w:t>
      </w:r>
    </w:p>
    <w:p>
      <w:pPr>
        <w:spacing w:after="0" w:line="240" w:lineRule="auto"/>
      </w:pPr>
      <w:r>
        <w:rPr>
          <w:rFonts w:ascii="Courier New" w:hAnsi="Courier New"/>
          <w:sz w:val="17"/>
        </w:rPr>
        <w:t xml:space="preserve">        Counts and member lists for each of the three categories, plus the structural</w:t>
      </w:r>
    </w:p>
    <w:p>
      <w:pPr>
        <w:spacing w:after="0" w:line="240" w:lineRule="auto"/>
      </w:pPr>
      <w:r>
        <w:rPr>
          <w:rFonts w:ascii="Courier New" w:hAnsi="Courier New"/>
          <w:sz w:val="17"/>
        </w:rPr>
        <w:t xml:space="preserve">        sizes |ancestors| and |descendants| so a run record is self-describing and the</w:t>
      </w:r>
    </w:p>
    <w:p>
      <w:pPr>
        <w:spacing w:after="0" w:line="240" w:lineRule="auto"/>
      </w:pPr>
      <w:r>
        <w:rPr>
          <w:rFonts w:ascii="Courier New" w:hAnsi="Courier New"/>
          <w:sz w:val="17"/>
        </w:rPr>
        <w:t xml:space="preserve">        classification can be re-checked without reloading the graph.</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if faulted_service not in graph:</w:t>
      </w:r>
    </w:p>
    <w:p>
      <w:pPr>
        <w:spacing w:after="0" w:line="240" w:lineRule="auto"/>
      </w:pPr>
      <w:r>
        <w:rPr>
          <w:rFonts w:ascii="Courier New" w:hAnsi="Courier New"/>
          <w:sz w:val="17"/>
        </w:rPr>
        <w:t xml:space="preserve">        raise ValueError(f"{faulted_service!r} is not a node in the graph")</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ancestors = nx.ancestors(graph, faulted_service)</w:t>
      </w:r>
    </w:p>
    <w:p>
      <w:pPr>
        <w:spacing w:after="0" w:line="240" w:lineRule="auto"/>
      </w:pPr>
      <w:r>
        <w:rPr>
          <w:rFonts w:ascii="Courier New" w:hAnsi="Courier New"/>
          <w:sz w:val="17"/>
        </w:rPr>
        <w:t xml:space="preserve">    descendants = nx.descendants(graph, faulted_service)</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anc, desc, unrel = [], [], []</w:t>
      </w:r>
    </w:p>
    <w:p>
      <w:pPr>
        <w:spacing w:after="0" w:line="240" w:lineRule="auto"/>
      </w:pPr>
      <w:r>
        <w:rPr>
          <w:rFonts w:ascii="Courier New" w:hAnsi="Courier New"/>
          <w:sz w:val="17"/>
        </w:rPr>
        <w:t xml:space="preserve">    for svc in affected_services:</w:t>
      </w:r>
    </w:p>
    <w:p>
      <w:pPr>
        <w:spacing w:after="0" w:line="240" w:lineRule="auto"/>
      </w:pPr>
      <w:r>
        <w:rPr>
          <w:rFonts w:ascii="Courier New" w:hAnsi="Courier New"/>
          <w:sz w:val="17"/>
        </w:rPr>
        <w:t xml:space="preserve">        svc = svc.strip()</w:t>
      </w:r>
    </w:p>
    <w:p>
      <w:pPr>
        <w:spacing w:after="0" w:line="240" w:lineRule="auto"/>
      </w:pPr>
      <w:r>
        <w:rPr>
          <w:rFonts w:ascii="Courier New" w:hAnsi="Courier New"/>
          <w:sz w:val="17"/>
        </w:rPr>
        <w:t xml:space="preserve">        if not svc or svc == faulted_service:</w:t>
      </w:r>
    </w:p>
    <w:p>
      <w:pPr>
        <w:spacing w:after="0" w:line="240" w:lineRule="auto"/>
      </w:pPr>
      <w:r>
        <w:rPr>
          <w:rFonts w:ascii="Courier New" w:hAnsi="Courier New"/>
          <w:sz w:val="17"/>
        </w:rPr>
        <w:t xml:space="preserve">            continue</w:t>
      </w:r>
    </w:p>
    <w:p>
      <w:pPr>
        <w:spacing w:after="0" w:line="240" w:lineRule="auto"/>
      </w:pPr>
      <w:r>
        <w:rPr>
          <w:rFonts w:ascii="Courier New" w:hAnsi="Courier New"/>
          <w:sz w:val="17"/>
        </w:rPr>
        <w:t xml:space="preserve">        if svc in ancestors:</w:t>
      </w:r>
    </w:p>
    <w:p>
      <w:pPr>
        <w:spacing w:after="0" w:line="240" w:lineRule="auto"/>
      </w:pPr>
      <w:r>
        <w:rPr>
          <w:rFonts w:ascii="Courier New" w:hAnsi="Courier New"/>
          <w:sz w:val="17"/>
        </w:rPr>
        <w:t xml:space="preserve">            anc.append(svc)</w:t>
      </w:r>
    </w:p>
    <w:p>
      <w:pPr>
        <w:spacing w:after="0" w:line="240" w:lineRule="auto"/>
      </w:pPr>
      <w:r>
        <w:rPr>
          <w:rFonts w:ascii="Courier New" w:hAnsi="Courier New"/>
          <w:sz w:val="17"/>
        </w:rPr>
        <w:t xml:space="preserve">        elif svc in descendants:</w:t>
      </w:r>
    </w:p>
    <w:p>
      <w:pPr>
        <w:spacing w:after="0" w:line="240" w:lineRule="auto"/>
      </w:pPr>
      <w:r>
        <w:rPr>
          <w:rFonts w:ascii="Courier New" w:hAnsi="Courier New"/>
          <w:sz w:val="17"/>
        </w:rPr>
        <w:t xml:space="preserve">            desc.append(svc)</w:t>
      </w:r>
    </w:p>
    <w:p>
      <w:pPr>
        <w:spacing w:after="0" w:line="240" w:lineRule="auto"/>
      </w:pPr>
      <w:r>
        <w:rPr>
          <w:rFonts w:ascii="Courier New" w:hAnsi="Courier New"/>
          <w:sz w:val="17"/>
        </w:rPr>
        <w:t xml:space="preserve">        else:</w:t>
      </w:r>
    </w:p>
    <w:p>
      <w:pPr>
        <w:spacing w:after="0" w:line="240" w:lineRule="auto"/>
      </w:pPr>
      <w:r>
        <w:rPr>
          <w:rFonts w:ascii="Courier New" w:hAnsi="Courier New"/>
          <w:sz w:val="17"/>
        </w:rPr>
        <w:t xml:space="preserve">            unrel.append(svc)</w:t>
      </w:r>
    </w:p>
    <w:p>
      <w:pPr>
        <w:spacing w:after="0" w:line="240" w:lineRule="auto"/>
      </w:pPr>
      <w:r>
        <w:rPr>
          <w:rFonts w:ascii="Courier New" w:hAnsi="Courier New"/>
          <w:sz w:val="17"/>
        </w:rPr>
        <w:t xml:space="preserve"> </w:t>
      </w:r>
    </w:p>
    <w:p>
      <w:pPr>
        <w:spacing w:after="0" w:line="240" w:lineRule="auto"/>
      </w:pPr>
      <w:r>
        <w:rPr>
          <w:rFonts w:ascii="Courier New" w:hAnsi="Courier New"/>
          <w:sz w:val="17"/>
        </w:rPr>
        <w:t xml:space="preserve">    return {</w:t>
      </w:r>
    </w:p>
    <w:p>
      <w:pPr>
        <w:spacing w:after="0" w:line="240" w:lineRule="auto"/>
      </w:pPr>
      <w:r>
        <w:rPr>
          <w:rFonts w:ascii="Courier New" w:hAnsi="Courier New"/>
          <w:sz w:val="17"/>
        </w:rPr>
        <w:t xml:space="preserve">        # PRIMARY blast-radius outcome. Predicted by |ancestors|, NOT by out-degree.</w:t>
      </w:r>
    </w:p>
    <w:p>
      <w:pPr>
        <w:spacing w:after="0" w:line="240" w:lineRule="auto"/>
      </w:pPr>
      <w:r>
        <w:rPr>
          <w:rFonts w:ascii="Courier New" w:hAnsi="Courier New"/>
          <w:sz w:val="17"/>
        </w:rPr>
        <w:t xml:space="preserve">        "ancestor_affected_count": len(anc),</w:t>
      </w:r>
    </w:p>
    <w:p>
      <w:pPr>
        <w:spacing w:after="0" w:line="240" w:lineRule="auto"/>
      </w:pPr>
      <w:r>
        <w:rPr>
          <w:rFonts w:ascii="Courier New" w:hAnsi="Courier New"/>
          <w:sz w:val="17"/>
        </w:rPr>
        <w:t xml:space="preserve">        "descendant_affected_count": len(desc),</w:t>
      </w:r>
    </w:p>
    <w:p>
      <w:pPr>
        <w:spacing w:after="0" w:line="240" w:lineRule="auto"/>
      </w:pPr>
      <w:r>
        <w:rPr>
          <w:rFonts w:ascii="Courier New" w:hAnsi="Courier New"/>
          <w:sz w:val="17"/>
        </w:rPr>
        <w:t xml:space="preserve">        "unrelated_affected_count": len(unrel),</w:t>
      </w:r>
    </w:p>
    <w:p>
      <w:pPr>
        <w:spacing w:after="0" w:line="240" w:lineRule="auto"/>
      </w:pPr>
      <w:r>
        <w:rPr>
          <w:rFonts w:ascii="Courier New" w:hAnsi="Courier New"/>
          <w:sz w:val="17"/>
        </w:rPr>
        <w:t xml:space="preserve">        "ancestor_affected_services": ",".join(sorted(anc)),</w:t>
      </w:r>
    </w:p>
    <w:p>
      <w:pPr>
        <w:spacing w:after="0" w:line="240" w:lineRule="auto"/>
      </w:pPr>
      <w:r>
        <w:rPr>
          <w:rFonts w:ascii="Courier New" w:hAnsi="Courier New"/>
          <w:sz w:val="17"/>
        </w:rPr>
        <w:t xml:space="preserve">        "descendant_affected_services": ",".join(sorted(desc)),</w:t>
      </w:r>
    </w:p>
    <w:p>
      <w:pPr>
        <w:spacing w:after="0" w:line="240" w:lineRule="auto"/>
      </w:pPr>
      <w:r>
        <w:rPr>
          <w:rFonts w:ascii="Courier New" w:hAnsi="Courier New"/>
          <w:sz w:val="17"/>
        </w:rPr>
        <w:t xml:space="preserve">        "unrelated_affected_services": ",".join(sorted(unrel)),</w:t>
      </w:r>
    </w:p>
    <w:p>
      <w:pPr>
        <w:spacing w:after="0" w:line="240" w:lineRule="auto"/>
      </w:pPr>
      <w:r>
        <w:rPr>
          <w:rFonts w:ascii="Courier New" w:hAnsi="Courier New"/>
          <w:sz w:val="17"/>
        </w:rPr>
        <w:t xml:space="preserve">        # Structural reference values, for checking predictor vs outcome.</w:t>
      </w:r>
    </w:p>
    <w:p>
      <w:pPr>
        <w:spacing w:after="0" w:line="240" w:lineRule="auto"/>
      </w:pPr>
      <w:r>
        <w:rPr>
          <w:rFonts w:ascii="Courier New" w:hAnsi="Courier New"/>
          <w:sz w:val="17"/>
        </w:rPr>
        <w:t xml:space="preserve">        "n_ancestors": len(ancestors),</w:t>
      </w:r>
    </w:p>
    <w:p>
      <w:pPr>
        <w:spacing w:after="0" w:line="240" w:lineRule="auto"/>
      </w:pPr>
      <w:r>
        <w:rPr>
          <w:rFonts w:ascii="Courier New" w:hAnsi="Courier New"/>
          <w:sz w:val="17"/>
        </w:rPr>
        <w:t xml:space="preserve">        "n_descendants": len(descendants),</w:t>
      </w:r>
    </w:p>
    <w:p>
      <w:pPr>
        <w:spacing w:after="0" w:line="240" w:lineRule="auto"/>
      </w:pPr>
      <w:r>
        <w:rPr>
          <w:rFonts w:ascii="Courier New" w:hAnsi="Courier New"/>
          <w:sz w:val="17"/>
        </w:rPr>
        <w:t xml:space="preserve">        "in_degree_raw": graph.in_degree(faulted_service),</w:t>
      </w:r>
    </w:p>
    <w:p>
      <w:pPr>
        <w:spacing w:after="0" w:line="240" w:lineRule="auto"/>
      </w:pPr>
      <w:r>
        <w:rPr>
          <w:rFonts w:ascii="Courier New" w:hAnsi="Courier New"/>
          <w:sz w:val="17"/>
        </w:rPr>
        <w:t xml:space="preserve">        "out_degree_raw": graph.out_degree(faulted_service),</w:t>
      </w:r>
    </w:p>
    <w:p>
      <w:pPr>
        <w:spacing w:after="0" w:line="240" w:lineRule="auto"/>
      </w:pPr>
      <w:r>
        <w:rPr>
          <w:rFonts w:ascii="Courier New" w:hAnsi="Courier New"/>
          <w:sz w:val="17"/>
        </w:rPr>
        <w:t xml:space="preserve">    }</w:t>
      </w:r>
    </w:p>
    <w:sectPr w:rsidR="00FC693F" w:rsidRPr="0006063C" w:rsidSect="00034616">
      <w:footerReference w:type="default" r:id="rId11"/>
      <w:pgSz w:w="11906" w:h="16838"/>
      <w:pgMar w:top="1417" w:right="1417" w:bottom="1417" w:left="1701"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t>Right-click and choose Update Field</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t>Right-click and choose Update Field</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imes New Roman" w:hAnsi="Times New Roman" w:cs="Times New Roman" w:eastAsia="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cs="Times New Roman" w:eastAsia="Times New Roman"/>
      <w:b/>
      <w:bCs/>
      <w:i w:val="0"/>
      <w:caps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cs="Times New Roman" w:eastAsia="Times New Roman"/>
      <w:b/>
      <w:bCs/>
      <w:i/>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jc w:val="center"/>
    </w:pPr>
    <w:rPr>
      <w:sz w:val="20"/>
    </w:rPr>
  </w:style>
  <w:style w:type="paragraph" w:customStyle="1" w:styleId="TableCaption">
    <w:name w:val="Table Caption"/>
    <w:basedOn w:val="Normal"/>
    <w:pPr>
      <w:jc w:val="center"/>
    </w:pPr>
    <w:rPr>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