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1F842" w14:textId="77777777" w:rsidR="00200DB5" w:rsidRDefault="00000000">
      <w:pPr>
        <w:spacing w:after="60"/>
      </w:pPr>
      <w:r>
        <w:rPr>
          <w:b/>
          <w:bCs/>
          <w:color w:val="1F7A78"/>
          <w:spacing w:val="20"/>
        </w:rPr>
        <w:t>PROJECT PROPOSAL</w:t>
      </w:r>
    </w:p>
    <w:p w14:paraId="18EDC4F6" w14:textId="77777777" w:rsidR="00200DB5" w:rsidRDefault="00000000">
      <w:pPr>
        <w:spacing w:after="100"/>
      </w:pPr>
      <w:r>
        <w:rPr>
          <w:b/>
          <w:bCs/>
          <w:color w:val="1B2A4A"/>
          <w:sz w:val="40"/>
          <w:szCs w:val="40"/>
        </w:rPr>
        <w:t>Care Transition Risk &amp; Coordination Copilot</w:t>
      </w:r>
    </w:p>
    <w:p w14:paraId="74A9C1B1" w14:textId="77777777" w:rsidR="00200DB5" w:rsidRDefault="00000000">
      <w:pPr>
        <w:spacing w:after="300"/>
      </w:pPr>
      <w:r>
        <w:rPr>
          <w:i/>
          <w:iCs/>
          <w:color w:val="6B7280"/>
          <w:sz w:val="22"/>
          <w:szCs w:val="22"/>
        </w:rPr>
        <w:t>A layered ML → Agent → Agentic AI system for predicting readmission risk and orchestrating personalized discharge follow-up</w:t>
      </w:r>
    </w:p>
    <w:p w14:paraId="2F78A993" w14:textId="77777777" w:rsidR="00200DB5" w:rsidRDefault="00000000">
      <w:pPr>
        <w:pStyle w:val="Heading1"/>
        <w:pBdr>
          <w:bottom w:val="single" w:sz="8" w:space="4" w:color="1F7A78"/>
        </w:pBdr>
        <w:spacing w:before="320" w:after="140"/>
      </w:pPr>
      <w:r>
        <w:rPr>
          <w:b/>
          <w:bCs/>
          <w:color w:val="1B2A4A"/>
          <w:sz w:val="26"/>
          <w:szCs w:val="26"/>
        </w:rPr>
        <w:t>1. What This Solves</w:t>
      </w:r>
    </w:p>
    <w:p w14:paraId="430E330F" w14:textId="77777777" w:rsidR="00200DB5" w:rsidRDefault="00000000">
      <w:pPr>
        <w:spacing w:after="160" w:line="276" w:lineRule="auto"/>
      </w:pPr>
      <w:r>
        <w:rPr>
          <w:color w:val="222222"/>
          <w:sz w:val="21"/>
          <w:szCs w:val="21"/>
        </w:rPr>
        <w:t>About one in five hospital patients ends up back in the hospital within 30 days of going home, and much of that is preventable — not because doctors missed something, but because follow-up care falls through the cracks. Hospitals usually already know who's at risk. The real problem is that the risk score, the patient's chart, and the follow-up plan live in three separate places, so a high-risk patient can leave without anyone coordinating what happens next.</w:t>
      </w:r>
    </w:p>
    <w:p w14:paraId="12C9AB4E" w14:textId="77777777" w:rsidR="00200DB5" w:rsidRDefault="00000000">
      <w:pPr>
        <w:spacing w:after="160" w:line="276" w:lineRule="auto"/>
      </w:pPr>
      <w:r>
        <w:rPr>
          <w:color w:val="222222"/>
          <w:sz w:val="21"/>
          <w:szCs w:val="21"/>
        </w:rPr>
        <w:t>This project connects those three pieces into one flow: predict who is at risk, pull together what care staff need to know about that patient, and walk through the follow-up steps — instead of stopping at a risk score and hoping someone acts on it.</w:t>
      </w:r>
    </w:p>
    <w:p w14:paraId="5DBD958B" w14:textId="77777777" w:rsidR="00200DB5" w:rsidRDefault="00000000">
      <w:pPr>
        <w:pStyle w:val="Heading1"/>
        <w:pBdr>
          <w:bottom w:val="single" w:sz="8" w:space="4" w:color="1F7A78"/>
        </w:pBdr>
        <w:spacing w:before="320" w:after="140"/>
      </w:pPr>
      <w:r>
        <w:rPr>
          <w:b/>
          <w:bCs/>
          <w:color w:val="1B2A4A"/>
          <w:sz w:val="26"/>
          <w:szCs w:val="26"/>
        </w:rPr>
        <w:t>2. Business Value: Metrics &amp; Use Cases Solved</w:t>
      </w:r>
    </w:p>
    <w:p w14:paraId="4D1ED6E7" w14:textId="77777777" w:rsidR="00200DB5" w:rsidRDefault="00000000">
      <w:pPr>
        <w:spacing w:after="160" w:line="276" w:lineRule="auto"/>
      </w:pPr>
      <w:r>
        <w:rPr>
          <w:color w:val="222222"/>
          <w:sz w:val="21"/>
          <w:szCs w:val="21"/>
        </w:rPr>
        <w:t>Before the technical layers, here's the business case in one picture: what the system actually does (left), and the results it leads to (right).</w:t>
      </w:r>
    </w:p>
    <w:p w14:paraId="33273ADA" w14:textId="77777777" w:rsidR="00200DB5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57F370D" wp14:editId="6C6FABD6">
            <wp:extent cx="5810250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99C5C" w14:textId="62DB2551" w:rsidR="00200DB5" w:rsidRDefault="00000000">
      <w:pPr>
        <w:spacing w:after="160" w:line="276" w:lineRule="auto"/>
      </w:pPr>
      <w:r>
        <w:rPr>
          <w:color w:val="222222"/>
          <w:sz w:val="21"/>
          <w:szCs w:val="21"/>
        </w:rPr>
        <w:t>None of the four use cases is valuable on its own — stratifying risk without a follow-up plan just produces a list; drafting plans without clinician review isn't safe to ship. Together, they're what moves the four metrics on the right.</w:t>
      </w:r>
      <w:r w:rsidR="00652534">
        <w:rPr>
          <w:color w:val="222222"/>
          <w:sz w:val="21"/>
          <w:szCs w:val="21"/>
        </w:rPr>
        <w:br/>
      </w:r>
      <w:r w:rsidR="00652534">
        <w:rPr>
          <w:color w:val="222222"/>
          <w:sz w:val="21"/>
          <w:szCs w:val="21"/>
        </w:rPr>
        <w:br/>
      </w:r>
      <w:r w:rsidR="00652534">
        <w:rPr>
          <w:color w:val="222222"/>
          <w:sz w:val="21"/>
          <w:szCs w:val="21"/>
        </w:rPr>
        <w:br/>
      </w:r>
      <w:r w:rsidR="00652534">
        <w:rPr>
          <w:color w:val="222222"/>
          <w:sz w:val="21"/>
          <w:szCs w:val="21"/>
        </w:rPr>
        <w:br/>
      </w:r>
    </w:p>
    <w:p w14:paraId="22C01CC3" w14:textId="77777777" w:rsidR="00200DB5" w:rsidRDefault="00000000">
      <w:pPr>
        <w:pStyle w:val="Heading1"/>
        <w:pBdr>
          <w:bottom w:val="single" w:sz="8" w:space="4" w:color="1F7A78"/>
        </w:pBdr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3. What Makes This Use Case Distinct</w:t>
      </w:r>
    </w:p>
    <w:p w14:paraId="3F1C262E" w14:textId="77777777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>Right tool for each job. Prediction is handled by a simple, explainable model — not an AI agent “thinking” about it — while agents are only used for steps that genuinely need reasoning or lookup. That keeps the system easier to trust, debug, and explain to a non-technical stakeholder.</w:t>
      </w:r>
    </w:p>
    <w:p w14:paraId="35F18C2D" w14:textId="77777777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>Fairness is checked, not assumed. The risk model is tested to confirm it works equally well across different patient groups, not just accurate on average — a real compliance concern in healthcare, and something most portfolio projects skip.</w:t>
      </w:r>
    </w:p>
    <w:p w14:paraId="0E9B6F8B" w14:textId="77777777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>Drafts get a second opinion before a human sees them. The care plan is checked by a second model against a fixed checklist — missed follow-up windows, drug contraindications — before it reaches the clinician, on top of (not instead of) the clinician's own review.</w:t>
      </w:r>
    </w:p>
    <w:p w14:paraId="7C12EF20" w14:textId="77777777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>One project, one clear story. It shows — inside a single working system — exactly when to use a plain prediction model, a single AI agent, and a coordinated team of agents, instead of three disconnected demos.</w:t>
      </w:r>
    </w:p>
    <w:p w14:paraId="7D6C9156" w14:textId="77777777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>Safe to demo anywhere. It runs on synthetic/de-identified patient data, so it can be shown to any audience without real patient information ever being involved.</w:t>
      </w:r>
    </w:p>
    <w:p w14:paraId="4910940A" w14:textId="77777777" w:rsidR="00200DB5" w:rsidRDefault="00000000">
      <w:pPr>
        <w:pStyle w:val="Heading1"/>
        <w:pBdr>
          <w:bottom w:val="single" w:sz="8" w:space="4" w:color="1F7A78"/>
        </w:pBdr>
        <w:spacing w:before="320" w:after="140"/>
      </w:pPr>
      <w:r>
        <w:rPr>
          <w:b/>
          <w:bCs/>
          <w:color w:val="1B2A4A"/>
          <w:sz w:val="26"/>
          <w:szCs w:val="26"/>
        </w:rPr>
        <w:t>4. How It Solves It — Layer by Layer</w:t>
      </w:r>
    </w:p>
    <w:tbl>
      <w:tblPr>
        <w:tblW w:w="92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2"/>
        <w:gridCol w:w="3685"/>
        <w:gridCol w:w="3685"/>
      </w:tblGrid>
      <w:tr w:rsidR="00200DB5" w14:paraId="29ACCBAF" w14:textId="77777777" w:rsidTr="007D1C35">
        <w:trPr>
          <w:trHeight w:val="342"/>
          <w:tblHeader/>
        </w:trPr>
        <w:tc>
          <w:tcPr>
            <w:tcW w:w="1892" w:type="dxa"/>
            <w:shd w:val="clear" w:color="auto" w:fill="1F7A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C30F5" w14:textId="77777777" w:rsidR="00200DB5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685" w:type="dxa"/>
            <w:shd w:val="clear" w:color="auto" w:fill="1F7A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BEDB02" w14:textId="77777777" w:rsidR="00200DB5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3685" w:type="dxa"/>
            <w:shd w:val="clear" w:color="auto" w:fill="1F7A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E49174" w14:textId="77777777" w:rsidR="00200DB5" w:rsidRDefault="00000000">
            <w:r>
              <w:rPr>
                <w:b/>
                <w:bCs/>
                <w:color w:val="FFFFFF"/>
              </w:rPr>
              <w:t>Why this paradigm</w:t>
            </w:r>
          </w:p>
        </w:tc>
      </w:tr>
      <w:tr w:rsidR="00200DB5" w14:paraId="3D728F57" w14:textId="77777777" w:rsidTr="007D1C35">
        <w:trPr>
          <w:trHeight w:val="1317"/>
        </w:trPr>
        <w:tc>
          <w:tcPr>
            <w:tcW w:w="1892" w:type="dxa"/>
            <w:shd w:val="clear" w:color="auto" w:fill="E4F3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EC96B" w14:textId="77777777" w:rsidR="00200DB5" w:rsidRDefault="00000000">
            <w:r>
              <w:rPr>
                <w:b/>
                <w:bCs/>
                <w:color w:val="1B2A4A"/>
              </w:rPr>
              <w:t>ML / DS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520DB4" w14:textId="77777777" w:rsidR="00200DB5" w:rsidRDefault="00000000">
            <w:r>
              <w:rPr>
                <w:color w:val="222222"/>
              </w:rPr>
              <w:t>Predicts which patients are likely to be readmitted within 30 days, and checks that the prediction is equally accurate across different patient groups.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E46138" w14:textId="77777777" w:rsidR="00200DB5" w:rsidRDefault="00000000">
            <w:r>
              <w:rPr>
                <w:color w:val="222222"/>
              </w:rPr>
              <w:t>This is one clear yes/no prediction with a stable answer — a plain model is the simplest, most explainable tool for that job.</w:t>
            </w:r>
          </w:p>
        </w:tc>
      </w:tr>
      <w:tr w:rsidR="00200DB5" w14:paraId="2E935586" w14:textId="77777777" w:rsidTr="007D1C35">
        <w:trPr>
          <w:trHeight w:val="1317"/>
        </w:trPr>
        <w:tc>
          <w:tcPr>
            <w:tcW w:w="1892" w:type="dxa"/>
            <w:shd w:val="clear" w:color="auto" w:fill="E4F3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F1E008" w14:textId="77777777" w:rsidR="00200DB5" w:rsidRDefault="00000000">
            <w:r>
              <w:rPr>
                <w:b/>
                <w:bCs/>
                <w:color w:val="1B2A4A"/>
              </w:rPr>
              <w:t>Agent (single loop)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2C9488" w14:textId="77777777" w:rsidR="00200DB5" w:rsidRDefault="00000000">
            <w:r>
              <w:rPr>
                <w:color w:val="222222"/>
              </w:rPr>
              <w:t>Looks up one patient's chart, notes, and discharge instructions, and answers a coordinator's questions with sources cited.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B0889" w14:textId="77777777" w:rsidR="00200DB5" w:rsidRDefault="00000000">
            <w:r>
              <w:rPr>
                <w:color w:val="222222"/>
              </w:rPr>
              <w:t>It's one self-contained task — look something up and answer — so a single agent handles it well without extra complexity.</w:t>
            </w:r>
          </w:p>
        </w:tc>
      </w:tr>
      <w:tr w:rsidR="00200DB5" w14:paraId="2896EEBB" w14:textId="77777777" w:rsidTr="007D1C35">
        <w:trPr>
          <w:trHeight w:val="1317"/>
        </w:trPr>
        <w:tc>
          <w:tcPr>
            <w:tcW w:w="1892" w:type="dxa"/>
            <w:shd w:val="clear" w:color="auto" w:fill="E4F3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4C2C7" w14:textId="77777777" w:rsidR="00200DB5" w:rsidRDefault="00000000">
            <w:r>
              <w:rPr>
                <w:b/>
                <w:bCs/>
                <w:color w:val="1B2A4A"/>
              </w:rPr>
              <w:t>Agentic AI (multi-agent)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148FA" w14:textId="77777777" w:rsidR="00200DB5" w:rsidRDefault="00000000">
            <w:r>
              <w:rPr>
                <w:color w:val="222222"/>
              </w:rPr>
              <w:t>Passes the work between specialized agents in sequence: flag the patient, look up their chart, draft a plan, have a second model critique it, then hand off for review.</w:t>
            </w:r>
          </w:p>
        </w:tc>
        <w:tc>
          <w:tcPr>
            <w:tcW w:w="368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95BE3" w14:textId="77777777" w:rsidR="00200DB5" w:rsidRDefault="00000000">
            <w:r>
              <w:rPr>
                <w:color w:val="222222"/>
              </w:rPr>
              <w:t>Several different jobs need to happen in order and hand off to one another — that back-and-forth is exactly what a coordinated team of agents is built for.</w:t>
            </w:r>
          </w:p>
        </w:tc>
      </w:tr>
    </w:tbl>
    <w:p w14:paraId="664E8D72" w14:textId="77777777" w:rsidR="007D1C35" w:rsidRDefault="007D1C35">
      <w:pPr>
        <w:pStyle w:val="Heading1"/>
        <w:pBdr>
          <w:bottom w:val="single" w:sz="8" w:space="4" w:color="1F7A78"/>
        </w:pBdr>
        <w:spacing w:before="320" w:after="140"/>
        <w:rPr>
          <w:b/>
          <w:bCs/>
          <w:color w:val="1B2A4A"/>
          <w:sz w:val="26"/>
          <w:szCs w:val="26"/>
        </w:rPr>
      </w:pPr>
    </w:p>
    <w:p w14:paraId="4151388D" w14:textId="36A15534" w:rsidR="00200DB5" w:rsidRDefault="00652534">
      <w:pPr>
        <w:pStyle w:val="Heading1"/>
        <w:pBdr>
          <w:bottom w:val="single" w:sz="8" w:space="4" w:color="1F7A78"/>
        </w:pBdr>
        <w:spacing w:before="320" w:after="140"/>
      </w:pPr>
      <w:r>
        <w:rPr>
          <w:b/>
          <w:bCs/>
          <w:color w:val="1B2A4A"/>
          <w:sz w:val="26"/>
          <w:szCs w:val="26"/>
        </w:rPr>
        <w:t>5. Architecture</w:t>
      </w:r>
    </w:p>
    <w:p w14:paraId="63F35109" w14:textId="77777777" w:rsidR="00200DB5" w:rsidRDefault="00000000">
      <w:pPr>
        <w:spacing w:after="160" w:line="276" w:lineRule="auto"/>
      </w:pPr>
      <w:r>
        <w:rPr>
          <w:color w:val="222222"/>
          <w:sz w:val="21"/>
          <w:szCs w:val="21"/>
        </w:rPr>
        <w:t>The same four stages as before, drawn the way a system design doc usually is: numbered end to end, with the two human check-ins and the always-on platform services called out separately.</w:t>
      </w:r>
    </w:p>
    <w:p w14:paraId="0878C1FB" w14:textId="77777777" w:rsidR="00200DB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32020D7" wp14:editId="52988164">
            <wp:extent cx="5905500" cy="4257675"/>
            <wp:effectExtent l="0" t="0" r="0" b="0"/>
            <wp:docPr id="1212695211" name="Picture 1212695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6964" w14:textId="77777777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>Data (1–3): A discharge event flows in from the hospital system, moves through a queue, and lands in storage built for both structured data and clinical text (FHIR/HL7v2 → Kafka Connect → Apache Kafka → Postgres + ChromaDB).</w:t>
      </w:r>
    </w:p>
    <w:p w14:paraId="3FF5E570" w14:textId="77777777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>Prediction (4–6): The stored data feeds a risk model, which is served through an API and cached so repeat lookups are fast (scikit-survival model with SHAP/Fairlearn checks, FastAPI, Redis cache).</w:t>
      </w:r>
    </w:p>
    <w:p w14:paraId="576FD7CC" w14:textId="1F3963BE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 xml:space="preserve">Agents (7–10): A </w:t>
      </w:r>
      <w:r w:rsidR="00652534">
        <w:rPr>
          <w:color w:val="222222"/>
          <w:sz w:val="21"/>
          <w:szCs w:val="21"/>
        </w:rPr>
        <w:t>high-risk</w:t>
      </w:r>
      <w:r>
        <w:rPr>
          <w:color w:val="222222"/>
          <w:sz w:val="21"/>
          <w:szCs w:val="21"/>
        </w:rPr>
        <w:t xml:space="preserve"> score hands off to an orchestrator, which pulls in the patient's chart, drafts a plan, and runs it past a second model as a checklist-based critique before it ever reaches a clinician (LangGraph, LlamaIndex, Groq-hosted LLM, plus a second critique model).</w:t>
      </w:r>
    </w:p>
    <w:p w14:paraId="78B68C57" w14:textId="77777777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>Review &amp; action (11–13): A clinician reviews and signs off in the web app before anything reaches the patient record or the patient themselves (React UI → FHIR write-back → Twilio/portal notification).</w:t>
      </w:r>
    </w:p>
    <w:p w14:paraId="0E32E0A4" w14:textId="77777777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>Feedback loop (14): what actually happened after discharge flows back into the data layer, so the model keeps improving on real outcomes instead of going stale.</w:t>
      </w:r>
    </w:p>
    <w:p w14:paraId="50E0B0F2" w14:textId="3E36EAE1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>Platform services: security, monitoring, model-ops, and reliability aren't a separate step — they run underneath all four stages the whole time (OAuth2/RBAC/audit logging, Grafana/Prometheus, CI/CD and drift monitoring, retries and circuit breakers).</w:t>
      </w:r>
      <w:r w:rsidR="005E4A92">
        <w:rPr>
          <w:color w:val="222222"/>
          <w:sz w:val="21"/>
          <w:szCs w:val="21"/>
        </w:rPr>
        <w:br/>
      </w:r>
    </w:p>
    <w:p w14:paraId="56F104B0" w14:textId="77777777" w:rsidR="00200DB5" w:rsidRDefault="00000000">
      <w:pPr>
        <w:pStyle w:val="Heading1"/>
        <w:pBdr>
          <w:bottom w:val="single" w:sz="8" w:space="4" w:color="1F7A78"/>
        </w:pBdr>
        <w:spacing w:before="320" w:after="140"/>
      </w:pPr>
      <w:r>
        <w:rPr>
          <w:b/>
          <w:bCs/>
          <w:color w:val="1B2A4A"/>
          <w:sz w:val="26"/>
          <w:szCs w:val="26"/>
        </w:rPr>
        <w:t>6. Application Functionality Map</w:t>
      </w:r>
    </w:p>
    <w:p w14:paraId="774DA66E" w14:textId="77777777" w:rsidR="00200DB5" w:rsidRDefault="00000000">
      <w:pPr>
        <w:spacing w:after="160" w:line="276" w:lineRule="auto"/>
      </w:pPr>
      <w:r>
        <w:rPr>
          <w:color w:val="222222"/>
          <w:sz w:val="21"/>
          <w:szCs w:val="21"/>
        </w:rPr>
        <w:t>A different cut of the same system — grouped by feature instead of by data flow, so it's easy to see what the application actually does and which specific software powers each piece.</w:t>
      </w:r>
    </w:p>
    <w:p w14:paraId="78F6C9A3" w14:textId="77777777" w:rsidR="00200DB5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FA8B664" wp14:editId="4669E4BB">
            <wp:extent cx="5810250" cy="3629025"/>
            <wp:effectExtent l="0" t="0" r="0" b="0"/>
            <wp:docPr id="2018704996" name="Picture 2018704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5FD6" w14:textId="77777777" w:rsidR="00200DB5" w:rsidRDefault="00000000">
      <w:pPr>
        <w:pStyle w:val="Heading1"/>
        <w:pBdr>
          <w:bottom w:val="single" w:sz="8" w:space="4" w:color="1F7A78"/>
        </w:pBdr>
        <w:spacing w:before="320" w:after="140"/>
      </w:pPr>
      <w:r>
        <w:rPr>
          <w:b/>
          <w:bCs/>
          <w:color w:val="1B2A4A"/>
          <w:sz w:val="26"/>
          <w:szCs w:val="26"/>
        </w:rPr>
        <w:t>7. UI/UX Design</w:t>
      </w:r>
    </w:p>
    <w:p w14:paraId="264364B1" w14:textId="77777777" w:rsidR="00200DB5" w:rsidRDefault="00000000">
      <w:pPr>
        <w:spacing w:after="160" w:line="276" w:lineRule="auto"/>
      </w:pPr>
      <w:r>
        <w:rPr>
          <w:color w:val="222222"/>
          <w:sz w:val="21"/>
          <w:szCs w:val="21"/>
        </w:rPr>
        <w:t>The web application clinicians use day to day. Three views cover the core loop: see who's flagged, review the details, act on it.</w:t>
      </w:r>
    </w:p>
    <w:p w14:paraId="027AACE0" w14:textId="77777777" w:rsidR="00200DB5" w:rsidRDefault="00000000">
      <w:pPr>
        <w:pStyle w:val="Heading2"/>
        <w:spacing w:before="240" w:after="100"/>
      </w:pPr>
      <w:r>
        <w:rPr>
          <w:b/>
          <w:bCs/>
          <w:color w:val="1F7A78"/>
          <w:sz w:val="22"/>
          <w:szCs w:val="22"/>
        </w:rPr>
        <w:t>User flow</w:t>
      </w:r>
    </w:p>
    <w:p w14:paraId="3746C74C" w14:textId="77777777" w:rsidR="00200DB5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6778C1EF" wp14:editId="1EB4CC29">
            <wp:extent cx="5810250" cy="2524125"/>
            <wp:effectExtent l="0" t="0" r="0" b="0"/>
            <wp:docPr id="1261391516" name="Picture 1261391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71C0" w14:textId="77777777" w:rsidR="00200DB5" w:rsidRDefault="00000000">
      <w:pPr>
        <w:pStyle w:val="Heading2"/>
        <w:spacing w:before="240" w:after="100"/>
      </w:pPr>
      <w:r>
        <w:rPr>
          <w:b/>
          <w:bCs/>
          <w:color w:val="1F7A78"/>
          <w:sz w:val="22"/>
          <w:szCs w:val="22"/>
        </w:rPr>
        <w:t>Risk queue dashboard</w:t>
      </w:r>
    </w:p>
    <w:p w14:paraId="291093A4" w14:textId="7B572A17" w:rsidR="00200DB5" w:rsidRDefault="00000000">
      <w:pPr>
        <w:spacing w:after="160" w:line="276" w:lineRule="auto"/>
      </w:pPr>
      <w:r>
        <w:rPr>
          <w:color w:val="222222"/>
          <w:sz w:val="21"/>
          <w:szCs w:val="21"/>
        </w:rPr>
        <w:t>The landing screen after login. KPI cards give an at-a-glance read on today's volume and fairness status; the table below ranks flagged patients by risk so the highest-priority cases surface first.</w:t>
      </w:r>
      <w:r w:rsidR="004D4CE6">
        <w:rPr>
          <w:color w:val="222222"/>
          <w:sz w:val="21"/>
          <w:szCs w:val="21"/>
        </w:rPr>
        <w:br/>
      </w:r>
      <w:r w:rsidR="004D4CE6">
        <w:rPr>
          <w:color w:val="222222"/>
          <w:sz w:val="21"/>
          <w:szCs w:val="21"/>
        </w:rPr>
        <w:br/>
      </w:r>
      <w:r w:rsidR="004D4CE6">
        <w:rPr>
          <w:color w:val="222222"/>
          <w:sz w:val="21"/>
          <w:szCs w:val="21"/>
        </w:rPr>
        <w:br/>
      </w:r>
      <w:r w:rsidR="004D4CE6">
        <w:rPr>
          <w:color w:val="222222"/>
          <w:sz w:val="21"/>
          <w:szCs w:val="21"/>
        </w:rPr>
        <w:lastRenderedPageBreak/>
        <w:br/>
      </w:r>
    </w:p>
    <w:p w14:paraId="7BFCB997" w14:textId="77777777" w:rsidR="00200DB5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19090EAC" wp14:editId="0B84A4CB">
            <wp:extent cx="5810250" cy="2638425"/>
            <wp:effectExtent l="0" t="0" r="0" b="0"/>
            <wp:docPr id="2108301196" name="Picture 2108301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CCD8" w14:textId="08C8E5C7" w:rsidR="00200DB5" w:rsidRDefault="004D4CE6">
      <w:pPr>
        <w:pStyle w:val="Heading2"/>
        <w:spacing w:before="240" w:after="100"/>
      </w:pPr>
      <w:r>
        <w:rPr>
          <w:b/>
          <w:bCs/>
          <w:color w:val="1F7A78"/>
          <w:sz w:val="22"/>
          <w:szCs w:val="22"/>
        </w:rPr>
        <w:br/>
        <w:t>Patient detail &amp; care plan review</w:t>
      </w:r>
    </w:p>
    <w:p w14:paraId="34873F07" w14:textId="77777777" w:rsidR="00200DB5" w:rsidRDefault="00000000">
      <w:pPr>
        <w:spacing w:after="160" w:line="276" w:lineRule="auto"/>
      </w:pPr>
      <w:r>
        <w:rPr>
          <w:color w:val="222222"/>
          <w:sz w:val="21"/>
          <w:szCs w:val="21"/>
        </w:rPr>
        <w:t>Clicking into a patient shows the risk score, the specific factors driving it, and the chart context the agent retrieved (with a citation back to the source note). The AI-drafted plan sits alongside it, and nothing moves forward until the clinician explicitly approves, edits, or rejects it.</w:t>
      </w:r>
    </w:p>
    <w:p w14:paraId="4389D11A" w14:textId="77777777" w:rsidR="00200DB5" w:rsidRDefault="00000000">
      <w:pPr>
        <w:spacing w:before="100" w:after="120"/>
        <w:jc w:val="center"/>
      </w:pPr>
      <w:r>
        <w:rPr>
          <w:noProof/>
        </w:rPr>
        <w:drawing>
          <wp:inline distT="0" distB="0" distL="0" distR="0" wp14:anchorId="7AB2BE15" wp14:editId="363330A1">
            <wp:extent cx="5810250" cy="2771775"/>
            <wp:effectExtent l="0" t="0" r="0" b="0"/>
            <wp:docPr id="999845502" name="Picture 999845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98F5" w14:textId="77777777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>Design principle: the AI's work is always visibly a draft (distinct panel color, “needs your review” label) until a clinician acts on it — never presented as already-final.</w:t>
      </w:r>
    </w:p>
    <w:p w14:paraId="1F239F8F" w14:textId="77777777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>Design principle: every risk score and chart fact is traceable back to its source, so a clinician can verify before trusting.</w:t>
      </w:r>
    </w:p>
    <w:p w14:paraId="34ACFF66" w14:textId="539BF954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>Design principle: the fairness alert count lives on the main dashboard, not buried in a settings page, so equity issues surface without anyone going looking for them.</w:t>
      </w:r>
      <w:r w:rsidR="004D4CE6">
        <w:rPr>
          <w:color w:val="222222"/>
          <w:sz w:val="21"/>
          <w:szCs w:val="21"/>
        </w:rPr>
        <w:br/>
      </w:r>
      <w:r w:rsidR="004D4CE6">
        <w:rPr>
          <w:color w:val="222222"/>
          <w:sz w:val="21"/>
          <w:szCs w:val="21"/>
        </w:rPr>
        <w:br/>
      </w:r>
    </w:p>
    <w:p w14:paraId="6BCECCB6" w14:textId="77777777" w:rsidR="00200DB5" w:rsidRDefault="00000000">
      <w:pPr>
        <w:pStyle w:val="Heading1"/>
        <w:pBdr>
          <w:bottom w:val="single" w:sz="8" w:space="4" w:color="1F7A78"/>
        </w:pBdr>
        <w:spacing w:before="320" w:after="140"/>
      </w:pPr>
      <w:r>
        <w:rPr>
          <w:b/>
          <w:bCs/>
          <w:color w:val="1B2A4A"/>
          <w:sz w:val="26"/>
          <w:szCs w:val="26"/>
        </w:rPr>
        <w:lastRenderedPageBreak/>
        <w:t>8. MVP Technology Stack</w:t>
      </w:r>
    </w:p>
    <w:tbl>
      <w:tblPr>
        <w:tblW w:w="9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9"/>
        <w:gridCol w:w="6639"/>
      </w:tblGrid>
      <w:tr w:rsidR="00200DB5" w14:paraId="7FB46377" w14:textId="77777777" w:rsidTr="008A659F">
        <w:trPr>
          <w:trHeight w:val="199"/>
          <w:tblHeader/>
        </w:trPr>
        <w:tc>
          <w:tcPr>
            <w:tcW w:w="3319" w:type="dxa"/>
            <w:shd w:val="clear" w:color="auto" w:fill="1F7A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04817" w14:textId="77777777" w:rsidR="00200DB5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639" w:type="dxa"/>
            <w:shd w:val="clear" w:color="auto" w:fill="1F7A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2AA2CC" w14:textId="77777777" w:rsidR="00200DB5" w:rsidRDefault="00000000">
            <w:r>
              <w:rPr>
                <w:b/>
                <w:bCs/>
                <w:color w:val="FFFFFF"/>
              </w:rPr>
              <w:t>Stack (MVP)</w:t>
            </w:r>
          </w:p>
        </w:tc>
      </w:tr>
      <w:tr w:rsidR="00200DB5" w14:paraId="385E2B00" w14:textId="77777777" w:rsidTr="008A659F">
        <w:trPr>
          <w:trHeight w:val="380"/>
        </w:trPr>
        <w:tc>
          <w:tcPr>
            <w:tcW w:w="3319" w:type="dxa"/>
            <w:shd w:val="clear" w:color="auto" w:fill="E4F3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8DA12" w14:textId="77777777" w:rsidR="00200DB5" w:rsidRDefault="00000000">
            <w:r>
              <w:rPr>
                <w:b/>
                <w:bCs/>
                <w:color w:val="1B2A4A"/>
              </w:rPr>
              <w:t>Risk model</w:t>
            </w:r>
          </w:p>
        </w:tc>
        <w:tc>
          <w:tcPr>
            <w:tcW w:w="663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2B888" w14:textId="77777777" w:rsidR="00200DB5" w:rsidRDefault="00000000">
            <w:r>
              <w:rPr>
                <w:color w:val="222222"/>
              </w:rPr>
              <w:t>Python, scikit-survival or lifelines (Cox/hazard model), SHAP for explainability, Fairlearn or Aequitas for subgroup fairness audit</w:t>
            </w:r>
          </w:p>
        </w:tc>
      </w:tr>
      <w:tr w:rsidR="00200DB5" w14:paraId="5579241B" w14:textId="77777777" w:rsidTr="008A659F">
        <w:trPr>
          <w:trHeight w:val="390"/>
        </w:trPr>
        <w:tc>
          <w:tcPr>
            <w:tcW w:w="3319" w:type="dxa"/>
            <w:shd w:val="clear" w:color="auto" w:fill="E4F3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46091" w14:textId="77777777" w:rsidR="00200DB5" w:rsidRDefault="00000000">
            <w:r>
              <w:rPr>
                <w:b/>
                <w:bCs/>
                <w:color w:val="1B2A4A"/>
              </w:rPr>
              <w:t>Data layer</w:t>
            </w:r>
          </w:p>
        </w:tc>
        <w:tc>
          <w:tcPr>
            <w:tcW w:w="663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94BAE" w14:textId="77777777" w:rsidR="00200DB5" w:rsidRDefault="00000000">
            <w:r>
              <w:rPr>
                <w:color w:val="222222"/>
              </w:rPr>
              <w:t>Synthetic/de-identified EHR data (e.g., MIMIC-IV demo or Synthea-generated records), feature store as a simple Postgres/Parquet layer</w:t>
            </w:r>
          </w:p>
        </w:tc>
      </w:tr>
      <w:tr w:rsidR="00200DB5" w14:paraId="39130A5D" w14:textId="77777777" w:rsidTr="008A659F">
        <w:trPr>
          <w:trHeight w:val="390"/>
        </w:trPr>
        <w:tc>
          <w:tcPr>
            <w:tcW w:w="3319" w:type="dxa"/>
            <w:shd w:val="clear" w:color="auto" w:fill="E4F3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6B0E1B" w14:textId="77777777" w:rsidR="00200DB5" w:rsidRDefault="00000000">
            <w:r>
              <w:rPr>
                <w:b/>
                <w:bCs/>
                <w:color w:val="1B2A4A"/>
              </w:rPr>
              <w:t>RAG / Care-Plan Agent</w:t>
            </w:r>
          </w:p>
        </w:tc>
        <w:tc>
          <w:tcPr>
            <w:tcW w:w="663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08E3AB" w14:textId="77777777" w:rsidR="00200DB5" w:rsidRDefault="00000000">
            <w:r>
              <w:rPr>
                <w:color w:val="222222"/>
              </w:rPr>
              <w:t>LlamaIndex or LangChain, ChromaDB for chart/notes embeddings, FastAPI service wrapping the agent</w:t>
            </w:r>
          </w:p>
        </w:tc>
      </w:tr>
      <w:tr w:rsidR="00200DB5" w14:paraId="409C5525" w14:textId="77777777" w:rsidTr="008A659F">
        <w:trPr>
          <w:trHeight w:val="580"/>
        </w:trPr>
        <w:tc>
          <w:tcPr>
            <w:tcW w:w="3319" w:type="dxa"/>
            <w:shd w:val="clear" w:color="auto" w:fill="E4F3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15333" w14:textId="77777777" w:rsidR="00200DB5" w:rsidRDefault="00000000">
            <w:r>
              <w:rPr>
                <w:b/>
                <w:bCs/>
                <w:color w:val="1B2A4A"/>
              </w:rPr>
              <w:t>Orchestration</w:t>
            </w:r>
          </w:p>
        </w:tc>
        <w:tc>
          <w:tcPr>
            <w:tcW w:w="663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194F5" w14:textId="77777777" w:rsidR="00200DB5" w:rsidRDefault="00000000">
            <w:r>
              <w:rPr>
                <w:color w:val="222222"/>
              </w:rPr>
              <w:t>LangGraph (or CrewAI) for the intake → care-plan → critique → explainer → coordinator handoff graph, with shared state object per patient episode</w:t>
            </w:r>
          </w:p>
        </w:tc>
      </w:tr>
      <w:tr w:rsidR="00200DB5" w14:paraId="56BCE4A1" w14:textId="77777777" w:rsidTr="008A659F">
        <w:trPr>
          <w:trHeight w:val="771"/>
        </w:trPr>
        <w:tc>
          <w:tcPr>
            <w:tcW w:w="3319" w:type="dxa"/>
            <w:shd w:val="clear" w:color="auto" w:fill="E4F3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B33A0" w14:textId="77777777" w:rsidR="00200DB5" w:rsidRDefault="00000000">
            <w:r>
              <w:rPr>
                <w:b/>
                <w:bCs/>
                <w:color w:val="1B2A4A"/>
              </w:rPr>
              <w:t>Plan Critique</w:t>
            </w:r>
          </w:p>
        </w:tc>
        <w:tc>
          <w:tcPr>
            <w:tcW w:w="663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84A08" w14:textId="77777777" w:rsidR="00200DB5" w:rsidRDefault="00000000">
            <w:r>
              <w:rPr>
                <w:color w:val="222222"/>
              </w:rPr>
              <w:t>A second model (e.g., Claude or GPT via an OpenAI-compatible endpoint) reviews the drafted plan against a fixed checklist — missed follow-up windows, drug contraindications — before it reaches the clinician</w:t>
            </w:r>
          </w:p>
        </w:tc>
      </w:tr>
      <w:tr w:rsidR="00200DB5" w14:paraId="2091D1F6" w14:textId="77777777" w:rsidTr="008A659F">
        <w:trPr>
          <w:trHeight w:val="580"/>
        </w:trPr>
        <w:tc>
          <w:tcPr>
            <w:tcW w:w="3319" w:type="dxa"/>
            <w:shd w:val="clear" w:color="auto" w:fill="E4F3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BD885" w14:textId="77777777" w:rsidR="00200DB5" w:rsidRDefault="00000000">
            <w:r>
              <w:rPr>
                <w:b/>
                <w:bCs/>
                <w:color w:val="1B2A4A"/>
              </w:rPr>
              <w:t>Explainer / Coordinator</w:t>
            </w:r>
          </w:p>
        </w:tc>
        <w:tc>
          <w:tcPr>
            <w:tcW w:w="663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E2C9A" w14:textId="77777777" w:rsidR="00200DB5" w:rsidRDefault="00000000">
            <w:r>
              <w:rPr>
                <w:color w:val="222222"/>
              </w:rPr>
              <w:t>LLM call (Groq or OpenAI-compatible endpoint) constrained to plain-language templates; calendar/reminder stub instead of a real scheduling system for the MVP</w:t>
            </w:r>
          </w:p>
        </w:tc>
      </w:tr>
      <w:tr w:rsidR="00200DB5" w14:paraId="7B8B340B" w14:textId="77777777" w:rsidTr="008A659F">
        <w:trPr>
          <w:trHeight w:val="390"/>
        </w:trPr>
        <w:tc>
          <w:tcPr>
            <w:tcW w:w="3319" w:type="dxa"/>
            <w:shd w:val="clear" w:color="auto" w:fill="E4F3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07ED2" w14:textId="77777777" w:rsidR="00200DB5" w:rsidRDefault="00000000">
            <w:r>
              <w:rPr>
                <w:b/>
                <w:bCs/>
                <w:color w:val="1B2A4A"/>
              </w:rPr>
              <w:t>Serving &amp; demo</w:t>
            </w:r>
          </w:p>
        </w:tc>
        <w:tc>
          <w:tcPr>
            <w:tcW w:w="663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7DF777" w14:textId="77777777" w:rsidR="00200DB5" w:rsidRDefault="00000000">
            <w:r>
              <w:rPr>
                <w:color w:val="222222"/>
              </w:rPr>
              <w:t>Streamlit or a small React front end for the clinician-facing view; Docker for packaging</w:t>
            </w:r>
          </w:p>
        </w:tc>
      </w:tr>
      <w:tr w:rsidR="00200DB5" w14:paraId="276A07B7" w14:textId="77777777" w:rsidTr="008A659F">
        <w:trPr>
          <w:trHeight w:val="390"/>
        </w:trPr>
        <w:tc>
          <w:tcPr>
            <w:tcW w:w="3319" w:type="dxa"/>
            <w:shd w:val="clear" w:color="auto" w:fill="E4F3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88375" w14:textId="77777777" w:rsidR="00200DB5" w:rsidRDefault="00000000">
            <w:r>
              <w:rPr>
                <w:b/>
                <w:bCs/>
                <w:color w:val="1B2A4A"/>
              </w:rPr>
              <w:t>Evaluation</w:t>
            </w:r>
          </w:p>
        </w:tc>
        <w:tc>
          <w:tcPr>
            <w:tcW w:w="663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7EF74" w14:textId="77777777" w:rsidR="00200DB5" w:rsidRDefault="00000000">
            <w:r>
              <w:rPr>
                <w:color w:val="222222"/>
              </w:rPr>
              <w:t>Offline fairness metrics dashboard (calibration, FNR parity by subgroup) reported alongside model accuracy</w:t>
            </w:r>
          </w:p>
        </w:tc>
      </w:tr>
    </w:tbl>
    <w:p w14:paraId="29B6B167" w14:textId="77777777" w:rsidR="00200DB5" w:rsidRDefault="00000000">
      <w:pPr>
        <w:pStyle w:val="Heading1"/>
        <w:pBdr>
          <w:bottom w:val="single" w:sz="8" w:space="4" w:color="1F7A78"/>
        </w:pBdr>
        <w:spacing w:before="320" w:after="140"/>
      </w:pPr>
      <w:r>
        <w:rPr>
          <w:b/>
          <w:bCs/>
          <w:color w:val="1B2A4A"/>
          <w:sz w:val="26"/>
          <w:szCs w:val="26"/>
        </w:rPr>
        <w:t>9. Four-Week MVP Timeline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8323"/>
      </w:tblGrid>
      <w:tr w:rsidR="00200DB5" w14:paraId="5BDFEBD2" w14:textId="77777777" w:rsidTr="008A659F">
        <w:trPr>
          <w:trHeight w:val="143"/>
          <w:tblHeader/>
        </w:trPr>
        <w:tc>
          <w:tcPr>
            <w:tcW w:w="1599" w:type="dxa"/>
            <w:shd w:val="clear" w:color="auto" w:fill="1F7A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07F8D" w14:textId="77777777" w:rsidR="00200DB5" w:rsidRDefault="00000000"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8323" w:type="dxa"/>
            <w:shd w:val="clear" w:color="auto" w:fill="1F7A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EA3AD5" w14:textId="77777777" w:rsidR="00200DB5" w:rsidRDefault="00000000">
            <w:r>
              <w:rPr>
                <w:b/>
                <w:bCs/>
                <w:color w:val="FFFFFF"/>
              </w:rPr>
              <w:t>Milestone</w:t>
            </w:r>
          </w:p>
        </w:tc>
      </w:tr>
      <w:tr w:rsidR="00200DB5" w14:paraId="0FD25775" w14:textId="77777777" w:rsidTr="008A659F">
        <w:trPr>
          <w:trHeight w:val="272"/>
        </w:trPr>
        <w:tc>
          <w:tcPr>
            <w:tcW w:w="1599" w:type="dxa"/>
            <w:shd w:val="clear" w:color="auto" w:fill="E4F3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6CD74" w14:textId="77777777" w:rsidR="00200DB5" w:rsidRDefault="00000000">
            <w:r>
              <w:rPr>
                <w:b/>
                <w:bCs/>
                <w:color w:val="1B2A4A"/>
              </w:rPr>
              <w:t>1</w:t>
            </w:r>
          </w:p>
        </w:tc>
        <w:tc>
          <w:tcPr>
            <w:tcW w:w="83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49FC6" w14:textId="77777777" w:rsidR="00200DB5" w:rsidRDefault="00000000">
            <w:r>
              <w:rPr>
                <w:color w:val="222222"/>
              </w:rPr>
              <w:t>Source and prep synthetic/de-identified EHR data; stand up feature store; baseline hazard model trained and validated.</w:t>
            </w:r>
          </w:p>
        </w:tc>
      </w:tr>
      <w:tr w:rsidR="00200DB5" w14:paraId="2AEEF731" w14:textId="77777777" w:rsidTr="008A659F">
        <w:trPr>
          <w:trHeight w:val="278"/>
        </w:trPr>
        <w:tc>
          <w:tcPr>
            <w:tcW w:w="1599" w:type="dxa"/>
            <w:shd w:val="clear" w:color="auto" w:fill="E4F3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71E5E5" w14:textId="77777777" w:rsidR="00200DB5" w:rsidRDefault="00000000">
            <w:r>
              <w:rPr>
                <w:b/>
                <w:bCs/>
                <w:color w:val="1B2A4A"/>
              </w:rPr>
              <w:t>2</w:t>
            </w:r>
          </w:p>
        </w:tc>
        <w:tc>
          <w:tcPr>
            <w:tcW w:w="83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D331F" w14:textId="77777777" w:rsidR="00200DB5" w:rsidRDefault="00000000">
            <w:r>
              <w:rPr>
                <w:color w:val="222222"/>
              </w:rPr>
              <w:t>Fairness audit on the risk model (calibration + FNR parity by subgroup); build Care-Plan RAG agent over chart/notes with citation support.</w:t>
            </w:r>
          </w:p>
        </w:tc>
      </w:tr>
      <w:tr w:rsidR="00200DB5" w14:paraId="18B851C3" w14:textId="77777777" w:rsidTr="008A659F">
        <w:trPr>
          <w:trHeight w:val="278"/>
        </w:trPr>
        <w:tc>
          <w:tcPr>
            <w:tcW w:w="1599" w:type="dxa"/>
            <w:shd w:val="clear" w:color="auto" w:fill="E4F3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DDEDB" w14:textId="77777777" w:rsidR="00200DB5" w:rsidRDefault="00000000">
            <w:r>
              <w:rPr>
                <w:b/>
                <w:bCs/>
                <w:color w:val="1B2A4A"/>
              </w:rPr>
              <w:t>3</w:t>
            </w:r>
          </w:p>
        </w:tc>
        <w:tc>
          <w:tcPr>
            <w:tcW w:w="83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B390B" w14:textId="77777777" w:rsidR="00200DB5" w:rsidRDefault="00000000">
            <w:r>
              <w:rPr>
                <w:color w:val="222222"/>
              </w:rPr>
              <w:t>Build the orchestration graph (Intake → Care-Plan → Explainer → Coordinator) with shared episode state and failure recovery on agent timeout.</w:t>
            </w:r>
          </w:p>
        </w:tc>
      </w:tr>
      <w:tr w:rsidR="00200DB5" w14:paraId="4880621F" w14:textId="77777777" w:rsidTr="008A659F">
        <w:trPr>
          <w:trHeight w:val="278"/>
        </w:trPr>
        <w:tc>
          <w:tcPr>
            <w:tcW w:w="1599" w:type="dxa"/>
            <w:shd w:val="clear" w:color="auto" w:fill="E4F3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5557E" w14:textId="77777777" w:rsidR="00200DB5" w:rsidRDefault="00000000">
            <w:r>
              <w:rPr>
                <w:b/>
                <w:bCs/>
                <w:color w:val="1B2A4A"/>
              </w:rPr>
              <w:t>4</w:t>
            </w:r>
          </w:p>
        </w:tc>
        <w:tc>
          <w:tcPr>
            <w:tcW w:w="8323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DB0B2" w14:textId="77777777" w:rsidR="00200DB5" w:rsidRDefault="00000000">
            <w:r>
              <w:rPr>
                <w:color w:val="222222"/>
              </w:rPr>
              <w:t>Wire the clinician-facing demo (Streamlit/React), run end-to-end test episodes, package with Docker, write up results and fairness findings.</w:t>
            </w:r>
          </w:p>
        </w:tc>
      </w:tr>
    </w:tbl>
    <w:p w14:paraId="004127B7" w14:textId="5849A40D" w:rsidR="00200DB5" w:rsidRDefault="00813560">
      <w:pPr>
        <w:pStyle w:val="Heading1"/>
        <w:pBdr>
          <w:bottom w:val="single" w:sz="8" w:space="4" w:color="1F7A78"/>
        </w:pBdr>
        <w:spacing w:before="320" w:after="140"/>
      </w:pPr>
      <w:r>
        <w:rPr>
          <w:b/>
          <w:bCs/>
          <w:color w:val="1B2A4A"/>
          <w:sz w:val="26"/>
          <w:szCs w:val="26"/>
        </w:rPr>
        <w:t>10. Success Criteria</w:t>
      </w:r>
    </w:p>
    <w:p w14:paraId="5E9D52E6" w14:textId="77777777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>The risk model predicts as well as published research on readmission, and works about equally well across different patient groups.</w:t>
      </w:r>
    </w:p>
    <w:p w14:paraId="54821CF8" w14:textId="77777777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>When the agent pulls information from a patient's chart, it points back to the correct part of the record — checked by hand on a set of test cases.</w:t>
      </w:r>
    </w:p>
    <w:p w14:paraId="1E9E2F09" w14:textId="77777777" w:rsidR="00200DB5" w:rsidRDefault="00000000">
      <w:pPr>
        <w:pStyle w:val="ListParagraph"/>
        <w:numPr>
          <w:ilvl w:val="0"/>
          <w:numId w:val="2"/>
        </w:numPr>
        <w:spacing w:after="80" w:line="270" w:lineRule="auto"/>
      </w:pPr>
      <w:r>
        <w:rPr>
          <w:color w:val="222222"/>
          <w:sz w:val="21"/>
          <w:szCs w:val="21"/>
        </w:rPr>
        <w:t>The full process — flag a patient, predict their risk, look up their chart, draft a plan, explain it — runs smoothly end to end without anyone stepping in, including one test where a step fails on purpose and the system recovers.</w:t>
      </w:r>
    </w:p>
    <w:sectPr w:rsidR="00200DB5">
      <w:headerReference w:type="default" r:id="rId13"/>
      <w:footerReference w:type="default" r:id="rId14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F3572" w14:textId="77777777" w:rsidR="002A1A09" w:rsidRDefault="002A1A09">
      <w:r>
        <w:separator/>
      </w:r>
    </w:p>
  </w:endnote>
  <w:endnote w:type="continuationSeparator" w:id="0">
    <w:p w14:paraId="5351E014" w14:textId="77777777" w:rsidR="002A1A09" w:rsidRDefault="002A1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0A29E" w14:textId="77777777" w:rsidR="00200DB5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652534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B9C83" w14:textId="77777777" w:rsidR="002A1A09" w:rsidRDefault="002A1A09">
      <w:r>
        <w:separator/>
      </w:r>
    </w:p>
  </w:footnote>
  <w:footnote w:type="continuationSeparator" w:id="0">
    <w:p w14:paraId="05D71335" w14:textId="77777777" w:rsidR="002A1A09" w:rsidRDefault="002A1A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6586F" w14:textId="77777777" w:rsidR="00200DB5" w:rsidRDefault="00000000">
    <w:pPr>
      <w:jc w:val="right"/>
    </w:pPr>
    <w:r>
      <w:rPr>
        <w:i/>
        <w:iCs/>
        <w:color w:val="6B7280"/>
        <w:sz w:val="16"/>
        <w:szCs w:val="16"/>
      </w:rPr>
      <w:t>Care Transition Risk &amp; Coordination Copilot — Project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8168A"/>
    <w:multiLevelType w:val="hybridMultilevel"/>
    <w:tmpl w:val="F2D0A3D0"/>
    <w:lvl w:ilvl="0" w:tplc="FE165BE0">
      <w:start w:val="1"/>
      <w:numFmt w:val="bullet"/>
      <w:lvlText w:val="●"/>
      <w:lvlJc w:val="left"/>
      <w:pPr>
        <w:ind w:left="720" w:hanging="360"/>
      </w:pPr>
    </w:lvl>
    <w:lvl w:ilvl="1" w:tplc="1CD8D210">
      <w:start w:val="1"/>
      <w:numFmt w:val="bullet"/>
      <w:lvlText w:val="○"/>
      <w:lvlJc w:val="left"/>
      <w:pPr>
        <w:ind w:left="1440" w:hanging="360"/>
      </w:pPr>
    </w:lvl>
    <w:lvl w:ilvl="2" w:tplc="4066F4C2">
      <w:start w:val="1"/>
      <w:numFmt w:val="bullet"/>
      <w:lvlText w:val="■"/>
      <w:lvlJc w:val="left"/>
      <w:pPr>
        <w:ind w:left="2160" w:hanging="360"/>
      </w:pPr>
    </w:lvl>
    <w:lvl w:ilvl="3" w:tplc="6D6667A2">
      <w:start w:val="1"/>
      <w:numFmt w:val="bullet"/>
      <w:lvlText w:val="●"/>
      <w:lvlJc w:val="left"/>
      <w:pPr>
        <w:ind w:left="2880" w:hanging="360"/>
      </w:pPr>
    </w:lvl>
    <w:lvl w:ilvl="4" w:tplc="52782ED0">
      <w:start w:val="1"/>
      <w:numFmt w:val="bullet"/>
      <w:lvlText w:val="○"/>
      <w:lvlJc w:val="left"/>
      <w:pPr>
        <w:ind w:left="3600" w:hanging="360"/>
      </w:pPr>
    </w:lvl>
    <w:lvl w:ilvl="5" w:tplc="5A3C19E8">
      <w:start w:val="1"/>
      <w:numFmt w:val="bullet"/>
      <w:lvlText w:val="■"/>
      <w:lvlJc w:val="left"/>
      <w:pPr>
        <w:ind w:left="4320" w:hanging="360"/>
      </w:pPr>
    </w:lvl>
    <w:lvl w:ilvl="6" w:tplc="3E500E08">
      <w:start w:val="1"/>
      <w:numFmt w:val="bullet"/>
      <w:lvlText w:val="●"/>
      <w:lvlJc w:val="left"/>
      <w:pPr>
        <w:ind w:left="5040" w:hanging="360"/>
      </w:pPr>
    </w:lvl>
    <w:lvl w:ilvl="7" w:tplc="BA722D32">
      <w:start w:val="1"/>
      <w:numFmt w:val="bullet"/>
      <w:lvlText w:val="●"/>
      <w:lvlJc w:val="left"/>
      <w:pPr>
        <w:ind w:left="5760" w:hanging="360"/>
      </w:pPr>
    </w:lvl>
    <w:lvl w:ilvl="8" w:tplc="260C00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E71D93"/>
    <w:multiLevelType w:val="hybridMultilevel"/>
    <w:tmpl w:val="727ED93E"/>
    <w:lvl w:ilvl="0" w:tplc="AE743C40">
      <w:start w:val="1"/>
      <w:numFmt w:val="bullet"/>
      <w:lvlText w:val="•"/>
      <w:lvlJc w:val="left"/>
      <w:pPr>
        <w:ind w:left="403" w:hanging="259"/>
      </w:pPr>
    </w:lvl>
    <w:lvl w:ilvl="1" w:tplc="B2063E8C">
      <w:start w:val="1"/>
      <w:numFmt w:val="bullet"/>
      <w:lvlText w:val="◦"/>
      <w:lvlJc w:val="left"/>
      <w:pPr>
        <w:ind w:left="792" w:hanging="259"/>
      </w:pPr>
    </w:lvl>
    <w:lvl w:ilvl="2" w:tplc="0A84DA74">
      <w:numFmt w:val="decimal"/>
      <w:lvlText w:val=""/>
      <w:lvlJc w:val="left"/>
    </w:lvl>
    <w:lvl w:ilvl="3" w:tplc="35F6AABE">
      <w:numFmt w:val="decimal"/>
      <w:lvlText w:val=""/>
      <w:lvlJc w:val="left"/>
    </w:lvl>
    <w:lvl w:ilvl="4" w:tplc="BFA6D3EE">
      <w:numFmt w:val="decimal"/>
      <w:lvlText w:val=""/>
      <w:lvlJc w:val="left"/>
    </w:lvl>
    <w:lvl w:ilvl="5" w:tplc="0BB46A86">
      <w:numFmt w:val="decimal"/>
      <w:lvlText w:val=""/>
      <w:lvlJc w:val="left"/>
    </w:lvl>
    <w:lvl w:ilvl="6" w:tplc="FED62294">
      <w:numFmt w:val="decimal"/>
      <w:lvlText w:val=""/>
      <w:lvlJc w:val="left"/>
    </w:lvl>
    <w:lvl w:ilvl="7" w:tplc="DF9E3B46">
      <w:numFmt w:val="decimal"/>
      <w:lvlText w:val=""/>
      <w:lvlJc w:val="left"/>
    </w:lvl>
    <w:lvl w:ilvl="8" w:tplc="54DCDE8C">
      <w:numFmt w:val="decimal"/>
      <w:lvlText w:val=""/>
      <w:lvlJc w:val="left"/>
    </w:lvl>
  </w:abstractNum>
  <w:num w:numId="1" w16cid:durableId="1659112903">
    <w:abstractNumId w:val="0"/>
    <w:lvlOverride w:ilvl="0">
      <w:startOverride w:val="1"/>
    </w:lvlOverride>
  </w:num>
  <w:num w:numId="2" w16cid:durableId="129232613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DB5"/>
    <w:rsid w:val="0016068A"/>
    <w:rsid w:val="00200DB5"/>
    <w:rsid w:val="002A1A09"/>
    <w:rsid w:val="004439F6"/>
    <w:rsid w:val="004D4CE6"/>
    <w:rsid w:val="005E4A92"/>
    <w:rsid w:val="00652534"/>
    <w:rsid w:val="007D1C35"/>
    <w:rsid w:val="00813560"/>
    <w:rsid w:val="008A659F"/>
    <w:rsid w:val="00DE2C60"/>
    <w:rsid w:val="00E7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55262"/>
  <w15:docId w15:val="{D3049781-9BE4-4D7E-B7D3-CD5E639B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1317</Words>
  <Characters>7508</Characters>
  <Application>Microsoft Office Word</Application>
  <DocSecurity>0</DocSecurity>
  <Lines>62</Lines>
  <Paragraphs>17</Paragraphs>
  <ScaleCrop>false</ScaleCrop>
  <Company/>
  <LinksUpToDate>false</LinksUpToDate>
  <CharactersWithSpaces>8808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dayesh raval</cp:lastModifiedBy>
  <cp:revision>8</cp:revision>
  <dcterms:created xsi:type="dcterms:W3CDTF">2026-08-22T15:49:00Z</dcterms:created>
  <dcterms:modified xsi:type="dcterms:W3CDTF">2026-08-22T15:57:00Z</dcterms:modified>
</cp:coreProperties>
</file>