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86" w:rsidRPr="004957A3" w:rsidRDefault="004957A3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r w:rsidR="001C2C86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OBJETIVO </w:t>
      </w:r>
    </w:p>
    <w:p w:rsidR="00461DDF" w:rsidRPr="004957A3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4957A3" w:rsidRPr="004957A3" w:rsidRDefault="001C2C86" w:rsidP="009D03BB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Este </w:t>
      </w:r>
      <w:r w:rsidR="004957A3">
        <w:rPr>
          <w:rFonts w:ascii="Arial" w:hAnsi="Arial" w:cs="Arial"/>
          <w:bCs/>
          <w:sz w:val="22"/>
          <w:szCs w:val="22"/>
          <w:lang w:val="es-ES" w:eastAsia="es-ES"/>
        </w:rPr>
        <w:t>procedimiento</w:t>
      </w:r>
      <w:r w:rsidR="00D37687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tiene como propósito </w:t>
      </w:r>
      <w:r w:rsid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establecer y documentar las </w:t>
      </w:r>
      <w:r w:rsidR="00B91940" w:rsidRPr="004957A3">
        <w:rPr>
          <w:rFonts w:ascii="Arial" w:hAnsi="Arial" w:cs="Arial"/>
          <w:bCs/>
          <w:sz w:val="22"/>
          <w:szCs w:val="22"/>
          <w:lang w:val="es-ES" w:eastAsia="es-ES"/>
        </w:rPr>
        <w:t>acciones encaminadas</w:t>
      </w:r>
      <w:r w:rsid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para la realización de los exámenes médicos ocupacionales de ingreso, periódicos y de retiro al personal. </w:t>
      </w:r>
    </w:p>
    <w:p w:rsidR="001C2C86" w:rsidRPr="004957A3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:rsidR="001C2C86" w:rsidRPr="004957A3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ALCANCE </w:t>
      </w:r>
    </w:p>
    <w:p w:rsidR="001C2C86" w:rsidRPr="004957A3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A612E9" w:rsidRPr="004957A3" w:rsidRDefault="001C2C86" w:rsidP="009D03BB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Este </w:t>
      </w:r>
      <w:r w:rsidR="004957A3">
        <w:rPr>
          <w:rFonts w:ascii="Arial" w:hAnsi="Arial" w:cs="Arial"/>
          <w:bCs/>
          <w:sz w:val="22"/>
          <w:szCs w:val="22"/>
          <w:lang w:val="es-ES" w:eastAsia="es-ES"/>
        </w:rPr>
        <w:t>procedimiento</w:t>
      </w:r>
      <w:r w:rsidR="009D03BB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4957A3">
        <w:rPr>
          <w:rFonts w:ascii="Arial" w:hAnsi="Arial" w:cs="Arial"/>
          <w:bCs/>
          <w:sz w:val="22"/>
          <w:szCs w:val="22"/>
          <w:lang w:val="es-ES" w:eastAsia="es-ES"/>
        </w:rPr>
        <w:t>aplica a todo el personal de Excavaciones Correa Mejía S.A.S</w:t>
      </w:r>
      <w:r w:rsidR="009D03BB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.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:rsidR="001C2C86" w:rsidRPr="004957A3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1C2C86" w:rsidRPr="004957A3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RESPONSABILIDAD Y AUTORIDAD</w:t>
      </w:r>
    </w:p>
    <w:p w:rsidR="001C2C86" w:rsidRPr="004957A3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1C2C86" w:rsidRPr="004957A3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Gerente</w:t>
      </w:r>
      <w:r w:rsidR="001C2C86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="00B91940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Suministrar los recursos necesarios para la ejecución de las actividades que contribuyan al cumplimiento normativo y la gestión de los riesgos. </w:t>
      </w:r>
    </w:p>
    <w:p w:rsidR="00461DDF" w:rsidRPr="004957A3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1C2C86" w:rsidRPr="004957A3" w:rsidRDefault="004957A3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P</w:t>
      </w:r>
      <w:r w:rsidR="00847A8A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ersonal operativo</w:t>
      </w:r>
      <w:r w:rsidR="001C2C86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participar activam</w:t>
      </w:r>
      <w:r w:rsidR="00B91940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ente y promover la asistencia a las actividades de medicina preventiva. </w:t>
      </w:r>
    </w:p>
    <w:p w:rsidR="00461DDF" w:rsidRPr="004957A3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1C2C86" w:rsidRPr="004957A3" w:rsidRDefault="004805D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Encargado del SG</w:t>
      </w:r>
      <w:r w:rsidR="00461DDF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-</w:t>
      </w: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SST</w:t>
      </w:r>
      <w:r w:rsidR="001C2C86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B91940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programar </w:t>
      </w:r>
      <w:r w:rsid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exámenes médicos ocupacionales, revisión y seguimiento a las recomendaciones médicas. </w:t>
      </w:r>
    </w:p>
    <w:p w:rsidR="001C2C86" w:rsidRPr="004957A3" w:rsidRDefault="001C2C8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1C2C86" w:rsidRPr="004957A3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CONSIDERACIONES GENERALES </w:t>
      </w:r>
    </w:p>
    <w:p w:rsidR="00461DDF" w:rsidRPr="004957A3" w:rsidRDefault="00461DDF" w:rsidP="00461DD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1C2C86" w:rsidRPr="004957A3" w:rsidRDefault="00B91940" w:rsidP="00AE30E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>La custodia de la historia clínicas ocupacionales estará a cargo de prestador de servicios médicos ocupacionales el cual se contrate</w:t>
      </w:r>
      <w:r w:rsidR="001C2C86" w:rsidRPr="004957A3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:rsidR="00B91940" w:rsidRPr="004957A3" w:rsidRDefault="00B91940" w:rsidP="00AE30E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>Tanto el prestado</w:t>
      </w:r>
      <w:r w:rsidR="00BF71E6" w:rsidRPr="004957A3">
        <w:rPr>
          <w:rFonts w:ascii="Arial" w:hAnsi="Arial" w:cs="Arial"/>
          <w:bCs/>
          <w:sz w:val="22"/>
          <w:szCs w:val="22"/>
          <w:lang w:val="es-ES" w:eastAsia="es-ES"/>
        </w:rPr>
        <w:t>r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de servicio (Persona </w:t>
      </w:r>
      <w:r w:rsidR="00BF71E6" w:rsidRPr="004957A3">
        <w:rPr>
          <w:rFonts w:ascii="Arial" w:hAnsi="Arial" w:cs="Arial"/>
          <w:bCs/>
          <w:sz w:val="22"/>
          <w:szCs w:val="22"/>
          <w:lang w:val="es-ES" w:eastAsia="es-ES"/>
        </w:rPr>
        <w:t>Jurídica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>) como el médico especialista en seguridad y salud en el trabajo (SST) deberá contar con licencia en SST vigente</w:t>
      </w:r>
      <w:r w:rsidR="00BF71E6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. </w:t>
      </w:r>
    </w:p>
    <w:p w:rsidR="00BF71E6" w:rsidRPr="004957A3" w:rsidRDefault="00BF71E6" w:rsidP="00BF71E6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B91940" w:rsidRPr="004957A3" w:rsidRDefault="00B91940" w:rsidP="00B91940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1C2C86" w:rsidRPr="004957A3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DEFINICIONES </w:t>
      </w:r>
    </w:p>
    <w:p w:rsidR="00461DDF" w:rsidRPr="004957A3" w:rsidRDefault="00461DDF" w:rsidP="00461DDF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716B28" w:rsidRPr="004957A3" w:rsidRDefault="00716B28" w:rsidP="00461DDF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Anamnesis: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Interrogatorio que se realiza a la persona en búsqueda de información acerca de datos generales, antecedentes, identificación de síntomas y signos, así como su evolución. </w:t>
      </w:r>
    </w:p>
    <w:p w:rsidR="00716B28" w:rsidRPr="004957A3" w:rsidRDefault="00716B28" w:rsidP="00461DDF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1C2C86" w:rsidRPr="004957A3" w:rsidRDefault="00716B28" w:rsidP="00461DDF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Examen médico ocupacional</w:t>
      </w:r>
      <w:r w:rsidR="001C2C86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Acto médico mediante el cual se interroga y examina a un trabajador, con el fin de monitorear la exposición a factores de riesgo y determinar la existencia de consecuencias en la persona por dicha exposición. Incluye anamnesis,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lastRenderedPageBreak/>
        <w:t xml:space="preserve">examen físico completo con énfasis en el órgano o sistema blanco, análisis de pruebas clínicas y paraclínicas, tales como: de laboratorio, imágenes diagnósticas, electrocardiograma, y su </w:t>
      </w:r>
      <w:r w:rsidR="00637712" w:rsidRPr="004957A3">
        <w:rPr>
          <w:rFonts w:ascii="Arial" w:hAnsi="Arial" w:cs="Arial"/>
          <w:bCs/>
          <w:sz w:val="22"/>
          <w:szCs w:val="22"/>
          <w:lang w:val="es-ES" w:eastAsia="es-ES"/>
        </w:rPr>
        <w:t>correlación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entre ellos para emitir un diagnóstico y las recomendaciones. </w:t>
      </w:r>
    </w:p>
    <w:p w:rsidR="00461DDF" w:rsidRPr="004957A3" w:rsidRDefault="00461DDF" w:rsidP="00461DDF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BE7117" w:rsidRPr="004957A3" w:rsidRDefault="00716B28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Órgano blanco</w:t>
      </w:r>
      <w:r w:rsidR="00BE7117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BE7117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Órgano al cual tiene afinidad un determinado elemento o sustancia y que es susceptible de daño o afección. </w:t>
      </w:r>
    </w:p>
    <w:p w:rsidR="00BE7117" w:rsidRPr="004957A3" w:rsidRDefault="00BE7117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BE7117" w:rsidRPr="004957A3" w:rsidRDefault="00716B28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Perfil de cargo</w:t>
      </w:r>
      <w:r w:rsidR="00BE7117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BE7117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>Conjunto de demandas físicas, mentales y condiciones específicas, determinadas por el empleador como requisitos para que una persona pueda realizar determinadas funciones o tareas</w:t>
      </w:r>
      <w:r w:rsidR="00BE7117" w:rsidRPr="004957A3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:rsidR="00BE7117" w:rsidRPr="004957A3" w:rsidRDefault="00BE7117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BE7117" w:rsidRPr="004957A3" w:rsidRDefault="003820CD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Valoraciones o pruebas complementarias</w:t>
      </w:r>
      <w:r w:rsidR="00BE7117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>Son evaluaciones o exámenes clínicos o paraclínicos realizados para complementar un determinado estudio en la búsqueda o comprobación de un diagnóstico.</w:t>
      </w:r>
    </w:p>
    <w:p w:rsidR="00BE7117" w:rsidRPr="004957A3" w:rsidRDefault="00BE7117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BE7117" w:rsidRPr="004957A3" w:rsidRDefault="003820CD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Resumen de Historia Clínica</w:t>
      </w:r>
      <w:r w:rsidR="00BE7117" w:rsidRPr="004957A3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BE7117"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Documento que presenta, en forma breve, todos aquellos datos relevantes relacionados con antecedentes, eventos, procedimientos de diagnóstico, tratamiento y rehabilitación, en especial lo relacionado con su exposición a factores de riesgos, antecedentes de ocurrencia de eventos </w:t>
      </w:r>
      <w:r w:rsidR="00003359" w:rsidRPr="004957A3">
        <w:rPr>
          <w:rFonts w:ascii="Arial" w:hAnsi="Arial" w:cs="Arial"/>
          <w:bCs/>
          <w:sz w:val="22"/>
          <w:szCs w:val="22"/>
          <w:lang w:val="es-ES" w:eastAsia="es-ES"/>
        </w:rPr>
        <w:t>laborales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, </w:t>
      </w:r>
      <w:r w:rsidR="00200476" w:rsidRPr="004957A3">
        <w:rPr>
          <w:rFonts w:ascii="Arial" w:hAnsi="Arial" w:cs="Arial"/>
          <w:bCs/>
          <w:sz w:val="22"/>
          <w:szCs w:val="22"/>
          <w:lang w:val="es-ES" w:eastAsia="es-ES"/>
        </w:rPr>
        <w:t>así</w:t>
      </w:r>
      <w:r w:rsidRPr="004957A3">
        <w:rPr>
          <w:rFonts w:ascii="Arial" w:hAnsi="Arial" w:cs="Arial"/>
          <w:bCs/>
          <w:sz w:val="22"/>
          <w:szCs w:val="22"/>
          <w:lang w:val="es-ES" w:eastAsia="es-ES"/>
        </w:rPr>
        <w:t xml:space="preserve"> como de reintegro laboral, que ha presentado una persona en un determinado tiempo y que han sido registrados en la historia clínica ocupacional. </w:t>
      </w:r>
    </w:p>
    <w:p w:rsidR="0068124A" w:rsidRPr="004957A3" w:rsidRDefault="0068124A" w:rsidP="00BE7117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1C2C86" w:rsidRPr="004957A3" w:rsidRDefault="001C2C86" w:rsidP="00461DDF">
      <w:pPr>
        <w:spacing w:line="276" w:lineRule="auto"/>
        <w:ind w:left="644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:rsidR="001C2C86" w:rsidRPr="004957A3" w:rsidRDefault="00221BD9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DESARROLLO</w:t>
      </w:r>
    </w:p>
    <w:p w:rsidR="001C2C86" w:rsidRPr="004957A3" w:rsidRDefault="001C2C86" w:rsidP="00461DDF">
      <w:pPr>
        <w:spacing w:line="276" w:lineRule="auto"/>
        <w:ind w:left="64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:rsidR="001C2C86" w:rsidRPr="004957A3" w:rsidRDefault="00200476" w:rsidP="00AE30E4">
      <w:pPr>
        <w:pStyle w:val="Prrafodelista"/>
        <w:numPr>
          <w:ilvl w:val="1"/>
          <w:numId w:val="3"/>
        </w:numPr>
        <w:spacing w:line="276" w:lineRule="auto"/>
        <w:ind w:left="709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sz w:val="22"/>
          <w:szCs w:val="22"/>
          <w:lang w:val="es-ES" w:eastAsia="es-ES"/>
        </w:rPr>
        <w:t>EXÁMENES</w:t>
      </w:r>
      <w:r w:rsidR="00F9031D" w:rsidRPr="004957A3">
        <w:rPr>
          <w:rFonts w:ascii="Arial" w:hAnsi="Arial" w:cs="Arial"/>
          <w:b/>
          <w:sz w:val="22"/>
          <w:szCs w:val="22"/>
          <w:lang w:val="es-ES" w:eastAsia="es-ES"/>
        </w:rPr>
        <w:t xml:space="preserve"> MEDICO OCUPACIONAL DE INGRESO</w:t>
      </w:r>
    </w:p>
    <w:p w:rsidR="00461DDF" w:rsidRPr="004957A3" w:rsidRDefault="00461DDF" w:rsidP="00461DDF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:rsidR="00953A28" w:rsidRPr="004957A3" w:rsidRDefault="00953A28" w:rsidP="00953A28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Examen médico que determinan </w:t>
      </w:r>
      <w:r w:rsidR="00F9031D" w:rsidRPr="004957A3">
        <w:rPr>
          <w:rFonts w:ascii="Arial" w:hAnsi="Arial" w:cs="Arial"/>
          <w:sz w:val="22"/>
          <w:szCs w:val="22"/>
          <w:lang w:val="es-ES" w:eastAsia="es-ES"/>
        </w:rPr>
        <w:t xml:space="preserve">las condiciones de salud física, mental y social del trabajador antes de su contratación, en función </w:t>
      </w:r>
      <w:r w:rsidRPr="004957A3">
        <w:rPr>
          <w:rFonts w:ascii="Arial" w:hAnsi="Arial" w:cs="Arial"/>
          <w:sz w:val="22"/>
          <w:szCs w:val="22"/>
          <w:lang w:val="es-ES" w:eastAsia="es-ES"/>
        </w:rPr>
        <w:t>d</w:t>
      </w:r>
      <w:r w:rsidR="00F9031D" w:rsidRPr="004957A3">
        <w:rPr>
          <w:rFonts w:ascii="Arial" w:hAnsi="Arial" w:cs="Arial"/>
          <w:sz w:val="22"/>
          <w:szCs w:val="22"/>
          <w:lang w:val="es-ES" w:eastAsia="es-ES"/>
        </w:rPr>
        <w:t>e las condiciones de trabajo a las que estaría expuesto, acorde con los requerimiento</w:t>
      </w:r>
      <w:r w:rsidRPr="004957A3">
        <w:rPr>
          <w:rFonts w:ascii="Arial" w:hAnsi="Arial" w:cs="Arial"/>
          <w:sz w:val="22"/>
          <w:szCs w:val="22"/>
          <w:lang w:val="es-ES" w:eastAsia="es-ES"/>
        </w:rPr>
        <w:t>s</w:t>
      </w:r>
      <w:r w:rsidR="00F9031D" w:rsidRPr="004957A3">
        <w:rPr>
          <w:rFonts w:ascii="Arial" w:hAnsi="Arial" w:cs="Arial"/>
          <w:sz w:val="22"/>
          <w:szCs w:val="22"/>
          <w:lang w:val="es-ES" w:eastAsia="es-ES"/>
        </w:rPr>
        <w:t xml:space="preserve"> de la tarea y perfil del car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go; con el fin de determinar la aptitud del trabajador para desempeñar eficientemente las labores a contratar. </w:t>
      </w:r>
    </w:p>
    <w:p w:rsidR="00953A28" w:rsidRPr="004957A3" w:rsidRDefault="00953A28" w:rsidP="00953A28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953A28" w:rsidRPr="004957A3" w:rsidRDefault="00221BD9" w:rsidP="00953A28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Excavaciones Correa Mejía S.A.S</w:t>
      </w:r>
      <w:r w:rsidR="00637712" w:rsidRPr="004957A3">
        <w:rPr>
          <w:rFonts w:ascii="Arial" w:hAnsi="Arial" w:cs="Arial"/>
          <w:sz w:val="22"/>
          <w:szCs w:val="22"/>
          <w:lang w:val="es-ES" w:eastAsia="es-ES"/>
        </w:rPr>
        <w:t xml:space="preserve">., </w:t>
      </w:r>
      <w:r w:rsidR="00953A28" w:rsidRPr="004957A3">
        <w:rPr>
          <w:rFonts w:ascii="Arial" w:hAnsi="Arial" w:cs="Arial"/>
          <w:sz w:val="22"/>
          <w:szCs w:val="22"/>
          <w:lang w:val="es-ES" w:eastAsia="es-ES"/>
        </w:rPr>
        <w:t xml:space="preserve">cuenta con </w:t>
      </w:r>
      <w:r>
        <w:rPr>
          <w:rFonts w:ascii="Arial" w:hAnsi="Arial" w:cs="Arial"/>
          <w:sz w:val="22"/>
          <w:szCs w:val="22"/>
          <w:lang w:val="es-ES" w:eastAsia="es-ES"/>
        </w:rPr>
        <w:t xml:space="preserve">un 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>contratista</w:t>
      </w:r>
      <w:r w:rsidR="00953A28" w:rsidRPr="004957A3">
        <w:rPr>
          <w:rFonts w:ascii="Arial" w:hAnsi="Arial" w:cs="Arial"/>
          <w:sz w:val="22"/>
          <w:szCs w:val="22"/>
          <w:lang w:val="es-ES" w:eastAsia="es-ES"/>
        </w:rPr>
        <w:t xml:space="preserve"> que presta el servicio de salud especializado en Seguridad y Salud en el Trabajo, como requisitos</w:t>
      </w:r>
      <w:r w:rsidR="0077118C" w:rsidRPr="004957A3">
        <w:rPr>
          <w:rFonts w:ascii="Arial" w:hAnsi="Arial" w:cs="Arial"/>
          <w:sz w:val="22"/>
          <w:szCs w:val="22"/>
          <w:lang w:val="es-ES" w:eastAsia="es-ES"/>
        </w:rPr>
        <w:t xml:space="preserve"> del</w:t>
      </w:r>
      <w:r w:rsidR="00953A28" w:rsidRPr="004957A3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="00637712" w:rsidRPr="004957A3">
        <w:rPr>
          <w:rFonts w:ascii="Arial" w:hAnsi="Arial" w:cs="Arial"/>
          <w:sz w:val="22"/>
          <w:szCs w:val="22"/>
          <w:lang w:val="es-ES" w:eastAsia="es-ES"/>
        </w:rPr>
        <w:t>vínculo</w:t>
      </w:r>
      <w:r w:rsidR="00953A28" w:rsidRPr="004957A3">
        <w:rPr>
          <w:rFonts w:ascii="Arial" w:hAnsi="Arial" w:cs="Arial"/>
          <w:sz w:val="22"/>
          <w:szCs w:val="22"/>
          <w:lang w:val="es-ES" w:eastAsia="es-ES"/>
        </w:rPr>
        <w:t xml:space="preserve"> comercial la IPS deberá </w:t>
      </w:r>
      <w:r w:rsidR="0077118C" w:rsidRPr="004957A3">
        <w:rPr>
          <w:rFonts w:ascii="Arial" w:hAnsi="Arial" w:cs="Arial"/>
          <w:sz w:val="22"/>
          <w:szCs w:val="22"/>
          <w:lang w:val="es-ES" w:eastAsia="es-ES"/>
        </w:rPr>
        <w:t>allegar</w:t>
      </w:r>
      <w:r w:rsidR="00953A28" w:rsidRPr="004957A3">
        <w:rPr>
          <w:rFonts w:ascii="Arial" w:hAnsi="Arial" w:cs="Arial"/>
          <w:sz w:val="22"/>
          <w:szCs w:val="22"/>
          <w:lang w:val="es-ES" w:eastAsia="es-ES"/>
        </w:rPr>
        <w:t xml:space="preserve"> licencia en SST de la institución, </w:t>
      </w:r>
      <w:r w:rsidR="0077118C" w:rsidRPr="004957A3">
        <w:rPr>
          <w:rFonts w:ascii="Arial" w:hAnsi="Arial" w:cs="Arial"/>
          <w:sz w:val="22"/>
          <w:szCs w:val="22"/>
          <w:lang w:val="es-ES" w:eastAsia="es-ES"/>
        </w:rPr>
        <w:t xml:space="preserve">licencia en SST del personal médico, </w:t>
      </w:r>
      <w:r>
        <w:rPr>
          <w:rFonts w:ascii="Arial" w:hAnsi="Arial" w:cs="Arial"/>
          <w:sz w:val="22"/>
          <w:szCs w:val="22"/>
          <w:lang w:val="es-ES" w:eastAsia="es-ES"/>
        </w:rPr>
        <w:t xml:space="preserve">y </w:t>
      </w:r>
      <w:r w:rsidR="0077118C" w:rsidRPr="004957A3">
        <w:rPr>
          <w:rFonts w:ascii="Arial" w:hAnsi="Arial" w:cs="Arial"/>
          <w:sz w:val="22"/>
          <w:szCs w:val="22"/>
          <w:lang w:val="es-ES" w:eastAsia="es-ES"/>
        </w:rPr>
        <w:t>certificado de custodia de historias clínica.</w:t>
      </w:r>
    </w:p>
    <w:p w:rsidR="005E16B4" w:rsidRPr="004957A3" w:rsidRDefault="005E16B4" w:rsidP="00953A28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5E16B4" w:rsidRPr="004957A3" w:rsidRDefault="005E16B4" w:rsidP="00AE30E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sz w:val="22"/>
          <w:szCs w:val="22"/>
          <w:lang w:val="es-ES" w:eastAsia="es-ES"/>
        </w:rPr>
        <w:lastRenderedPageBreak/>
        <w:t>PROCESO</w:t>
      </w:r>
      <w:r w:rsidRPr="004957A3">
        <w:rPr>
          <w:rFonts w:ascii="Arial" w:hAnsi="Arial" w:cs="Arial"/>
          <w:sz w:val="22"/>
          <w:szCs w:val="22"/>
          <w:lang w:val="es-ES" w:eastAsia="es-ES"/>
        </w:rPr>
        <w:t>:</w:t>
      </w:r>
    </w:p>
    <w:p w:rsidR="005E16B4" w:rsidRPr="004957A3" w:rsidRDefault="005E16B4" w:rsidP="005E16B4">
      <w:pPr>
        <w:pStyle w:val="Prrafodelista"/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221BD9" w:rsidRDefault="00221BD9" w:rsidP="00AE30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Asistente administrativa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sz w:val="22"/>
          <w:szCs w:val="22"/>
          <w:lang w:val="es-ES" w:eastAsia="es-ES"/>
        </w:rPr>
        <w:t>realiza orden de servicio y es enviada por correo electrónico al proveedor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>.</w:t>
      </w:r>
    </w:p>
    <w:p w:rsidR="005E16B4" w:rsidRPr="004957A3" w:rsidRDefault="005E16B4" w:rsidP="00AE30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El contratista asigna la cita </w:t>
      </w:r>
      <w:r w:rsidR="00637712" w:rsidRPr="004957A3">
        <w:rPr>
          <w:rFonts w:ascii="Arial" w:hAnsi="Arial" w:cs="Arial"/>
          <w:sz w:val="22"/>
          <w:szCs w:val="22"/>
          <w:lang w:val="es-ES" w:eastAsia="es-ES"/>
        </w:rPr>
        <w:t>médica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al trabajador en el horario disponible dentro de las 24 horas a la solicitud. </w:t>
      </w:r>
    </w:p>
    <w:p w:rsidR="005E16B4" w:rsidRDefault="005E16B4" w:rsidP="00AE30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El médico especialista en seguridad y salud en el trabajo de la IPS, elabora la historia clínica quedando en custodia por el contratista. Suministra por escrito las recomendaciones preventivas específicas que </w:t>
      </w:r>
      <w:r w:rsidR="00221BD9" w:rsidRPr="004957A3">
        <w:rPr>
          <w:rFonts w:ascii="Arial" w:hAnsi="Arial" w:cs="Arial"/>
          <w:sz w:val="22"/>
          <w:szCs w:val="22"/>
          <w:lang w:val="es-ES" w:eastAsia="es-ES"/>
        </w:rPr>
        <w:t>haya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lugar para desempeñar el cargo a contratar y expide el concepto de aptitud. </w:t>
      </w:r>
    </w:p>
    <w:p w:rsidR="00221BD9" w:rsidRPr="004957A3" w:rsidRDefault="00221BD9" w:rsidP="00AE30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El concepto médico ocupacionales es descargado en la plataforma del proveedor. </w:t>
      </w:r>
    </w:p>
    <w:p w:rsidR="006074B8" w:rsidRDefault="00221BD9" w:rsidP="00AE30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U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 xml:space="preserve">na vez </w:t>
      </w:r>
      <w:r>
        <w:rPr>
          <w:rFonts w:ascii="Arial" w:hAnsi="Arial" w:cs="Arial"/>
          <w:sz w:val="22"/>
          <w:szCs w:val="22"/>
          <w:lang w:val="es-ES" w:eastAsia="es-ES"/>
        </w:rPr>
        <w:t>descargado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 xml:space="preserve"> el </w:t>
      </w:r>
      <w:r w:rsidRPr="004957A3">
        <w:rPr>
          <w:rFonts w:ascii="Arial" w:hAnsi="Arial" w:cs="Arial"/>
          <w:sz w:val="22"/>
          <w:szCs w:val="22"/>
          <w:lang w:val="es-ES" w:eastAsia="es-ES"/>
        </w:rPr>
        <w:t>certificado continuo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 xml:space="preserve"> con el proceso de </w:t>
      </w:r>
      <w:r>
        <w:rPr>
          <w:rFonts w:ascii="Arial" w:hAnsi="Arial" w:cs="Arial"/>
          <w:sz w:val="22"/>
          <w:szCs w:val="22"/>
          <w:lang w:val="es-ES" w:eastAsia="es-ES"/>
        </w:rPr>
        <w:t>contratación</w:t>
      </w:r>
      <w:r w:rsidR="006074B8">
        <w:rPr>
          <w:rFonts w:ascii="Arial" w:hAnsi="Arial" w:cs="Arial"/>
          <w:sz w:val="22"/>
          <w:szCs w:val="22"/>
          <w:lang w:val="es-ES" w:eastAsia="es-ES"/>
        </w:rPr>
        <w:t>.</w:t>
      </w:r>
    </w:p>
    <w:p w:rsidR="006074B8" w:rsidRPr="004957A3" w:rsidRDefault="006074B8" w:rsidP="006074B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Se descarga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los c</w:t>
      </w:r>
      <w:r>
        <w:rPr>
          <w:rFonts w:ascii="Arial" w:hAnsi="Arial" w:cs="Arial"/>
          <w:sz w:val="22"/>
          <w:szCs w:val="22"/>
          <w:lang w:val="es-ES" w:eastAsia="es-ES"/>
        </w:rPr>
        <w:t xml:space="preserve">onceptos médicos para ser revisados para incluir las recomendaciones médicas a la matriz de seguimiento médico; posterior a ello se archiva el concepto 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en la hoja de vida del trabajador. </w:t>
      </w:r>
    </w:p>
    <w:p w:rsidR="005E16B4" w:rsidRPr="004957A3" w:rsidRDefault="006074B8" w:rsidP="00AE30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Se socializa los resultados al trabajador.</w:t>
      </w:r>
    </w:p>
    <w:p w:rsidR="0077118C" w:rsidRPr="004957A3" w:rsidRDefault="0077118C" w:rsidP="00953A28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:rsidR="0077118C" w:rsidRPr="004957A3" w:rsidRDefault="0077118C" w:rsidP="00AE30E4">
      <w:pPr>
        <w:pStyle w:val="Prrafodelista"/>
        <w:numPr>
          <w:ilvl w:val="1"/>
          <w:numId w:val="3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sz w:val="22"/>
          <w:szCs w:val="22"/>
          <w:lang w:val="es-ES" w:eastAsia="es-ES"/>
        </w:rPr>
        <w:t xml:space="preserve">EXÁMENES MÉDICO OCUPACIONAL PERIÓDICO. </w:t>
      </w:r>
    </w:p>
    <w:p w:rsidR="00953A28" w:rsidRPr="004957A3" w:rsidRDefault="00953A28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77118C" w:rsidRPr="004957A3" w:rsidRDefault="0077118C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>Estos exámenes se realizan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 xml:space="preserve"> por lo menos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una vez 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 xml:space="preserve">al 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año con el fin de monitorear la exposición a factores de riesgos e identificar en forma precoz posibles alteraciones 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>temporales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, permanentes o agravadas del estado de salud del trabajador ocasionadas por la labor o por la exposición al medio ambiente de trabajo. </w:t>
      </w:r>
    </w:p>
    <w:p w:rsidR="00707F9D" w:rsidRPr="004957A3" w:rsidRDefault="00707F9D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AC193B" w:rsidRPr="004957A3" w:rsidRDefault="00AC193B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>La Institución Prestado</w:t>
      </w:r>
      <w:r w:rsidR="00221BD9">
        <w:rPr>
          <w:rFonts w:ascii="Arial" w:hAnsi="Arial" w:cs="Arial"/>
          <w:sz w:val="22"/>
          <w:szCs w:val="22"/>
          <w:lang w:val="es-ES" w:eastAsia="es-ES"/>
        </w:rPr>
        <w:t>ra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de</w:t>
      </w:r>
      <w:r w:rsidR="00221BD9">
        <w:rPr>
          <w:rFonts w:ascii="Arial" w:hAnsi="Arial" w:cs="Arial"/>
          <w:sz w:val="22"/>
          <w:szCs w:val="22"/>
          <w:lang w:val="es-ES" w:eastAsia="es-ES"/>
        </w:rPr>
        <w:t>l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Servicio deberá enviar informe Diagnostico</w:t>
      </w:r>
      <w:r w:rsidR="004831C2" w:rsidRPr="004957A3">
        <w:rPr>
          <w:rFonts w:ascii="Arial" w:hAnsi="Arial" w:cs="Arial"/>
          <w:sz w:val="22"/>
          <w:szCs w:val="22"/>
          <w:lang w:val="es-ES" w:eastAsia="es-ES"/>
        </w:rPr>
        <w:t xml:space="preserve"> de Condiciones de Salud de acuerdo a los exámenes médicos ocupacionales periódicos. </w:t>
      </w:r>
    </w:p>
    <w:p w:rsidR="005E16B4" w:rsidRPr="004957A3" w:rsidRDefault="005E16B4" w:rsidP="005E16B4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5E16B4" w:rsidRPr="004957A3" w:rsidRDefault="005E16B4" w:rsidP="00AE30E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sz w:val="22"/>
          <w:szCs w:val="22"/>
          <w:lang w:val="es-ES" w:eastAsia="es-ES"/>
        </w:rPr>
        <w:t>PROCESO</w:t>
      </w:r>
      <w:r w:rsidRPr="004957A3">
        <w:rPr>
          <w:rFonts w:ascii="Arial" w:hAnsi="Arial" w:cs="Arial"/>
          <w:sz w:val="22"/>
          <w:szCs w:val="22"/>
          <w:lang w:val="es-ES" w:eastAsia="es-ES"/>
        </w:rPr>
        <w:t>:</w:t>
      </w:r>
    </w:p>
    <w:p w:rsidR="005E16B4" w:rsidRPr="004957A3" w:rsidRDefault="005E16B4" w:rsidP="005E16B4">
      <w:pPr>
        <w:pStyle w:val="Prrafodelista"/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5E16B4" w:rsidRPr="004957A3" w:rsidRDefault="00221BD9" w:rsidP="00AE30E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La gerencia </w:t>
      </w:r>
      <w:r w:rsidR="005E16B4" w:rsidRPr="004957A3">
        <w:rPr>
          <w:rFonts w:ascii="Arial" w:hAnsi="Arial" w:cs="Arial"/>
          <w:sz w:val="22"/>
          <w:szCs w:val="22"/>
          <w:lang w:val="es-ES" w:eastAsia="es-ES"/>
        </w:rPr>
        <w:t>realiza planeación de los exámenes médicos ocupacionales periódicos.</w:t>
      </w:r>
    </w:p>
    <w:p w:rsidR="005E16B4" w:rsidRPr="004957A3" w:rsidRDefault="005E16B4" w:rsidP="00AE30E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Solicitan la cita médica e informa a los colaboradores. </w:t>
      </w:r>
    </w:p>
    <w:p w:rsidR="005E16B4" w:rsidRPr="004957A3" w:rsidRDefault="005E16B4" w:rsidP="00AE30E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El médico especialista en seguridad y salud en el trabajo de la IPS, elabora la historia clínica quedando en custodia por el contratista. Suministra por escrito las recomendaciones preventivas específicas que </w:t>
      </w:r>
      <w:r w:rsidR="006074B8" w:rsidRPr="004957A3">
        <w:rPr>
          <w:rFonts w:ascii="Arial" w:hAnsi="Arial" w:cs="Arial"/>
          <w:sz w:val="22"/>
          <w:szCs w:val="22"/>
          <w:lang w:val="es-ES" w:eastAsia="es-ES"/>
        </w:rPr>
        <w:t>haya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lugar para </w:t>
      </w:r>
      <w:r w:rsidR="00A72D32" w:rsidRPr="004957A3">
        <w:rPr>
          <w:rFonts w:ascii="Arial" w:hAnsi="Arial" w:cs="Arial"/>
          <w:sz w:val="22"/>
          <w:szCs w:val="22"/>
          <w:lang w:val="es-ES" w:eastAsia="es-ES"/>
        </w:rPr>
        <w:t xml:space="preserve">el cargo </w:t>
      </w:r>
      <w:r w:rsidRPr="004957A3">
        <w:rPr>
          <w:rFonts w:ascii="Arial" w:hAnsi="Arial" w:cs="Arial"/>
          <w:sz w:val="22"/>
          <w:szCs w:val="22"/>
          <w:lang w:val="es-ES" w:eastAsia="es-ES"/>
        </w:rPr>
        <w:t>desempeña</w:t>
      </w:r>
      <w:r w:rsidR="00A72D32" w:rsidRPr="004957A3">
        <w:rPr>
          <w:rFonts w:ascii="Arial" w:hAnsi="Arial" w:cs="Arial"/>
          <w:sz w:val="22"/>
          <w:szCs w:val="22"/>
          <w:lang w:val="es-ES" w:eastAsia="es-ES"/>
        </w:rPr>
        <w:t>do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y expide el concepto de aptitud. </w:t>
      </w:r>
    </w:p>
    <w:p w:rsidR="00A72D32" w:rsidRDefault="00221BD9" w:rsidP="00AE30E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lastRenderedPageBreak/>
        <w:t>Se descarga</w:t>
      </w:r>
      <w:r w:rsidR="00A72D32" w:rsidRPr="004957A3">
        <w:rPr>
          <w:rFonts w:ascii="Arial" w:hAnsi="Arial" w:cs="Arial"/>
          <w:sz w:val="22"/>
          <w:szCs w:val="22"/>
          <w:lang w:val="es-ES" w:eastAsia="es-ES"/>
        </w:rPr>
        <w:t xml:space="preserve"> los c</w:t>
      </w:r>
      <w:r>
        <w:rPr>
          <w:rFonts w:ascii="Arial" w:hAnsi="Arial" w:cs="Arial"/>
          <w:sz w:val="22"/>
          <w:szCs w:val="22"/>
          <w:lang w:val="es-ES" w:eastAsia="es-ES"/>
        </w:rPr>
        <w:t xml:space="preserve">onceptos médicos para ser </w:t>
      </w:r>
      <w:r w:rsidR="006074B8">
        <w:rPr>
          <w:rFonts w:ascii="Arial" w:hAnsi="Arial" w:cs="Arial"/>
          <w:sz w:val="22"/>
          <w:szCs w:val="22"/>
          <w:lang w:val="es-ES" w:eastAsia="es-ES"/>
        </w:rPr>
        <w:t xml:space="preserve">revisados para incluir las recomendaciones médicas a la matriz de seguimiento médico; posterior a ello se archiva el concepto </w:t>
      </w:r>
      <w:r w:rsidR="00A72D32" w:rsidRPr="004957A3">
        <w:rPr>
          <w:rFonts w:ascii="Arial" w:hAnsi="Arial" w:cs="Arial"/>
          <w:sz w:val="22"/>
          <w:szCs w:val="22"/>
          <w:lang w:val="es-ES" w:eastAsia="es-ES"/>
        </w:rPr>
        <w:t xml:space="preserve">en la hoja de vida del trabajador. </w:t>
      </w:r>
    </w:p>
    <w:p w:rsidR="006074B8" w:rsidRPr="004957A3" w:rsidRDefault="006074B8" w:rsidP="006074B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Se socializa los resultados al trabajador.</w:t>
      </w:r>
    </w:p>
    <w:p w:rsidR="00F9031D" w:rsidRDefault="00F9031D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221BD9" w:rsidRPr="004957A3" w:rsidRDefault="00221BD9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F9031D" w:rsidRPr="004957A3" w:rsidRDefault="00DB5400" w:rsidP="00AE30E4">
      <w:pPr>
        <w:pStyle w:val="Prrafodelista"/>
        <w:numPr>
          <w:ilvl w:val="1"/>
          <w:numId w:val="3"/>
        </w:numPr>
        <w:spacing w:line="276" w:lineRule="auto"/>
        <w:ind w:left="709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sz w:val="22"/>
          <w:szCs w:val="22"/>
          <w:lang w:val="es-ES" w:eastAsia="es-ES"/>
        </w:rPr>
        <w:t xml:space="preserve">EVALUACIÓN MÉDICAS OCUPACIONALES DE EGRESO. </w:t>
      </w:r>
    </w:p>
    <w:p w:rsidR="001C2C86" w:rsidRPr="004957A3" w:rsidRDefault="001C2C86" w:rsidP="00DB5400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DB5400" w:rsidRPr="004957A3" w:rsidRDefault="00DB5400" w:rsidP="00DB5400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Aquellas que se deben realizar al trabajador cuando se termina la elaboración laboral con el fin de valorar y registrar las condiciones de salud en las que el trabajador se retira. </w:t>
      </w:r>
      <w:r w:rsidR="00221BD9">
        <w:rPr>
          <w:rFonts w:ascii="Arial" w:hAnsi="Arial" w:cs="Arial"/>
          <w:sz w:val="22"/>
          <w:szCs w:val="22"/>
          <w:lang w:val="es-ES" w:eastAsia="es-ES"/>
        </w:rPr>
        <w:t xml:space="preserve"> La empresa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informará al trabajador sobre el trámite para la realización de la evaluación médica ocupacional de egreso. </w:t>
      </w:r>
    </w:p>
    <w:p w:rsidR="00DB5400" w:rsidRPr="004957A3" w:rsidRDefault="00DB5400" w:rsidP="00DB5400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DB5400" w:rsidRPr="004957A3" w:rsidRDefault="00DB5400" w:rsidP="00DB5400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En caso de que el resultado de la evaluación médica ocupacional de egreso se encuentre una presunta enfermedad laboral NO DIAGNOSTICADA por el tiempo de exposición; </w:t>
      </w:r>
      <w:r w:rsidR="00221BD9">
        <w:rPr>
          <w:rFonts w:ascii="Arial" w:hAnsi="Arial" w:cs="Arial"/>
          <w:sz w:val="22"/>
          <w:szCs w:val="22"/>
          <w:lang w:val="es-ES" w:eastAsia="es-ES"/>
        </w:rPr>
        <w:t>Excavaciones Correa Mejía S.A.S</w:t>
      </w:r>
      <w:r w:rsidR="00637712" w:rsidRPr="004957A3">
        <w:rPr>
          <w:rFonts w:ascii="Arial" w:hAnsi="Arial" w:cs="Arial"/>
          <w:sz w:val="22"/>
          <w:szCs w:val="22"/>
          <w:lang w:val="es-ES" w:eastAsia="es-ES"/>
        </w:rPr>
        <w:t>.</w:t>
      </w: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 procederá a elaborar el correspondiente reporte a la ARL afiliada con el fin de iniciar su determinación de origen. </w:t>
      </w:r>
    </w:p>
    <w:p w:rsidR="00A72D32" w:rsidRPr="004957A3" w:rsidRDefault="00A72D32" w:rsidP="00A72D32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A72D32" w:rsidRPr="004957A3" w:rsidRDefault="00A72D32" w:rsidP="00AE30E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b/>
          <w:sz w:val="22"/>
          <w:szCs w:val="22"/>
          <w:lang w:val="es-ES" w:eastAsia="es-ES"/>
        </w:rPr>
        <w:t>PROCESO</w:t>
      </w:r>
      <w:r w:rsidRPr="004957A3">
        <w:rPr>
          <w:rFonts w:ascii="Arial" w:hAnsi="Arial" w:cs="Arial"/>
          <w:sz w:val="22"/>
          <w:szCs w:val="22"/>
          <w:lang w:val="es-ES" w:eastAsia="es-ES"/>
        </w:rPr>
        <w:t>:</w:t>
      </w:r>
    </w:p>
    <w:p w:rsidR="00A72D32" w:rsidRPr="004957A3" w:rsidRDefault="00A72D32" w:rsidP="00A72D32">
      <w:pPr>
        <w:pStyle w:val="Prrafodelista"/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A72D32" w:rsidRPr="004957A3" w:rsidRDefault="00221BD9" w:rsidP="00AE30E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Asistente administrativa </w:t>
      </w:r>
      <w:r w:rsidRPr="004957A3">
        <w:rPr>
          <w:rFonts w:ascii="Arial" w:hAnsi="Arial" w:cs="Arial"/>
          <w:sz w:val="22"/>
          <w:szCs w:val="22"/>
          <w:lang w:val="es-ES" w:eastAsia="es-ES"/>
        </w:rPr>
        <w:t>solicita</w:t>
      </w:r>
      <w:r w:rsidR="00A72D32" w:rsidRPr="004957A3">
        <w:rPr>
          <w:rFonts w:ascii="Arial" w:hAnsi="Arial" w:cs="Arial"/>
          <w:sz w:val="22"/>
          <w:szCs w:val="22"/>
          <w:lang w:val="es-ES" w:eastAsia="es-ES"/>
        </w:rPr>
        <w:t xml:space="preserve"> cita médica, adjuntando la orden e informa al interesado. </w:t>
      </w:r>
    </w:p>
    <w:p w:rsidR="00A72D32" w:rsidRPr="004957A3" w:rsidRDefault="00A72D32" w:rsidP="00AE30E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El contratista asigna la cita médica al trabajador en el horario disponible dentro de las 24 horas a la solicitud. </w:t>
      </w:r>
    </w:p>
    <w:p w:rsidR="00221BD9" w:rsidRDefault="00A72D32" w:rsidP="00221BD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4957A3">
        <w:rPr>
          <w:rFonts w:ascii="Arial" w:hAnsi="Arial" w:cs="Arial"/>
          <w:sz w:val="22"/>
          <w:szCs w:val="22"/>
          <w:lang w:val="es-ES" w:eastAsia="es-ES"/>
        </w:rPr>
        <w:t xml:space="preserve">El médico especialista en seguridad y salud en el trabajo de la IPS, elabora la historia clínica quedando en custodia por el contratista. Suministra por escrito las recomendaciones necesarias. </w:t>
      </w:r>
    </w:p>
    <w:p w:rsidR="006074B8" w:rsidRDefault="006074B8" w:rsidP="00221BD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Se descarga el concepto médico, se revisa el concepto. En caso tal se identifica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" w:eastAsia="es-ES"/>
        </w:rPr>
        <w:t xml:space="preserve">posibles afectaciones de su condición de salud, se reporta a la ARL. </w:t>
      </w:r>
    </w:p>
    <w:p w:rsidR="00A72D32" w:rsidRPr="004957A3" w:rsidRDefault="006074B8" w:rsidP="00221BD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Se </w:t>
      </w:r>
      <w:r w:rsidR="00A72D32" w:rsidRPr="004957A3">
        <w:rPr>
          <w:rFonts w:ascii="Arial" w:hAnsi="Arial" w:cs="Arial"/>
          <w:sz w:val="22"/>
          <w:szCs w:val="22"/>
          <w:lang w:val="es-ES" w:eastAsia="es-ES"/>
        </w:rPr>
        <w:t xml:space="preserve">archiva en </w:t>
      </w:r>
      <w:r>
        <w:rPr>
          <w:rFonts w:ascii="Arial" w:hAnsi="Arial" w:cs="Arial"/>
          <w:sz w:val="22"/>
          <w:szCs w:val="22"/>
          <w:lang w:val="es-ES" w:eastAsia="es-ES"/>
        </w:rPr>
        <w:t xml:space="preserve">la hoja de vida del trabajador y se socializa al trabajador los resultados. </w:t>
      </w:r>
    </w:p>
    <w:p w:rsidR="00DB5400" w:rsidRPr="004957A3" w:rsidRDefault="00DB5400" w:rsidP="00DB5400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sectPr w:rsidR="00DB5400" w:rsidRPr="004957A3" w:rsidSect="00505D60">
      <w:headerReference w:type="even" r:id="rId8"/>
      <w:headerReference w:type="default" r:id="rId9"/>
      <w:headerReference w:type="first" r:id="rId10"/>
      <w:footerReference w:type="first" r:id="rId11"/>
      <w:pgSz w:w="12242" w:h="15842" w:code="1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E9A" w:rsidRDefault="00B97E9A">
      <w:r>
        <w:separator/>
      </w:r>
    </w:p>
  </w:endnote>
  <w:endnote w:type="continuationSeparator" w:id="0">
    <w:p w:rsidR="00B97E9A" w:rsidRDefault="00B9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C3" w:rsidRDefault="00FA18C3"/>
  <w:p w:rsidR="00FA18C3" w:rsidRDefault="00FA18C3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E9A" w:rsidRDefault="00B97E9A">
      <w:r>
        <w:separator/>
      </w:r>
    </w:p>
  </w:footnote>
  <w:footnote w:type="continuationSeparator" w:id="0">
    <w:p w:rsidR="00B97E9A" w:rsidRDefault="00B9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C3" w:rsidRDefault="00B97E9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08"/>
      <w:gridCol w:w="5755"/>
      <w:gridCol w:w="1843"/>
    </w:tblGrid>
    <w:tr w:rsidR="005D581D" w:rsidRPr="004957A3" w:rsidTr="00035BA4">
      <w:trPr>
        <w:trHeight w:val="357"/>
      </w:trPr>
      <w:tc>
        <w:tcPr>
          <w:tcW w:w="2008" w:type="dxa"/>
          <w:vMerge w:val="restart"/>
          <w:shd w:val="clear" w:color="auto" w:fill="auto"/>
          <w:vAlign w:val="center"/>
        </w:tcPr>
        <w:p w:rsidR="005D581D" w:rsidRPr="004957A3" w:rsidRDefault="00523F82" w:rsidP="00035BA4">
          <w:pPr>
            <w:jc w:val="center"/>
            <w:rPr>
              <w:rFonts w:ascii="Arial" w:eastAsia="Calibri" w:hAnsi="Arial" w:cs="Arial"/>
              <w:b/>
              <w:lang w:val="es-ES" w:eastAsia="en-US"/>
            </w:rPr>
          </w:pPr>
          <w:r w:rsidRPr="004957A3">
            <w:rPr>
              <w:rFonts w:ascii="Arial" w:eastAsia="Calibri" w:hAnsi="Arial" w:cs="Arial"/>
              <w:b/>
              <w:noProof/>
            </w:rPr>
            <w:drawing>
              <wp:inline distT="0" distB="0" distL="0" distR="0" wp14:anchorId="381FAC8E" wp14:editId="322B86CC">
                <wp:extent cx="1137920" cy="822325"/>
                <wp:effectExtent l="0" t="0" r="508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20" cy="82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55" w:type="dxa"/>
          <w:vMerge w:val="restart"/>
          <w:shd w:val="clear" w:color="auto" w:fill="auto"/>
          <w:vAlign w:val="center"/>
        </w:tcPr>
        <w:p w:rsidR="005D581D" w:rsidRPr="004957A3" w:rsidRDefault="005D581D" w:rsidP="00035BA4">
          <w:pPr>
            <w:jc w:val="center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>SISTEMA DE GESTIÓN EN SEGURIDAD Y SALUD EN EL TRABAJO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581D" w:rsidRPr="004957A3" w:rsidRDefault="00B91940" w:rsidP="004957A3">
          <w:pPr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 xml:space="preserve">Fecha: </w:t>
          </w:r>
          <w:r w:rsidR="004957A3"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>10/09/2019</w:t>
          </w:r>
        </w:p>
      </w:tc>
    </w:tr>
    <w:tr w:rsidR="005D581D" w:rsidRPr="004957A3" w:rsidTr="00035BA4">
      <w:trPr>
        <w:trHeight w:val="369"/>
      </w:trPr>
      <w:tc>
        <w:tcPr>
          <w:tcW w:w="2008" w:type="dxa"/>
          <w:vMerge/>
          <w:shd w:val="clear" w:color="auto" w:fill="auto"/>
          <w:vAlign w:val="center"/>
        </w:tcPr>
        <w:p w:rsidR="005D581D" w:rsidRPr="004957A3" w:rsidRDefault="005D581D" w:rsidP="00035BA4">
          <w:pPr>
            <w:rPr>
              <w:rFonts w:ascii="Arial" w:eastAsia="Calibri" w:hAnsi="Arial" w:cs="Arial"/>
              <w:b/>
              <w:noProof/>
            </w:rPr>
          </w:pPr>
        </w:p>
      </w:tc>
      <w:tc>
        <w:tcPr>
          <w:tcW w:w="5755" w:type="dxa"/>
          <w:vMerge/>
          <w:shd w:val="clear" w:color="auto" w:fill="auto"/>
          <w:vAlign w:val="center"/>
        </w:tcPr>
        <w:p w:rsidR="005D581D" w:rsidRPr="004957A3" w:rsidRDefault="005D581D" w:rsidP="00035BA4">
          <w:pPr>
            <w:jc w:val="center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  <w:vAlign w:val="center"/>
        </w:tcPr>
        <w:p w:rsidR="005D581D" w:rsidRPr="004957A3" w:rsidRDefault="005D581D" w:rsidP="00035BA4">
          <w:pPr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>Versión:00</w:t>
          </w:r>
          <w:r w:rsidR="00B91940"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>1</w:t>
          </w:r>
        </w:p>
      </w:tc>
    </w:tr>
    <w:tr w:rsidR="005D581D" w:rsidRPr="004957A3" w:rsidTr="00035BA4">
      <w:trPr>
        <w:trHeight w:val="390"/>
      </w:trPr>
      <w:tc>
        <w:tcPr>
          <w:tcW w:w="2008" w:type="dxa"/>
          <w:vMerge/>
          <w:shd w:val="clear" w:color="auto" w:fill="auto"/>
        </w:tcPr>
        <w:p w:rsidR="005D581D" w:rsidRPr="004957A3" w:rsidRDefault="005D581D" w:rsidP="00035BA4">
          <w:pPr>
            <w:rPr>
              <w:rFonts w:ascii="Arial" w:eastAsia="Calibri" w:hAnsi="Arial" w:cs="Arial"/>
              <w:sz w:val="18"/>
              <w:szCs w:val="18"/>
              <w:lang w:val="es-ES" w:eastAsia="en-US"/>
            </w:rPr>
          </w:pPr>
        </w:p>
      </w:tc>
      <w:tc>
        <w:tcPr>
          <w:tcW w:w="5755" w:type="dxa"/>
          <w:shd w:val="clear" w:color="auto" w:fill="auto"/>
          <w:vAlign w:val="center"/>
        </w:tcPr>
        <w:p w:rsidR="005D581D" w:rsidRPr="004957A3" w:rsidRDefault="004957A3" w:rsidP="004957A3">
          <w:pPr>
            <w:spacing w:before="120" w:line="360" w:lineRule="auto"/>
            <w:jc w:val="center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4957A3"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  <w:t>PROCEDIMIENTO PARA EVALUACIONES MEDICAS OCUPACIONALES</w:t>
          </w:r>
        </w:p>
      </w:tc>
      <w:tc>
        <w:tcPr>
          <w:tcW w:w="1843" w:type="dxa"/>
          <w:shd w:val="clear" w:color="auto" w:fill="auto"/>
          <w:vAlign w:val="center"/>
        </w:tcPr>
        <w:p w:rsidR="005D581D" w:rsidRPr="004957A3" w:rsidRDefault="005D581D" w:rsidP="00035BA4">
          <w:pPr>
            <w:pStyle w:val="Encabezado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 xml:space="preserve">Página </w:t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begin"/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instrText>PAGE  \* Arabic  \* MERGEFORMAT</w:instrText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separate"/>
          </w:r>
          <w:r w:rsidR="006074B8">
            <w:rPr>
              <w:rFonts w:ascii="Arial" w:eastAsia="Calibri" w:hAnsi="Arial" w:cs="Arial"/>
              <w:b/>
              <w:noProof/>
              <w:sz w:val="18"/>
              <w:szCs w:val="18"/>
              <w:lang w:val="es-ES" w:eastAsia="en-US"/>
            </w:rPr>
            <w:t>2</w:t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end"/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 xml:space="preserve"> de </w:t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begin"/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instrText>NUMPAGES  \* Arabic  \* MERGEFORMAT</w:instrText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separate"/>
          </w:r>
          <w:r w:rsidR="006074B8">
            <w:rPr>
              <w:rFonts w:ascii="Arial" w:eastAsia="Calibri" w:hAnsi="Arial" w:cs="Arial"/>
              <w:b/>
              <w:noProof/>
              <w:sz w:val="18"/>
              <w:szCs w:val="18"/>
              <w:lang w:val="es-ES" w:eastAsia="en-US"/>
            </w:rPr>
            <w:t>4</w:t>
          </w:r>
          <w:r w:rsidRPr="004957A3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end"/>
          </w:r>
        </w:p>
      </w:tc>
    </w:tr>
  </w:tbl>
  <w:p w:rsidR="00FA18C3" w:rsidRDefault="00FA18C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08"/>
      <w:gridCol w:w="5755"/>
      <w:gridCol w:w="1843"/>
    </w:tblGrid>
    <w:tr w:rsidR="005D581D" w:rsidTr="00035BA4">
      <w:trPr>
        <w:trHeight w:val="357"/>
      </w:trPr>
      <w:tc>
        <w:tcPr>
          <w:tcW w:w="2008" w:type="dxa"/>
          <w:vMerge w:val="restart"/>
          <w:shd w:val="clear" w:color="auto" w:fill="auto"/>
          <w:vAlign w:val="center"/>
        </w:tcPr>
        <w:p w:rsidR="005D581D" w:rsidRPr="009441CF" w:rsidRDefault="005D581D" w:rsidP="00035BA4">
          <w:pPr>
            <w:jc w:val="center"/>
            <w:rPr>
              <w:rFonts w:ascii="Arial" w:eastAsia="Calibri" w:hAnsi="Arial" w:cs="Arial"/>
              <w:b/>
              <w:lang w:val="es-ES" w:eastAsia="en-US"/>
            </w:rPr>
          </w:pPr>
          <w:r>
            <w:rPr>
              <w:rFonts w:ascii="Arial" w:eastAsia="Calibri" w:hAnsi="Arial" w:cs="Arial"/>
              <w:b/>
              <w:noProof/>
            </w:rPr>
            <w:drawing>
              <wp:inline distT="0" distB="0" distL="0" distR="0" wp14:anchorId="200CFEC8" wp14:editId="2D96F9C7">
                <wp:extent cx="1137920" cy="570230"/>
                <wp:effectExtent l="0" t="0" r="508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L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20" cy="57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55" w:type="dxa"/>
          <w:vMerge w:val="restart"/>
          <w:shd w:val="clear" w:color="auto" w:fill="auto"/>
          <w:vAlign w:val="center"/>
        </w:tcPr>
        <w:p w:rsidR="005D581D" w:rsidRPr="003556B3" w:rsidRDefault="005D581D" w:rsidP="00035BA4">
          <w:pPr>
            <w:jc w:val="center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>SISTEMA DE GESTIÓN EN SEGURIDAD Y SALUD EN EL TRABAJO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581D" w:rsidRPr="00162934" w:rsidRDefault="005D581D" w:rsidP="00035BA4">
          <w:pPr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>Fecha: 31/01/2019</w:t>
          </w:r>
        </w:p>
      </w:tc>
    </w:tr>
    <w:tr w:rsidR="005D581D" w:rsidTr="00035BA4">
      <w:trPr>
        <w:trHeight w:val="369"/>
      </w:trPr>
      <w:tc>
        <w:tcPr>
          <w:tcW w:w="2008" w:type="dxa"/>
          <w:vMerge/>
          <w:shd w:val="clear" w:color="auto" w:fill="auto"/>
          <w:vAlign w:val="center"/>
        </w:tcPr>
        <w:p w:rsidR="005D581D" w:rsidRDefault="005D581D" w:rsidP="00035BA4">
          <w:pPr>
            <w:rPr>
              <w:rFonts w:ascii="Arial" w:eastAsia="Calibri" w:hAnsi="Arial" w:cs="Arial"/>
              <w:b/>
              <w:noProof/>
            </w:rPr>
          </w:pPr>
        </w:p>
      </w:tc>
      <w:tc>
        <w:tcPr>
          <w:tcW w:w="5755" w:type="dxa"/>
          <w:vMerge/>
          <w:shd w:val="clear" w:color="auto" w:fill="auto"/>
          <w:vAlign w:val="center"/>
        </w:tcPr>
        <w:p w:rsidR="005D581D" w:rsidRDefault="005D581D" w:rsidP="00035BA4">
          <w:pPr>
            <w:jc w:val="center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  <w:vAlign w:val="center"/>
        </w:tcPr>
        <w:p w:rsidR="005D581D" w:rsidRPr="00162934" w:rsidRDefault="005D581D" w:rsidP="00035BA4">
          <w:pPr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>Versión:002</w:t>
          </w:r>
        </w:p>
      </w:tc>
    </w:tr>
    <w:tr w:rsidR="005D581D" w:rsidTr="00035BA4">
      <w:trPr>
        <w:trHeight w:val="390"/>
      </w:trPr>
      <w:tc>
        <w:tcPr>
          <w:tcW w:w="2008" w:type="dxa"/>
          <w:vMerge/>
          <w:shd w:val="clear" w:color="auto" w:fill="auto"/>
        </w:tcPr>
        <w:p w:rsidR="005D581D" w:rsidRDefault="005D581D" w:rsidP="00035BA4">
          <w:pPr>
            <w:rPr>
              <w:rFonts w:ascii="Arial" w:eastAsia="Calibri" w:hAnsi="Arial" w:cs="Arial"/>
              <w:sz w:val="18"/>
              <w:szCs w:val="18"/>
              <w:lang w:val="es-ES" w:eastAsia="en-US"/>
            </w:rPr>
          </w:pPr>
        </w:p>
      </w:tc>
      <w:tc>
        <w:tcPr>
          <w:tcW w:w="5755" w:type="dxa"/>
          <w:shd w:val="clear" w:color="auto" w:fill="auto"/>
          <w:vAlign w:val="center"/>
        </w:tcPr>
        <w:p w:rsidR="005D581D" w:rsidRDefault="005D581D" w:rsidP="00035BA4">
          <w:pPr>
            <w:spacing w:before="120" w:line="360" w:lineRule="auto"/>
            <w:jc w:val="center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ES" w:eastAsia="es-ES"/>
            </w:rPr>
            <w:t>PROGRAMA DE CAPACITACIÓN, PROMOCIÓN Y PREVENCIÓN</w:t>
          </w:r>
        </w:p>
      </w:tc>
      <w:tc>
        <w:tcPr>
          <w:tcW w:w="1843" w:type="dxa"/>
          <w:shd w:val="clear" w:color="auto" w:fill="auto"/>
          <w:vAlign w:val="center"/>
        </w:tcPr>
        <w:p w:rsidR="005D581D" w:rsidRPr="00162934" w:rsidRDefault="005D581D" w:rsidP="00035BA4">
          <w:pPr>
            <w:pStyle w:val="Encabezado"/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</w:pP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 xml:space="preserve">Página </w:t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begin"/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instrText>PAGE  \* Arabic  \* MERGEFORMAT</w:instrText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separate"/>
          </w:r>
          <w:r>
            <w:rPr>
              <w:rFonts w:ascii="Arial" w:eastAsia="Calibri" w:hAnsi="Arial" w:cs="Arial"/>
              <w:b/>
              <w:noProof/>
              <w:sz w:val="18"/>
              <w:szCs w:val="18"/>
              <w:lang w:val="es-ES" w:eastAsia="en-US"/>
            </w:rPr>
            <w:t>1</w:t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end"/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t xml:space="preserve"> de </w:t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begin"/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instrText>NUMPAGES  \* Arabic  \* MERGEFORMAT</w:instrText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separate"/>
          </w:r>
          <w:r w:rsidR="00715C1A">
            <w:rPr>
              <w:rFonts w:ascii="Arial" w:eastAsia="Calibri" w:hAnsi="Arial" w:cs="Arial"/>
              <w:b/>
              <w:noProof/>
              <w:sz w:val="18"/>
              <w:szCs w:val="18"/>
              <w:lang w:val="es-ES" w:eastAsia="en-US"/>
            </w:rPr>
            <w:t>7</w:t>
          </w:r>
          <w:r w:rsidRPr="00162934">
            <w:rPr>
              <w:rFonts w:ascii="Arial" w:eastAsia="Calibri" w:hAnsi="Arial" w:cs="Arial"/>
              <w:b/>
              <w:sz w:val="18"/>
              <w:szCs w:val="18"/>
              <w:lang w:val="es-ES" w:eastAsia="en-US"/>
            </w:rPr>
            <w:fldChar w:fldCharType="end"/>
          </w:r>
        </w:p>
      </w:tc>
    </w:tr>
  </w:tbl>
  <w:p w:rsidR="00FA18C3" w:rsidRDefault="00FA18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9F3"/>
      </v:shape>
    </w:pict>
  </w:numPicBullet>
  <w:abstractNum w:abstractNumId="0" w15:restartNumberingAfterBreak="0">
    <w:nsid w:val="1D1846F7"/>
    <w:multiLevelType w:val="hybridMultilevel"/>
    <w:tmpl w:val="B176788E"/>
    <w:lvl w:ilvl="0" w:tplc="0072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C212D"/>
    <w:multiLevelType w:val="hybridMultilevel"/>
    <w:tmpl w:val="B176788E"/>
    <w:lvl w:ilvl="0" w:tplc="0072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41E6D"/>
    <w:multiLevelType w:val="hybridMultilevel"/>
    <w:tmpl w:val="C988E38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10DD1"/>
    <w:multiLevelType w:val="hybridMultilevel"/>
    <w:tmpl w:val="B176788E"/>
    <w:lvl w:ilvl="0" w:tplc="0072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CA37B3"/>
    <w:multiLevelType w:val="multilevel"/>
    <w:tmpl w:val="DCCE6E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DC"/>
    <w:rsid w:val="00003359"/>
    <w:rsid w:val="00003BDC"/>
    <w:rsid w:val="00012788"/>
    <w:rsid w:val="00034785"/>
    <w:rsid w:val="000543D3"/>
    <w:rsid w:val="000A3FFE"/>
    <w:rsid w:val="000C6642"/>
    <w:rsid w:val="000E7B2A"/>
    <w:rsid w:val="00121412"/>
    <w:rsid w:val="00155D76"/>
    <w:rsid w:val="001569E0"/>
    <w:rsid w:val="00162934"/>
    <w:rsid w:val="001A0FF5"/>
    <w:rsid w:val="001B5D27"/>
    <w:rsid w:val="001C2C86"/>
    <w:rsid w:val="001D2D0C"/>
    <w:rsid w:val="00200476"/>
    <w:rsid w:val="00204F93"/>
    <w:rsid w:val="0020516A"/>
    <w:rsid w:val="00221BD9"/>
    <w:rsid w:val="002744F5"/>
    <w:rsid w:val="00297C85"/>
    <w:rsid w:val="002C6237"/>
    <w:rsid w:val="002D5E20"/>
    <w:rsid w:val="00345DC4"/>
    <w:rsid w:val="003556B3"/>
    <w:rsid w:val="003820CD"/>
    <w:rsid w:val="003A703E"/>
    <w:rsid w:val="003B5178"/>
    <w:rsid w:val="003C6EA1"/>
    <w:rsid w:val="004231B3"/>
    <w:rsid w:val="00450461"/>
    <w:rsid w:val="00461DDF"/>
    <w:rsid w:val="004805D6"/>
    <w:rsid w:val="004831C2"/>
    <w:rsid w:val="004957A3"/>
    <w:rsid w:val="004C6364"/>
    <w:rsid w:val="00505D60"/>
    <w:rsid w:val="00523F82"/>
    <w:rsid w:val="005D581D"/>
    <w:rsid w:val="005E16B4"/>
    <w:rsid w:val="006058CD"/>
    <w:rsid w:val="006074B8"/>
    <w:rsid w:val="00611EBD"/>
    <w:rsid w:val="00636EE0"/>
    <w:rsid w:val="00637712"/>
    <w:rsid w:val="006478B2"/>
    <w:rsid w:val="00667719"/>
    <w:rsid w:val="0068124A"/>
    <w:rsid w:val="00685DF5"/>
    <w:rsid w:val="006C1F11"/>
    <w:rsid w:val="006D3CF2"/>
    <w:rsid w:val="00702DDB"/>
    <w:rsid w:val="00706311"/>
    <w:rsid w:val="00707F9D"/>
    <w:rsid w:val="00711648"/>
    <w:rsid w:val="00715C1A"/>
    <w:rsid w:val="00716B28"/>
    <w:rsid w:val="00716B8B"/>
    <w:rsid w:val="00725643"/>
    <w:rsid w:val="007338A1"/>
    <w:rsid w:val="0077118C"/>
    <w:rsid w:val="007F4E66"/>
    <w:rsid w:val="00807112"/>
    <w:rsid w:val="00823270"/>
    <w:rsid w:val="00847A8A"/>
    <w:rsid w:val="008C225D"/>
    <w:rsid w:val="008C351A"/>
    <w:rsid w:val="008E4899"/>
    <w:rsid w:val="008E49BA"/>
    <w:rsid w:val="00904803"/>
    <w:rsid w:val="00925D47"/>
    <w:rsid w:val="00937B70"/>
    <w:rsid w:val="009422AC"/>
    <w:rsid w:val="009441CF"/>
    <w:rsid w:val="00944E0B"/>
    <w:rsid w:val="00953A28"/>
    <w:rsid w:val="009A25B3"/>
    <w:rsid w:val="009C18F3"/>
    <w:rsid w:val="009D03BB"/>
    <w:rsid w:val="009F54E4"/>
    <w:rsid w:val="00A2299D"/>
    <w:rsid w:val="00A235F2"/>
    <w:rsid w:val="00A612E9"/>
    <w:rsid w:val="00A676AB"/>
    <w:rsid w:val="00A72D32"/>
    <w:rsid w:val="00A810B6"/>
    <w:rsid w:val="00A90776"/>
    <w:rsid w:val="00AC193B"/>
    <w:rsid w:val="00AD7F89"/>
    <w:rsid w:val="00AE30E4"/>
    <w:rsid w:val="00AF3748"/>
    <w:rsid w:val="00B44F4F"/>
    <w:rsid w:val="00B67112"/>
    <w:rsid w:val="00B91940"/>
    <w:rsid w:val="00B92159"/>
    <w:rsid w:val="00B97E9A"/>
    <w:rsid w:val="00BA674E"/>
    <w:rsid w:val="00BE0357"/>
    <w:rsid w:val="00BE5593"/>
    <w:rsid w:val="00BE7117"/>
    <w:rsid w:val="00BF284A"/>
    <w:rsid w:val="00BF71E6"/>
    <w:rsid w:val="00C34678"/>
    <w:rsid w:val="00C75D34"/>
    <w:rsid w:val="00D0137C"/>
    <w:rsid w:val="00D35768"/>
    <w:rsid w:val="00D37687"/>
    <w:rsid w:val="00D43727"/>
    <w:rsid w:val="00D61555"/>
    <w:rsid w:val="00D6264A"/>
    <w:rsid w:val="00D7270B"/>
    <w:rsid w:val="00DA049F"/>
    <w:rsid w:val="00DA49AF"/>
    <w:rsid w:val="00DB5400"/>
    <w:rsid w:val="00DC21E7"/>
    <w:rsid w:val="00DD0498"/>
    <w:rsid w:val="00E25C0C"/>
    <w:rsid w:val="00E40984"/>
    <w:rsid w:val="00E77BE6"/>
    <w:rsid w:val="00E80871"/>
    <w:rsid w:val="00E9192F"/>
    <w:rsid w:val="00EC3FC1"/>
    <w:rsid w:val="00EE09DC"/>
    <w:rsid w:val="00F078C8"/>
    <w:rsid w:val="00F31734"/>
    <w:rsid w:val="00F717C5"/>
    <w:rsid w:val="00F9031D"/>
    <w:rsid w:val="00FA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2584D58E"/>
  <w15:docId w15:val="{F6593AFE-38E5-497C-90F7-244BFC93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table" w:styleId="Tablaconcuadrcula">
    <w:name w:val="Table Grid"/>
    <w:basedOn w:val="Tablanormal"/>
    <w:rsid w:val="001A0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1A0FF5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A235F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semiHidden/>
    <w:unhideWhenUsed/>
    <w:rsid w:val="00F078C8"/>
  </w:style>
  <w:style w:type="character" w:customStyle="1" w:styleId="TextonotapieCar">
    <w:name w:val="Texto nota pie Car"/>
    <w:basedOn w:val="Fuentedeprrafopredeter"/>
    <w:link w:val="Textonotapie"/>
    <w:semiHidden/>
    <w:rsid w:val="00F078C8"/>
  </w:style>
  <w:style w:type="character" w:styleId="Refdenotaalpie">
    <w:name w:val="footnote reference"/>
    <w:basedOn w:val="Fuentedeprrafopredeter"/>
    <w:semiHidden/>
    <w:unhideWhenUsed/>
    <w:rsid w:val="00F078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DA0E-F9A8-468D-8A10-BF98D761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1065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</dc:creator>
  <cp:lastModifiedBy>User</cp:lastModifiedBy>
  <cp:revision>5</cp:revision>
  <cp:lastPrinted>2019-04-05T18:18:00Z</cp:lastPrinted>
  <dcterms:created xsi:type="dcterms:W3CDTF">2021-09-08T03:51:00Z</dcterms:created>
  <dcterms:modified xsi:type="dcterms:W3CDTF">2021-09-09T04:39:00Z</dcterms:modified>
</cp:coreProperties>
</file>