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8955911"/>
        <w:docPartObj>
          <w:docPartGallery w:val="Cover Pages"/>
          <w:docPartUnique/>
        </w:docPartObj>
      </w:sdtPr>
      <w:sdtEndPr/>
      <w:sdtContent>
        <w:p w:rsidR="00A37AFF" w:rsidRDefault="00A37AFF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DDFA7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B4F74C" wp14:editId="507FDB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AFF" w:rsidRDefault="004F415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7A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REVISIÓN GERENCIAL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AFF" w:rsidRDefault="00A37A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EXCAVACIONES CORREA MEJIA S.A.S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3B4F7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A37AFF" w:rsidRDefault="004F415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7A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REVISIÓN GERENCIAL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7AFF" w:rsidRDefault="00A37A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EXCAVACIONES CORREA MEJIA S.A.S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7AFF" w:rsidRDefault="00DE2F23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EE18C" wp14:editId="562FA3E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7AFF" w:rsidRDefault="00C905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16 enero del 202</w:t>
                                    </w:r>
                                    <w:r w:rsidR="001F49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sdtContent>
                              </w:sdt>
                              <w:p w:rsidR="00A37AFF" w:rsidRDefault="00A37AFF" w:rsidP="00C905E9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D4EE18C" id="Cuadro de texto 152" o:spid="_x0000_s1027" type="#_x0000_t202" style="position:absolute;margin-left:0;margin-top:650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37AFF" w:rsidRDefault="00C905E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16 enero del 202</w:t>
                              </w:r>
                              <w:r w:rsidR="001F49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sdtContent>
                        </w:sdt>
                        <w:p w:rsidR="00A37AFF" w:rsidRDefault="00A37AFF" w:rsidP="00C905E9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598102" wp14:editId="74B6EBE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8298180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7AFF" w:rsidRDefault="00A37AF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LINA MARIA CORREA MEJIA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37AFF" w:rsidRDefault="00A37AF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GERENTE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598102" id="Cuadro de texto 153" o:spid="_x0000_s1028" type="#_x0000_t202" style="position:absolute;margin-left:0;margin-top:653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" filled="f" stroked="f" strokeweight=".5pt">
                    <v:textbox style="mso-fit-shape-to-text:t" inset="126pt,0,54pt,0">
                      <w:txbxContent>
                        <w:p w:rsidR="00A37AFF" w:rsidRDefault="00A37AF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LINA MARIA CORREA MEJIA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37AFF" w:rsidRDefault="00A37AF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GERENTE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7AFF">
            <w:br w:type="page"/>
          </w:r>
        </w:p>
        <w:bookmarkStart w:id="0" w:name="_GoBack" w:displacedByCustomXml="next"/>
        <w:bookmarkEnd w:id="0" w:displacedByCustomXml="next"/>
      </w:sdtContent>
    </w:sdt>
    <w:p w:rsidR="001C3595" w:rsidRDefault="00C905E9" w:rsidP="00C905E9">
      <w:pPr>
        <w:snapToGrid w:val="0"/>
        <w:jc w:val="both"/>
        <w:rPr>
          <w:rFonts w:ascii="Arial" w:hAnsi="Arial" w:cs="Arial"/>
        </w:rPr>
      </w:pPr>
      <w:r w:rsidRPr="000D580F">
        <w:rPr>
          <w:rFonts w:ascii="Arial" w:hAnsi="Arial" w:cs="Arial"/>
        </w:rPr>
        <w:lastRenderedPageBreak/>
        <w:t xml:space="preserve">En vista que Excavaciones Correa Mejía S.A.S fue registrada en cámara de comercio de Cali, el 16 de enero del 2019 y operativamente inicia en mayo 19 de 2019; </w:t>
      </w:r>
      <w:r w:rsidR="000D580F">
        <w:rPr>
          <w:rFonts w:ascii="Arial" w:hAnsi="Arial" w:cs="Arial"/>
        </w:rPr>
        <w:t>el sistema de gestión de seguridad y salud en el trabajo inicia en el segundo semestre del año 2019</w:t>
      </w:r>
      <w:r w:rsidR="001C3595">
        <w:rPr>
          <w:rFonts w:ascii="Arial" w:hAnsi="Arial" w:cs="Arial"/>
        </w:rPr>
        <w:t xml:space="preserve">. </w:t>
      </w:r>
    </w:p>
    <w:p w:rsidR="00C905E9" w:rsidRPr="000D580F" w:rsidRDefault="001C3595" w:rsidP="00C905E9">
      <w:pPr>
        <w:snapToGri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El vigía en SST rinde cuentas a la gerencia sobre el cierre del Sistema de Gestión de la Seguridad y Salud en el trabajo para el periodo del año 2019</w:t>
      </w:r>
      <w:r w:rsidR="000D580F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reportando lo siguiente: </w:t>
      </w:r>
    </w:p>
    <w:p w:rsidR="00A37AFF" w:rsidRPr="000D580F" w:rsidRDefault="00A37AFF" w:rsidP="00C905E9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0D580F">
        <w:rPr>
          <w:rFonts w:ascii="Arial" w:hAnsi="Arial" w:cs="Arial"/>
          <w:sz w:val="22"/>
          <w:szCs w:val="22"/>
        </w:rPr>
        <w:t xml:space="preserve">Se </w:t>
      </w:r>
      <w:r w:rsidR="000D580F">
        <w:rPr>
          <w:rFonts w:ascii="Arial" w:hAnsi="Arial" w:cs="Arial"/>
          <w:sz w:val="22"/>
          <w:szCs w:val="22"/>
        </w:rPr>
        <w:t xml:space="preserve">evidencia </w:t>
      </w:r>
      <w:r w:rsidRPr="000D580F">
        <w:rPr>
          <w:rFonts w:ascii="Arial" w:hAnsi="Arial" w:cs="Arial"/>
          <w:sz w:val="22"/>
          <w:szCs w:val="22"/>
        </w:rPr>
        <w:t>soporte de pago de seguridad social de los trabajadores</w:t>
      </w:r>
      <w:r w:rsidR="000D580F">
        <w:rPr>
          <w:rFonts w:ascii="Arial" w:hAnsi="Arial" w:cs="Arial"/>
          <w:sz w:val="22"/>
          <w:szCs w:val="22"/>
        </w:rPr>
        <w:t xml:space="preserve">, lo cual da cumplimiento a la normatividad vigente. </w:t>
      </w:r>
    </w:p>
    <w:p w:rsidR="00A37AFF" w:rsidRPr="000D580F" w:rsidRDefault="00A37AFF" w:rsidP="00C905E9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0D580F">
        <w:rPr>
          <w:rFonts w:ascii="Arial" w:hAnsi="Arial" w:cs="Arial"/>
          <w:sz w:val="22"/>
          <w:szCs w:val="22"/>
        </w:rPr>
        <w:t xml:space="preserve">Se cumple con el 100% en la realización de las reuniones del comité de vigía en SST desde la conformación del comité. </w:t>
      </w:r>
    </w:p>
    <w:p w:rsidR="00A37AFF" w:rsidRDefault="00A37AFF" w:rsidP="00C905E9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0D580F">
        <w:rPr>
          <w:rFonts w:ascii="Arial" w:hAnsi="Arial" w:cs="Arial"/>
          <w:sz w:val="22"/>
          <w:szCs w:val="22"/>
        </w:rPr>
        <w:t>Se realizaron cuatro temas de capacitación en el comité de vigía en SST (funciones según Resolución 2013 de 1986, responsabilidades según Decreto 1072 de 2015)</w:t>
      </w:r>
      <w:r>
        <w:rPr>
          <w:rFonts w:ascii="Arial" w:hAnsi="Arial" w:cs="Arial"/>
          <w:sz w:val="22"/>
          <w:szCs w:val="22"/>
        </w:rPr>
        <w:t xml:space="preserve"> y al comité de convivencia labora (reglamentación y funciones del comité según Resolución 652 de 2012; y prevención del acoso laboral).</w:t>
      </w:r>
    </w:p>
    <w:p w:rsidR="00A37AFF" w:rsidRDefault="00A37AFF" w:rsidP="00C905E9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cumple con el 100% en la realización de las reuniones del comité de convivencia laboral desde la conformación del comité. </w:t>
      </w:r>
    </w:p>
    <w:p w:rsidR="00A37AFF" w:rsidRDefault="00A37AFF" w:rsidP="00C905E9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cumple con el 100% de la realización de los exámenes médicos ocupacionales de ingreso al personal. </w:t>
      </w:r>
    </w:p>
    <w:p w:rsidR="001C3595" w:rsidRDefault="00A37AFF" w:rsidP="001C3595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evidencia un reporte de accidente de trabajo leve con su respectiva investigación.</w:t>
      </w:r>
    </w:p>
    <w:p w:rsidR="001C3595" w:rsidRDefault="001C3595" w:rsidP="001C3595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 xml:space="preserve">Se realizó procedimiento de excavaciones. </w:t>
      </w:r>
    </w:p>
    <w:p w:rsidR="001C3595" w:rsidRDefault="001C3595" w:rsidP="001C3595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>Se realizó la matriz de peligro</w:t>
      </w:r>
    </w:p>
    <w:p w:rsidR="001C3595" w:rsidRDefault="001C3595" w:rsidP="001C3595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>Se realizó los mantenimientos de los equipos y maquinaria.</w:t>
      </w:r>
    </w:p>
    <w:p w:rsidR="001C3595" w:rsidRPr="001C3595" w:rsidRDefault="001C3595" w:rsidP="001C3595">
      <w:pPr>
        <w:pStyle w:val="Prrafodelista"/>
        <w:numPr>
          <w:ilvl w:val="0"/>
          <w:numId w:val="2"/>
        </w:numPr>
        <w:snapToGrid w:val="0"/>
        <w:ind w:left="709"/>
        <w:jc w:val="both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>Se entrega de EPP al 100% del personal.</w:t>
      </w:r>
    </w:p>
    <w:p w:rsidR="00C905E9" w:rsidRDefault="00C905E9" w:rsidP="00C905E9">
      <w:pPr>
        <w:snapToGrid w:val="0"/>
        <w:jc w:val="both"/>
        <w:rPr>
          <w:rFonts w:ascii="Arial" w:hAnsi="Arial" w:cs="Arial"/>
        </w:rPr>
      </w:pPr>
    </w:p>
    <w:p w:rsidR="00A37AFF" w:rsidRDefault="00C905E9" w:rsidP="00C905E9">
      <w:pPr>
        <w:snapToGri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se revisan los indicadores de acuerdo </w:t>
      </w:r>
      <w:r w:rsidR="00A37AFF">
        <w:rPr>
          <w:rFonts w:ascii="Arial" w:hAnsi="Arial" w:cs="Arial"/>
        </w:rPr>
        <w:t>a la Resolución 0312 de 2019 los cuales dieron como resultado:</w:t>
      </w:r>
    </w:p>
    <w:p w:rsidR="00A37AFF" w:rsidRPr="001C3595" w:rsidRDefault="001C3595" w:rsidP="001C3595">
      <w:pPr>
        <w:snapToGrid w:val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0225" cy="2619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F" w:rsidRDefault="001C3595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lastRenderedPageBreak/>
        <w:drawing>
          <wp:inline distT="0" distB="0" distL="0" distR="0">
            <wp:extent cx="5600700" cy="2943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E2" w:rsidRDefault="001F49E2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</w:p>
    <w:p w:rsidR="001F49E2" w:rsidRDefault="001F49E2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5610225" cy="4191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E2" w:rsidRDefault="001C3595" w:rsidP="001F49E2">
      <w:pPr>
        <w:pStyle w:val="Prrafodelista"/>
        <w:snapToGrid w:val="0"/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lastRenderedPageBreak/>
        <w:drawing>
          <wp:inline distT="0" distB="0" distL="0" distR="0">
            <wp:extent cx="4514850" cy="33957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61" cy="340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E2" w:rsidRDefault="001F49E2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</w:p>
    <w:p w:rsidR="001F49E2" w:rsidRDefault="001F49E2" w:rsidP="001F49E2">
      <w:pPr>
        <w:pStyle w:val="Prrafodelista"/>
        <w:snapToGrid w:val="0"/>
        <w:ind w:left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4533900" cy="337155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26" cy="33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E2" w:rsidRDefault="001F49E2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</w:p>
    <w:p w:rsidR="001F49E2" w:rsidRDefault="001F49E2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lastRenderedPageBreak/>
        <w:drawing>
          <wp:inline distT="0" distB="0" distL="0" distR="0">
            <wp:extent cx="5610225" cy="2895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E2" w:rsidRDefault="001F49E2" w:rsidP="00A37AFF">
      <w:pPr>
        <w:pStyle w:val="Prrafodelista"/>
        <w:snapToGrid w:val="0"/>
        <w:ind w:left="0"/>
        <w:jc w:val="both"/>
        <w:rPr>
          <w:rFonts w:ascii="Arial" w:hAnsi="Arial" w:cs="Arial"/>
          <w:sz w:val="22"/>
          <w:szCs w:val="22"/>
        </w:rPr>
      </w:pPr>
    </w:p>
    <w:p w:rsidR="00A37AFF" w:rsidRDefault="001F49E2" w:rsidP="001F49E2">
      <w:pPr>
        <w:pStyle w:val="Prrafodelista"/>
        <w:snapToGrid w:val="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cumplimiento al compromiso adquirido por la gerencia en la </w:t>
      </w:r>
      <w:r w:rsidR="00DE2F23">
        <w:rPr>
          <w:rFonts w:ascii="Arial" w:hAnsi="Arial" w:cs="Arial"/>
          <w:sz w:val="22"/>
          <w:szCs w:val="22"/>
        </w:rPr>
        <w:t>última</w:t>
      </w:r>
      <w:r>
        <w:rPr>
          <w:rFonts w:ascii="Arial" w:hAnsi="Arial" w:cs="Arial"/>
          <w:sz w:val="22"/>
          <w:szCs w:val="22"/>
        </w:rPr>
        <w:t xml:space="preserve"> reunión del vigía, realiza la autoevaluación </w:t>
      </w:r>
      <w:r w:rsidR="00A37AFF" w:rsidRPr="00CA4B34">
        <w:rPr>
          <w:rFonts w:ascii="Arial" w:hAnsi="Arial" w:cs="Arial"/>
          <w:color w:val="000000"/>
          <w:sz w:val="22"/>
          <w:szCs w:val="22"/>
        </w:rPr>
        <w:t>del sistema de gestión de la seguridad y salud en el trabajo de acuerdo a la resolución 0312 de 2019</w:t>
      </w:r>
      <w:r>
        <w:rPr>
          <w:rFonts w:ascii="Arial" w:hAnsi="Arial" w:cs="Arial"/>
          <w:color w:val="000000"/>
          <w:sz w:val="22"/>
          <w:szCs w:val="22"/>
        </w:rPr>
        <w:t xml:space="preserve">, encontrándose que el porcentaje de cumplimiento es del 52.25% lo cual lo califica como </w:t>
      </w:r>
      <w:r w:rsidR="00DE2F23">
        <w:rPr>
          <w:rFonts w:ascii="Arial" w:hAnsi="Arial" w:cs="Arial"/>
          <w:color w:val="000000"/>
          <w:sz w:val="22"/>
          <w:szCs w:val="22"/>
        </w:rPr>
        <w:t>crítico</w:t>
      </w:r>
      <w:r>
        <w:rPr>
          <w:rFonts w:ascii="Arial" w:hAnsi="Arial" w:cs="Arial"/>
          <w:color w:val="000000"/>
          <w:sz w:val="22"/>
          <w:szCs w:val="22"/>
        </w:rPr>
        <w:t xml:space="preserve">. Se realiza plan de mejoramiento para su aplicación en este año en curso 2020, las actividades propuestas serán incluidas en el plan de trabajo anual. </w:t>
      </w:r>
    </w:p>
    <w:p w:rsidR="001F49E2" w:rsidRDefault="001F49E2" w:rsidP="001F49E2">
      <w:pPr>
        <w:pStyle w:val="Prrafodelista"/>
        <w:snapToGrid w:val="0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1F49E2" w:rsidRDefault="001F49E2" w:rsidP="001F49E2">
      <w:pPr>
        <w:pStyle w:val="Prrafodelista"/>
        <w:snapToGrid w:val="0"/>
        <w:ind w:left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relaciona a continuación los puntajes obtenidos de acuerdo al ciclo y el estándar evaluado:</w:t>
      </w:r>
    </w:p>
    <w:p w:rsidR="001F49E2" w:rsidRDefault="001F49E2" w:rsidP="001F49E2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  <w:r w:rsidRPr="001F49E2">
        <w:drawing>
          <wp:inline distT="0" distB="0" distL="0" distR="0">
            <wp:extent cx="5629275" cy="2914498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47" cy="292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23" w:rsidRDefault="00DE2F23" w:rsidP="001F49E2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  <w:r w:rsidRPr="00DE2F23">
        <w:lastRenderedPageBreak/>
        <w:drawing>
          <wp:inline distT="0" distB="0" distL="0" distR="0">
            <wp:extent cx="5819775" cy="2891155"/>
            <wp:effectExtent l="0" t="0" r="9525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22" cy="28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23" w:rsidRDefault="00DE2F23" w:rsidP="001F49E2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</w:p>
    <w:p w:rsidR="00DE2F23" w:rsidRDefault="00DE2F23" w:rsidP="001F49E2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  <w:r w:rsidRPr="00DE2F23">
        <w:drawing>
          <wp:inline distT="0" distB="0" distL="0" distR="0">
            <wp:extent cx="5781675" cy="195072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04" cy="195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23" w:rsidRDefault="00DE2F23" w:rsidP="001F49E2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</w:p>
    <w:p w:rsidR="00DE2F23" w:rsidRDefault="00DE2F23" w:rsidP="00DE2F23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  <w:r w:rsidRPr="00DE2F23">
        <w:drawing>
          <wp:inline distT="0" distB="0" distL="0" distR="0">
            <wp:extent cx="5800725" cy="184848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385" cy="185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23" w:rsidRDefault="00DE2F23" w:rsidP="00DE2F23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</w:p>
    <w:p w:rsidR="00DE2F23" w:rsidRPr="00DE2F23" w:rsidRDefault="00DE2F23" w:rsidP="00DE2F23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</w:p>
    <w:sectPr w:rsidR="00DE2F23" w:rsidRPr="00DE2F23" w:rsidSect="00A37AFF">
      <w:head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150" w:rsidRDefault="004F4150" w:rsidP="001F49E2">
      <w:pPr>
        <w:spacing w:after="0" w:line="240" w:lineRule="auto"/>
      </w:pPr>
      <w:r>
        <w:separator/>
      </w:r>
    </w:p>
  </w:endnote>
  <w:endnote w:type="continuationSeparator" w:id="0">
    <w:p w:rsidR="004F4150" w:rsidRDefault="004F4150" w:rsidP="001F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150" w:rsidRDefault="004F4150" w:rsidP="001F49E2">
      <w:pPr>
        <w:spacing w:after="0" w:line="240" w:lineRule="auto"/>
      </w:pPr>
      <w:r>
        <w:separator/>
      </w:r>
    </w:p>
  </w:footnote>
  <w:footnote w:type="continuationSeparator" w:id="0">
    <w:p w:rsidR="004F4150" w:rsidRDefault="004F4150" w:rsidP="001F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1F49E2" w:rsidRPr="00132E14" w:rsidTr="007E2311">
      <w:trPr>
        <w:trHeight w:val="552"/>
        <w:jc w:val="center"/>
      </w:trPr>
      <w:tc>
        <w:tcPr>
          <w:tcW w:w="2706" w:type="dxa"/>
          <w:vMerge w:val="restart"/>
          <w:vAlign w:val="center"/>
        </w:tcPr>
        <w:p w:rsidR="001F49E2" w:rsidRPr="00132E14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cs="Arial"/>
              <w:noProof/>
              <w:lang w:eastAsia="es-CO"/>
            </w:rPr>
            <w:drawing>
              <wp:inline distT="0" distB="0" distL="0" distR="0" wp14:anchorId="72D4C540" wp14:editId="67A0278D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:rsidR="001F49E2" w:rsidRPr="00132E14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eastAsia="Times New Roman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:rsidR="001F49E2" w:rsidRPr="00132E14" w:rsidRDefault="001F49E2" w:rsidP="001F49E2">
          <w:pPr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eastAsia="Times New Roman" w:cs="Times New Roman"/>
              <w:b/>
              <w:sz w:val="24"/>
              <w:lang w:eastAsia="es-CO"/>
            </w:rPr>
            <w:t>Fecha: 1</w:t>
          </w:r>
          <w:r>
            <w:rPr>
              <w:rFonts w:eastAsia="Times New Roman" w:cs="Times New Roman"/>
              <w:b/>
              <w:sz w:val="24"/>
              <w:lang w:eastAsia="es-CO"/>
            </w:rPr>
            <w:t>6/01</w:t>
          </w:r>
          <w:r>
            <w:rPr>
              <w:rFonts w:eastAsia="Times New Roman" w:cs="Times New Roman"/>
              <w:b/>
              <w:sz w:val="24"/>
              <w:lang w:eastAsia="es-CO"/>
            </w:rPr>
            <w:t>/20</w:t>
          </w:r>
          <w:r>
            <w:rPr>
              <w:rFonts w:eastAsia="Times New Roman" w:cs="Times New Roman"/>
              <w:b/>
              <w:sz w:val="24"/>
              <w:lang w:eastAsia="es-CO"/>
            </w:rPr>
            <w:t>20</w:t>
          </w:r>
        </w:p>
      </w:tc>
    </w:tr>
    <w:tr w:rsidR="001F49E2" w:rsidRPr="00132E14" w:rsidTr="007E2311">
      <w:trPr>
        <w:trHeight w:val="552"/>
        <w:jc w:val="center"/>
      </w:trPr>
      <w:tc>
        <w:tcPr>
          <w:tcW w:w="2706" w:type="dxa"/>
          <w:vMerge/>
          <w:vAlign w:val="center"/>
        </w:tcPr>
        <w:p w:rsidR="001F49E2" w:rsidRPr="00132E14" w:rsidRDefault="001F49E2" w:rsidP="001F49E2">
          <w:pPr>
            <w:jc w:val="center"/>
            <w:rPr>
              <w:rFonts w:eastAsia="Times New Roman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:rsidR="001F49E2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  <w:r w:rsidRPr="001F49E2">
            <w:rPr>
              <w:rFonts w:eastAsia="Times New Roman" w:cs="Times New Roman"/>
              <w:b/>
              <w:sz w:val="36"/>
              <w:lang w:eastAsia="es-CO"/>
            </w:rPr>
            <w:t>REVISIÓN GERENCIAL</w:t>
          </w:r>
        </w:p>
      </w:tc>
      <w:tc>
        <w:tcPr>
          <w:tcW w:w="2098" w:type="dxa"/>
          <w:vAlign w:val="center"/>
        </w:tcPr>
        <w:p w:rsidR="001F49E2" w:rsidRDefault="001F49E2" w:rsidP="001F49E2">
          <w:pPr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eastAsia="Times New Roman" w:cs="Times New Roman"/>
              <w:b/>
              <w:sz w:val="24"/>
              <w:lang w:eastAsia="es-CO"/>
            </w:rPr>
            <w:t>Versión: 001</w:t>
          </w:r>
        </w:p>
      </w:tc>
    </w:tr>
    <w:tr w:rsidR="001F49E2" w:rsidRPr="00132E14" w:rsidTr="007E2311">
      <w:trPr>
        <w:trHeight w:val="552"/>
        <w:jc w:val="center"/>
      </w:trPr>
      <w:tc>
        <w:tcPr>
          <w:tcW w:w="2706" w:type="dxa"/>
          <w:vMerge/>
          <w:vAlign w:val="center"/>
        </w:tcPr>
        <w:p w:rsidR="001F49E2" w:rsidRPr="00132E14" w:rsidRDefault="001F49E2" w:rsidP="001F49E2">
          <w:pPr>
            <w:jc w:val="center"/>
            <w:rPr>
              <w:rFonts w:eastAsia="Times New Roman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:rsidR="001F49E2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:rsidR="001F49E2" w:rsidRDefault="001F49E2" w:rsidP="001F49E2">
          <w:pPr>
            <w:rPr>
              <w:rFonts w:eastAsia="Times New Roman" w:cs="Times New Roman"/>
              <w:b/>
              <w:sz w:val="24"/>
              <w:lang w:eastAsia="es-CO"/>
            </w:rPr>
          </w:pPr>
          <w:r w:rsidRPr="006A13E7">
            <w:rPr>
              <w:rFonts w:eastAsia="Times New Roman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separate"/>
          </w:r>
          <w:r w:rsidR="00DE2F23" w:rsidRPr="00DE2F23">
            <w:rPr>
              <w:rFonts w:eastAsia="Times New Roman" w:cs="Times New Roman"/>
              <w:b/>
              <w:noProof/>
              <w:sz w:val="24"/>
              <w:lang w:val="es-ES" w:eastAsia="es-CO"/>
            </w:rPr>
            <w:t>5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eastAsia="Times New Roman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separate"/>
          </w:r>
          <w:r w:rsidR="00DE2F23" w:rsidRPr="00DE2F23">
            <w:rPr>
              <w:rFonts w:eastAsia="Times New Roman" w:cs="Times New Roman"/>
              <w:b/>
              <w:noProof/>
              <w:sz w:val="24"/>
              <w:lang w:val="es-ES" w:eastAsia="es-CO"/>
            </w:rPr>
            <w:t>5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end"/>
          </w:r>
        </w:p>
      </w:tc>
    </w:tr>
  </w:tbl>
  <w:p w:rsidR="001F49E2" w:rsidRDefault="001F4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7D61"/>
    <w:multiLevelType w:val="hybridMultilevel"/>
    <w:tmpl w:val="E2D81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27C5"/>
    <w:multiLevelType w:val="hybridMultilevel"/>
    <w:tmpl w:val="AF8C1F0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FF"/>
    <w:rsid w:val="000D580F"/>
    <w:rsid w:val="001C3595"/>
    <w:rsid w:val="001F49E2"/>
    <w:rsid w:val="004F4150"/>
    <w:rsid w:val="00A37AFF"/>
    <w:rsid w:val="00A4682A"/>
    <w:rsid w:val="00C905E9"/>
    <w:rsid w:val="00D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06A1"/>
  <w15:chartTrackingRefBased/>
  <w15:docId w15:val="{45A7C791-5D64-4D80-AFD3-2E6F1948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7AF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7AFF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A37AF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1F4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9E2"/>
  </w:style>
  <w:style w:type="paragraph" w:styleId="Piedepgina">
    <w:name w:val="footer"/>
    <w:basedOn w:val="Normal"/>
    <w:link w:val="PiedepginaCar"/>
    <w:uiPriority w:val="99"/>
    <w:unhideWhenUsed/>
    <w:rsid w:val="001F4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9E2"/>
  </w:style>
  <w:style w:type="table" w:customStyle="1" w:styleId="Tablaconcuadrcula1">
    <w:name w:val="Tabla con cuadrícula1"/>
    <w:basedOn w:val="Tablanormal"/>
    <w:next w:val="Tablaconcuadrcula"/>
    <w:uiPriority w:val="59"/>
    <w:rsid w:val="001F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F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GERENTE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GERENCIAL</vt:lpstr>
    </vt:vector>
  </TitlesOfParts>
  <Company>InKulpado666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GERENCIAL</dc:title>
  <dc:subject>EXCAVACIONES CORREA MEJIA S.A.S</dc:subject>
  <dc:creator>16 enero del 2020</dc:creator>
  <cp:keywords/>
  <dc:description/>
  <cp:lastModifiedBy>User</cp:lastModifiedBy>
  <cp:revision>2</cp:revision>
  <dcterms:created xsi:type="dcterms:W3CDTF">2021-09-29T04:06:00Z</dcterms:created>
  <dcterms:modified xsi:type="dcterms:W3CDTF">2021-10-01T04:00:00Z</dcterms:modified>
</cp:coreProperties>
</file>