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FA61" w14:textId="77777777" w:rsidR="00B633C1" w:rsidRPr="00636ED6" w:rsidRDefault="00B633C1" w:rsidP="00582E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8E27E8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OBJETIVO </w:t>
      </w:r>
    </w:p>
    <w:p w14:paraId="189DDA52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16D2B8F" w14:textId="487A4E0F" w:rsidR="00D20BD5" w:rsidRPr="00636ED6" w:rsidRDefault="00A30AD1" w:rsidP="00D20BD5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Establecer los lineamientos para evaluar el impacto sobre la seguridad y salud en el trabajo que se puedan generar por cambios internos como externos en las actividades e instalaciones relacionadas con los procesos de Excavaciones Correa Mejía S.A.S; identificando los peligros y evaluando los riesgos que pueden derivarse de los cambios para adoptar medidas de prevención y control antes de su implementación. </w:t>
      </w:r>
    </w:p>
    <w:p w14:paraId="2C7896EE" w14:textId="7E10B142" w:rsidR="009619B2" w:rsidRPr="00636ED6" w:rsidRDefault="009619B2" w:rsidP="00D20BD5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 </w:t>
      </w:r>
    </w:p>
    <w:p w14:paraId="2942E6BA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ALCANCE </w:t>
      </w:r>
    </w:p>
    <w:p w14:paraId="069A453E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626C5CD5" w14:textId="4758B9C3" w:rsidR="00D20BD5" w:rsidRPr="00636ED6" w:rsidRDefault="00425C55" w:rsidP="00425C55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Este procedimiento </w:t>
      </w:r>
      <w:r w:rsidR="00FA6026" w:rsidRPr="00636ED6">
        <w:rPr>
          <w:rFonts w:ascii="Arial" w:hAnsi="Arial" w:cs="Arial"/>
          <w:bCs/>
          <w:sz w:val="22"/>
          <w:szCs w:val="22"/>
        </w:rPr>
        <w:t>es aplicable a todos cambios que incluyan proyectos nuevos, modificaciones o cambios realizados, temporales o permanentes en equipos, productos, procesos, instalaciones, cambios en una ley o nuevas legislaciones, cambio de personas con roles en la administración del sistema de gestión, nuevas adquisiciones como equipos, maquinaría, herramientas etc. que tengan el potencial de impactar la Seguridad y Salud de cualquier persona que se encuentre bajo el control de la empresa.</w:t>
      </w:r>
    </w:p>
    <w:p w14:paraId="675EFC91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6E092C5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>RESPONSABILIDAD Y AUTORIDAD</w:t>
      </w:r>
    </w:p>
    <w:p w14:paraId="506B74B8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450F15C" w14:textId="6A1EC9F1" w:rsidR="005369FB" w:rsidRPr="00636ED6" w:rsidRDefault="0071201E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Personal quien solicita el cambio</w:t>
      </w:r>
      <w:r w:rsidR="005369FB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Planea el cambio con el apoyo del vigía en SST, realiza evaluación previa asociadas al cambio, participa en la valoración del riesgo y determinación de controles a implementar. Divulga a la gerencia el propósito y descripción detallada del cambio. </w:t>
      </w:r>
    </w:p>
    <w:p w14:paraId="404834C2" w14:textId="4335A82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7FB51A" w14:textId="43590971" w:rsidR="00671DCE" w:rsidRPr="00636ED6" w:rsidRDefault="0071201E" w:rsidP="0071201E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Gerente</w:t>
      </w:r>
      <w:r w:rsidR="00671DCE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Evaluar el impacto en seguridad y salud en el trabajo en conjunto con el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vigia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 en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sst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. Garantiza que los requerimientos en SST identificados sean implementados. Realiza validación y liberación de los proyectos o modificaciones.</w:t>
      </w:r>
    </w:p>
    <w:p w14:paraId="3B40AAD9" w14:textId="77777777" w:rsidR="00671DCE" w:rsidRPr="00636ED6" w:rsidRDefault="00671DCE" w:rsidP="005369FB">
      <w:pPr>
        <w:spacing w:line="276" w:lineRule="auto"/>
        <w:ind w:left="284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6D4D3E05" w14:textId="1B2D283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Trabajadores: </w:t>
      </w:r>
      <w:r w:rsidR="0071201E"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Participar en la identificación de los peligros y valoración de los riesgos en las etapas del cambio, así mismo participar en las capacitaciones y socializaciones de los cambios implementados. </w:t>
      </w:r>
    </w:p>
    <w:p w14:paraId="7680949D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3DD23A9B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 xml:space="preserve">CONSIDERACIONES GENERALES </w:t>
      </w:r>
    </w:p>
    <w:p w14:paraId="451F119E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097EBB" w14:textId="3C40C716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La Gestión de Cambio debe considerar la identificación de los peligros, evaluación de los riesgos e implementación de las medidas de control y deberá ser actualizada en la Matriz de Identificación de Peligros, Evaluación y Valoración de los Riesgos.</w:t>
      </w:r>
    </w:p>
    <w:p w14:paraId="404F8F38" w14:textId="2A7D7E21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Actualización del plan de trabajo anual</w:t>
      </w:r>
      <w:r w:rsidR="00B54023">
        <w:rPr>
          <w:rFonts w:eastAsia="Times New Roman"/>
          <w:bCs/>
          <w:lang w:val="es-ES" w:eastAsia="es-ES"/>
        </w:rPr>
        <w:t>, cronograma de capacitaciones,</w:t>
      </w:r>
      <w:r w:rsidRPr="00636ED6">
        <w:rPr>
          <w:rFonts w:eastAsia="Times New Roman"/>
          <w:bCs/>
          <w:lang w:val="es-ES" w:eastAsia="es-ES"/>
        </w:rPr>
        <w:t xml:space="preserve"> Matriz legal SST </w:t>
      </w:r>
      <w:r w:rsidR="00B54023">
        <w:rPr>
          <w:rFonts w:eastAsia="Times New Roman"/>
          <w:bCs/>
          <w:lang w:val="es-ES" w:eastAsia="es-ES"/>
        </w:rPr>
        <w:t xml:space="preserve">y demás documentos del SGSST </w:t>
      </w:r>
      <w:r w:rsidRPr="00636ED6">
        <w:rPr>
          <w:rFonts w:eastAsia="Times New Roman"/>
          <w:bCs/>
          <w:lang w:val="es-ES" w:eastAsia="es-ES"/>
        </w:rPr>
        <w:t>según el cambio implementado.</w:t>
      </w:r>
    </w:p>
    <w:p w14:paraId="47363587" w14:textId="53FE84AC" w:rsidR="0071201E" w:rsidRPr="00636ED6" w:rsidRDefault="0071201E" w:rsidP="0071201E">
      <w:pPr>
        <w:pStyle w:val="Prrafodelista"/>
        <w:numPr>
          <w:ilvl w:val="0"/>
          <w:numId w:val="11"/>
        </w:numPr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lastRenderedPageBreak/>
        <w:t>El seguimiento de los cambios realiza</w:t>
      </w:r>
      <w:r w:rsidR="002D0B70">
        <w:rPr>
          <w:rFonts w:eastAsia="Times New Roman"/>
          <w:bCs/>
          <w:lang w:val="es-ES" w:eastAsia="es-ES"/>
        </w:rPr>
        <w:t xml:space="preserve">dos se llevará a cabo mediante el análisis gestión del cambio. </w:t>
      </w:r>
    </w:p>
    <w:p w14:paraId="66B53A9D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14:paraId="519691D2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DEFINICIONES </w:t>
      </w:r>
    </w:p>
    <w:p w14:paraId="1864F7A3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16A14B96" w14:textId="40968B1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Análisis de Cambio: </w:t>
      </w:r>
      <w:r w:rsidRPr="00636ED6">
        <w:rPr>
          <w:rFonts w:ascii="Arial" w:hAnsi="Arial" w:cs="Arial"/>
          <w:bCs/>
          <w:sz w:val="22"/>
          <w:szCs w:val="22"/>
        </w:rPr>
        <w:t>Proceso para identificar la existencia y característica de los peligros y así evaluar la magnitud de los riesgos asociados en los cambios o nuevos proyectos para definir su aceptabilidad.</w:t>
      </w:r>
    </w:p>
    <w:p w14:paraId="6A61D80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4DD6733" w14:textId="704A8A6E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Áreas Afectadas: </w:t>
      </w:r>
      <w:r w:rsidRPr="00636ED6">
        <w:rPr>
          <w:rFonts w:ascii="Arial" w:hAnsi="Arial" w:cs="Arial"/>
          <w:bCs/>
          <w:sz w:val="22"/>
          <w:szCs w:val="22"/>
        </w:rPr>
        <w:t>Áreas de la empresa impactadas por los cambios propuestos y/o implementados.</w:t>
      </w:r>
    </w:p>
    <w:p w14:paraId="76AD94C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CCCE1B8" w14:textId="759A2C23" w:rsidR="00FA6026" w:rsidRPr="00636ED6" w:rsidRDefault="009423C7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COPASST</w:t>
      </w:r>
      <w:bookmarkStart w:id="0" w:name="_GoBack"/>
      <w:bookmarkEnd w:id="0"/>
      <w:r w:rsidR="00FA6026" w:rsidRPr="00636ED6">
        <w:rPr>
          <w:rFonts w:ascii="Arial" w:hAnsi="Arial" w:cs="Arial"/>
          <w:b/>
          <w:bCs/>
          <w:sz w:val="22"/>
          <w:szCs w:val="22"/>
        </w:rPr>
        <w:t xml:space="preserve">: </w:t>
      </w:r>
      <w:r w:rsidR="00FA6026" w:rsidRPr="00636ED6">
        <w:rPr>
          <w:rFonts w:ascii="Arial" w:hAnsi="Arial" w:cs="Arial"/>
          <w:bCs/>
          <w:sz w:val="22"/>
          <w:szCs w:val="22"/>
        </w:rPr>
        <w:t>Su función principal es revisar y evaluar la criticidad de los proyectos, y exponer ante la gerencia para su aprobación en las medidas a tomar.</w:t>
      </w:r>
    </w:p>
    <w:p w14:paraId="6BF8B73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</w:p>
    <w:p w14:paraId="5AFC5A03" w14:textId="292AAE6C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Cambio: </w:t>
      </w:r>
      <w:r w:rsidRPr="00636ED6">
        <w:rPr>
          <w:rFonts w:ascii="Arial" w:hAnsi="Arial" w:cs="Arial"/>
          <w:bCs/>
          <w:sz w:val="22"/>
          <w:szCs w:val="22"/>
        </w:rPr>
        <w:t>Para efectos de este procedimiento se considera como cambio a toda modificación en procesos, equipos, productos, instalaciones que tenga impacto positivo o negativo en la Salud y Seguridad.</w:t>
      </w:r>
    </w:p>
    <w:p w14:paraId="1E15FCD5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C9145C1" w14:textId="5CD34FE5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Ejecutor del Cambio: </w:t>
      </w:r>
      <w:r w:rsidRPr="00636ED6">
        <w:rPr>
          <w:rFonts w:ascii="Arial" w:hAnsi="Arial" w:cs="Arial"/>
          <w:bCs/>
          <w:sz w:val="22"/>
          <w:szCs w:val="22"/>
        </w:rPr>
        <w:t>Cualquier persona que reconoce la necesidad de un cambio basado en el conocimiento del tema y la necesidad de ejecutarlo. Esta persona inicia el control de cambio y es responsable por su implementación y cierre.</w:t>
      </w:r>
    </w:p>
    <w:p w14:paraId="7C2DD6C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5966093" w14:textId="435EC37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Gestión de Cambio: </w:t>
      </w:r>
      <w:r w:rsidRPr="00636ED6">
        <w:rPr>
          <w:rFonts w:ascii="Arial" w:hAnsi="Arial" w:cs="Arial"/>
          <w:bCs/>
          <w:sz w:val="22"/>
          <w:szCs w:val="22"/>
        </w:rPr>
        <w:t>Aplicación sistemática de procesos, controles, procedimientos para la identificación y administración de peligros generados por los nuevos proyectos o modificaciones que cubre desde la etapa de concepción del proyecto hasta la evaluación de su instalación y/o desempeño.</w:t>
      </w:r>
    </w:p>
    <w:p w14:paraId="7503A2A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7846DF6" w14:textId="400B243F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Peligro: </w:t>
      </w:r>
      <w:r w:rsidRPr="00636ED6">
        <w:rPr>
          <w:rFonts w:ascii="Arial" w:hAnsi="Arial" w:cs="Arial"/>
          <w:bCs/>
          <w:sz w:val="22"/>
          <w:szCs w:val="22"/>
        </w:rPr>
        <w:t>Fuente, situación o acto con potencial de causar daño en la salud de los trabajadores, en los equipos o en las instalaciones.</w:t>
      </w:r>
    </w:p>
    <w:p w14:paraId="1E7B495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AB85ED2" w14:textId="4A748434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>P-H-V-A:</w:t>
      </w:r>
      <w:r w:rsidRPr="00636ED6">
        <w:rPr>
          <w:rFonts w:ascii="Arial" w:hAnsi="Arial" w:cs="Arial"/>
          <w:bCs/>
          <w:sz w:val="22"/>
          <w:szCs w:val="22"/>
        </w:rPr>
        <w:t xml:space="preserve"> Planear, hacer, verificar y Actuar.</w:t>
      </w:r>
    </w:p>
    <w:p w14:paraId="0E1A998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D81620F" w14:textId="2640AE7B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Proyecto: </w:t>
      </w:r>
      <w:r w:rsidRPr="00636ED6">
        <w:rPr>
          <w:rFonts w:ascii="Arial" w:hAnsi="Arial" w:cs="Arial"/>
          <w:bCs/>
          <w:sz w:val="22"/>
          <w:szCs w:val="22"/>
        </w:rPr>
        <w:t>Conjunto de actividades planificadas y coordinadas, que tiene como objetivo la creación o modificación de una instalación o proceso.</w:t>
      </w:r>
    </w:p>
    <w:p w14:paraId="579B96E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F88093" w14:textId="22FE1912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Riesgo: </w:t>
      </w:r>
      <w:r w:rsidRPr="00636ED6">
        <w:rPr>
          <w:rFonts w:ascii="Arial" w:hAnsi="Arial" w:cs="Arial"/>
          <w:bCs/>
          <w:sz w:val="22"/>
          <w:szCs w:val="22"/>
        </w:rPr>
        <w:t>Combinación de la probabilidad de que ocurra una o más exposiciones o eventos peligrosos y la severidad del daño que puede ser causada por estos.</w:t>
      </w:r>
    </w:p>
    <w:p w14:paraId="06692F6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C4CCF33" w14:textId="20C39EAD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lastRenderedPageBreak/>
        <w:t xml:space="preserve">SST: </w:t>
      </w:r>
      <w:r w:rsidRPr="00636ED6">
        <w:rPr>
          <w:rFonts w:ascii="Arial" w:hAnsi="Arial" w:cs="Arial"/>
          <w:bCs/>
          <w:sz w:val="22"/>
          <w:szCs w:val="22"/>
        </w:rPr>
        <w:t>Seguridad, Salud en el Trabajo</w:t>
      </w:r>
    </w:p>
    <w:p w14:paraId="79B59B42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34520F98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Usuario del Cambio: </w:t>
      </w:r>
      <w:r w:rsidRPr="00636ED6">
        <w:rPr>
          <w:rFonts w:ascii="Arial" w:hAnsi="Arial" w:cs="Arial"/>
          <w:bCs/>
          <w:sz w:val="22"/>
          <w:szCs w:val="22"/>
        </w:rPr>
        <w:t>Personal que recibe el proyecto o cambio para su uso final.</w:t>
      </w:r>
    </w:p>
    <w:p w14:paraId="7F070BA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DD8FFC" w14:textId="34BAD84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Valoración del riesgo: </w:t>
      </w:r>
      <w:r w:rsidRPr="00636ED6">
        <w:rPr>
          <w:rFonts w:ascii="Arial" w:hAnsi="Arial" w:cs="Arial"/>
          <w:bCs/>
          <w:sz w:val="22"/>
          <w:szCs w:val="22"/>
        </w:rPr>
        <w:t>Consiste en emitir un juicio sobre la tolerancia o no del riesgo estimado.</w:t>
      </w:r>
    </w:p>
    <w:p w14:paraId="37FD6729" w14:textId="77777777" w:rsidR="005369FB" w:rsidRPr="00636ED6" w:rsidRDefault="005369FB" w:rsidP="005369FB">
      <w:pPr>
        <w:spacing w:line="276" w:lineRule="auto"/>
        <w:ind w:left="644"/>
        <w:jc w:val="both"/>
        <w:rPr>
          <w:rFonts w:ascii="Arial" w:hAnsi="Arial" w:cs="Arial"/>
          <w:bCs/>
          <w:sz w:val="22"/>
          <w:szCs w:val="22"/>
        </w:rPr>
      </w:pPr>
    </w:p>
    <w:p w14:paraId="0F6B5595" w14:textId="5F8C2D19" w:rsidR="005369FB" w:rsidRPr="00636ED6" w:rsidRDefault="0071201E" w:rsidP="005369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PROCESO DE GESTIÓN DEL CAMBIO</w:t>
      </w:r>
    </w:p>
    <w:p w14:paraId="44ACAAF8" w14:textId="77777777" w:rsidR="00FC31F4" w:rsidRPr="00636ED6" w:rsidRDefault="00FC31F4" w:rsidP="00FC31F4">
      <w:pPr>
        <w:jc w:val="both"/>
        <w:rPr>
          <w:rFonts w:ascii="Arial" w:hAnsi="Arial" w:cs="Arial"/>
          <w:bCs/>
          <w:sz w:val="22"/>
          <w:szCs w:val="22"/>
        </w:rPr>
      </w:pPr>
    </w:p>
    <w:p w14:paraId="445BAE1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PASO 1. Identifica el cambio y establece sus características.</w:t>
      </w:r>
    </w:p>
    <w:p w14:paraId="0C33B87A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738D24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Durante la revisión de la propuesta del cambio se tiene en cuenta lo siguiente:</w:t>
      </w:r>
    </w:p>
    <w:p w14:paraId="19E88D5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9842E3C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 xml:space="preserve">La vida (duración) del cambio. </w:t>
      </w:r>
    </w:p>
    <w:p w14:paraId="2EEE7A88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 xml:space="preserve">¿Cómo afectará las personas y al ambiente laboral? </w:t>
      </w:r>
    </w:p>
    <w:p w14:paraId="0DDF78DE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¿Estaría la gente en posición de construir/implementar y operar “el cambio” y trabajar con “el cambio” dentro de un nivel de riesgo aceptable?</w:t>
      </w:r>
    </w:p>
    <w:p w14:paraId="512C9EBC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¿Cómo afectará “el cambio” las actividades de inspección y mantenimiento?</w:t>
      </w:r>
    </w:p>
    <w:p w14:paraId="37D27414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¿Afectará adversamente “el cambio” continuo a las operaciones de ingreso/egreso, inspección, mantenimiento, emergencias, etc.?</w:t>
      </w:r>
    </w:p>
    <w:p w14:paraId="1FBBFEAE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Factores biomecánicos/humanos</w:t>
      </w:r>
    </w:p>
    <w:p w14:paraId="7919D962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FB57990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2 Analiza el cambio. </w:t>
      </w:r>
    </w:p>
    <w:p w14:paraId="200577F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D8BCF7" w14:textId="7FAA5A6C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Con la participación del Vigía en SST y la gerencia se reúnen y analizan si el cambio es significativo y es aplicable este procedimiento.</w:t>
      </w:r>
    </w:p>
    <w:p w14:paraId="455BEF99" w14:textId="28D708F1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5C7EBC52" w14:textId="4F5CBA50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Los cambios que son materia de análisis son los siguientes:</w:t>
      </w:r>
    </w:p>
    <w:p w14:paraId="38773C04" w14:textId="2E0B55A6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equipos o maquinaria</w:t>
      </w:r>
    </w:p>
    <w:p w14:paraId="03E19D52" w14:textId="29F1ACFB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productos químicos</w:t>
      </w:r>
    </w:p>
    <w:p w14:paraId="22A83A30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los requisitos legales relacionadas con SST</w:t>
      </w:r>
    </w:p>
    <w:p w14:paraId="2ACD0706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normas técnicas relacionadas con SST</w:t>
      </w:r>
    </w:p>
    <w:p w14:paraId="169344E1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Introducción de tecnologías nuevas o no utilizadas en la operación</w:t>
      </w:r>
    </w:p>
    <w:p w14:paraId="2AC61B18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relacionado con operación y mantenimiento de los procesos de la Organización</w:t>
      </w:r>
    </w:p>
    <w:p w14:paraId="0D0A39C5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de condiciones de diseño de equipos que impactan la operación.</w:t>
      </w:r>
    </w:p>
    <w:p w14:paraId="5C56EA12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la tecnología (incluido software), equipos, instalaciones, o entorno de trabajo nuevo o modificado.</w:t>
      </w:r>
    </w:p>
    <w:p w14:paraId="01BC985A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procedimientos, prácticas laborales, diseños o especificaciones propias de la operación.</w:t>
      </w:r>
    </w:p>
    <w:p w14:paraId="7A0E2E1E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lastRenderedPageBreak/>
        <w:t>Modificaciones en los dispositivos y equipos o controles de seguridad y salud.</w:t>
      </w:r>
    </w:p>
    <w:p w14:paraId="7F65F4F0" w14:textId="37134A1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la estructura organizacional de la operación.</w:t>
      </w:r>
    </w:p>
    <w:p w14:paraId="3785F246" w14:textId="0D3769A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los horarios de trabajo.</w:t>
      </w:r>
    </w:p>
    <w:p w14:paraId="48E56480" w14:textId="6301D260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recomendados por entidades externas como Ministerio del trabajo o ARL.</w:t>
      </w:r>
    </w:p>
    <w:p w14:paraId="234D7179" w14:textId="3F95F355" w:rsid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 xml:space="preserve">Todo aquel cambio diferente a los anteriores que un profesional SST considere un cambio en </w:t>
      </w:r>
      <w:r w:rsidR="001045DD">
        <w:t>SST</w:t>
      </w:r>
      <w:r w:rsidRPr="00636ED6">
        <w:t>.</w:t>
      </w:r>
    </w:p>
    <w:p w14:paraId="00D6507D" w14:textId="69AB8FE1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  <w:r w:rsidRPr="002D0B70">
        <w:rPr>
          <w:rFonts w:ascii="Arial" w:hAnsi="Arial" w:cs="Arial"/>
          <w:sz w:val="22"/>
          <w:szCs w:val="22"/>
        </w:rPr>
        <w:t>Se diligencia el formato Análisis Gestión del Cambio, el cual incluye:</w:t>
      </w:r>
    </w:p>
    <w:p w14:paraId="75BB913D" w14:textId="69194D9F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0AC3BE0F" w14:textId="336E9573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Descripción del cambio: Se detalla la novedad del cambio y por qué realizar el cambio. </w:t>
      </w:r>
    </w:p>
    <w:p w14:paraId="041DBBBD" w14:textId="48E9B14B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Análisis de Riesgos, Requisitos Legales Aplicables: Sirve para la identificación y análisis de riesgos, y verificar normatividad aplicar. </w:t>
      </w:r>
    </w:p>
    <w:p w14:paraId="49489765" w14:textId="6259CEC1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Recomendaciones de seguridad y salud en el trabajo: </w:t>
      </w:r>
    </w:p>
    <w:p w14:paraId="2A5DA698" w14:textId="39163D96" w:rsidR="001045DD" w:rsidRDefault="001045DD" w:rsidP="002D0B70">
      <w:pPr>
        <w:pStyle w:val="Prrafodelista"/>
        <w:numPr>
          <w:ilvl w:val="0"/>
          <w:numId w:val="23"/>
        </w:numPr>
        <w:jc w:val="both"/>
      </w:pPr>
      <w:r>
        <w:t>Análisis del impacto del sistema de gestión en seguridad y salud en el trabajo: se describe los peligros y riesgos encontrados; relación de normatividad de acuerdo al cambio, sistema de gestión (Se incluye o se actualiza algún documento del SG-SST), procedimiento o instrucciones de trabajo (realización de procedimientos, AST), impactos positivos (lo que favorece el cambio a los trabajadores, la empresa y al SG-SST).</w:t>
      </w:r>
    </w:p>
    <w:p w14:paraId="25456B5A" w14:textId="3F363CA3" w:rsidR="001045DD" w:rsidRPr="002D0B70" w:rsidRDefault="001045DD" w:rsidP="002D0B70">
      <w:pPr>
        <w:pStyle w:val="Prrafodelista"/>
        <w:numPr>
          <w:ilvl w:val="0"/>
          <w:numId w:val="23"/>
        </w:numPr>
        <w:jc w:val="both"/>
      </w:pPr>
      <w:r>
        <w:t xml:space="preserve">Planeación del cambio (Plan de acción): Actividad, responsable, comunicar cambio a (A quien le comunica), fecha de ejecución, seguimiento. </w:t>
      </w:r>
    </w:p>
    <w:p w14:paraId="3C09259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PASO 3. Identifica los peligros, evalúa y valora los riesgos.</w:t>
      </w:r>
    </w:p>
    <w:p w14:paraId="45F52365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85BC357" w14:textId="5686A6BF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Se detecta los peligros que puedan generar el cambio a las personas y procesos productivos, además de su evaluación y valoración de los riesgos mediante la metodología</w:t>
      </w:r>
      <w:r w:rsidR="008F26D2">
        <w:rPr>
          <w:rFonts w:ascii="Arial" w:hAnsi="Arial" w:cs="Arial"/>
          <w:sz w:val="22"/>
          <w:szCs w:val="22"/>
        </w:rPr>
        <w:t xml:space="preserve"> definida en el procedimiento de identificación de peligros, evaluación y valoración de los riesgos.</w:t>
      </w:r>
    </w:p>
    <w:p w14:paraId="2361BECB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47E67EC3" w14:textId="517ADC62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Si la valoración determina </w:t>
      </w:r>
      <w:r w:rsidR="008F26D2">
        <w:rPr>
          <w:rFonts w:ascii="Arial" w:hAnsi="Arial" w:cs="Arial"/>
          <w:sz w:val="22"/>
          <w:szCs w:val="22"/>
        </w:rPr>
        <w:t xml:space="preserve">nivel de riesgo II Aceptable con control especifico, III Mejorable y IV Aceptable </w:t>
      </w:r>
      <w:r w:rsidRPr="00636ED6">
        <w:rPr>
          <w:rFonts w:ascii="Arial" w:hAnsi="Arial" w:cs="Arial"/>
          <w:sz w:val="22"/>
          <w:szCs w:val="22"/>
        </w:rPr>
        <w:t xml:space="preserve">pueden proceder con el cambio siempre y cuando se efectúen los controles. </w:t>
      </w:r>
    </w:p>
    <w:p w14:paraId="7099DCA6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15E7A6" w14:textId="5D726F3C" w:rsidR="008F26D2" w:rsidRPr="00636ED6" w:rsidRDefault="008F26D2" w:rsidP="008F26D2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</w:t>
      </w:r>
      <w:r w:rsidR="00507C2D">
        <w:rPr>
          <w:rFonts w:ascii="Arial" w:hAnsi="Arial" w:cs="Arial"/>
          <w:b/>
          <w:sz w:val="22"/>
          <w:szCs w:val="22"/>
        </w:rPr>
        <w:t>4</w:t>
      </w:r>
      <w:r w:rsidRPr="00636ED6">
        <w:rPr>
          <w:rFonts w:ascii="Arial" w:hAnsi="Arial" w:cs="Arial"/>
          <w:b/>
          <w:sz w:val="22"/>
          <w:szCs w:val="22"/>
        </w:rPr>
        <w:t xml:space="preserve">. </w:t>
      </w:r>
      <w:r w:rsidR="00507C2D">
        <w:rPr>
          <w:rFonts w:ascii="Arial" w:hAnsi="Arial" w:cs="Arial"/>
          <w:b/>
          <w:sz w:val="22"/>
          <w:szCs w:val="22"/>
        </w:rPr>
        <w:t>Actualización</w:t>
      </w:r>
      <w:r>
        <w:rPr>
          <w:rFonts w:ascii="Arial" w:hAnsi="Arial" w:cs="Arial"/>
          <w:b/>
          <w:sz w:val="22"/>
          <w:szCs w:val="22"/>
        </w:rPr>
        <w:t xml:space="preserve"> o creación de documentación del SG-SST</w:t>
      </w:r>
    </w:p>
    <w:p w14:paraId="0816BD76" w14:textId="19B9F813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0E6EB431" w14:textId="0E227DAB" w:rsidR="008F26D2" w:rsidRP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8F26D2">
        <w:rPr>
          <w:rFonts w:ascii="Arial" w:hAnsi="Arial" w:cs="Arial"/>
          <w:sz w:val="22"/>
          <w:szCs w:val="22"/>
        </w:rPr>
        <w:t xml:space="preserve">Todo cambio aprobado podrá generar actualización o </w:t>
      </w:r>
      <w:r w:rsidR="00507C2D" w:rsidRPr="008F26D2">
        <w:rPr>
          <w:rFonts w:ascii="Arial" w:hAnsi="Arial" w:cs="Arial"/>
          <w:sz w:val="22"/>
          <w:szCs w:val="22"/>
        </w:rPr>
        <w:t>creación</w:t>
      </w:r>
      <w:r w:rsidRPr="008F26D2">
        <w:rPr>
          <w:rFonts w:ascii="Arial" w:hAnsi="Arial" w:cs="Arial"/>
          <w:sz w:val="22"/>
          <w:szCs w:val="22"/>
        </w:rPr>
        <w:t xml:space="preserve"> de documentos relacionados en el Sistema de Gestión de la Seguridad y Salud en el Trabajo como lo son: </w:t>
      </w:r>
    </w:p>
    <w:p w14:paraId="1F8A33CC" w14:textId="73B98AAC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009D3B5" w14:textId="1E4B4825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Asignación de recursos</w:t>
      </w:r>
    </w:p>
    <w:p w14:paraId="491B8244" w14:textId="5CBF3BE1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Procedimiento de compras y adquisición de servicios</w:t>
      </w:r>
    </w:p>
    <w:p w14:paraId="2F690047" w14:textId="67465322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trabajo anual. </w:t>
      </w:r>
    </w:p>
    <w:p w14:paraId="0FF03C7C" w14:textId="7B1C4129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Cronograma de capacitaciones. </w:t>
      </w:r>
    </w:p>
    <w:p w14:paraId="05FCAD0C" w14:textId="5ECDACA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emergencia. </w:t>
      </w:r>
    </w:p>
    <w:p w14:paraId="1366690E" w14:textId="29D7EF1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Matriz de responsabilidades</w:t>
      </w:r>
    </w:p>
    <w:p w14:paraId="5BFD0AEB" w14:textId="7F7FD5B5" w:rsidR="008F26D2" w:rsidRPr="00507C2D" w:rsidRDefault="00507C2D" w:rsidP="008F26D2">
      <w:pPr>
        <w:pStyle w:val="Prrafodelista"/>
        <w:numPr>
          <w:ilvl w:val="0"/>
          <w:numId w:val="22"/>
        </w:numPr>
        <w:jc w:val="both"/>
      </w:pPr>
      <w:r w:rsidRPr="00507C2D">
        <w:t>Indicadores de Gestión.</w:t>
      </w:r>
    </w:p>
    <w:p w14:paraId="6DF8E561" w14:textId="77777777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59B2B607" w14:textId="7BC19493" w:rsidR="00636ED6" w:rsidRPr="00636ED6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</w:t>
      </w:r>
      <w:r w:rsidR="00507C2D">
        <w:rPr>
          <w:rFonts w:ascii="Arial" w:hAnsi="Arial" w:cs="Arial"/>
          <w:b/>
          <w:sz w:val="22"/>
          <w:szCs w:val="22"/>
        </w:rPr>
        <w:t>5</w:t>
      </w:r>
      <w:r w:rsidR="00636ED6" w:rsidRPr="00636ED6">
        <w:rPr>
          <w:rFonts w:ascii="Arial" w:hAnsi="Arial" w:cs="Arial"/>
          <w:b/>
          <w:sz w:val="22"/>
          <w:szCs w:val="22"/>
        </w:rPr>
        <w:t>. Comunica Cambio.</w:t>
      </w:r>
    </w:p>
    <w:p w14:paraId="37FE0FC6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28AFE19E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Una vez aprobado por la Gerencia el cambio, se realiza la respectiva socialización del cambio junto con los controles a implementar. Para los casos de nuevos equipos o nuevos procesos se debe capacitar al personal así lo requiera el cambio. </w:t>
      </w:r>
    </w:p>
    <w:sectPr w:rsidR="00636ED6" w:rsidRPr="00636ED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FEF94" w14:textId="77777777" w:rsidR="00D22163" w:rsidRDefault="00D22163" w:rsidP="00756907">
      <w:r>
        <w:separator/>
      </w:r>
    </w:p>
  </w:endnote>
  <w:endnote w:type="continuationSeparator" w:id="0">
    <w:p w14:paraId="1BF373F4" w14:textId="77777777" w:rsidR="00D22163" w:rsidRDefault="00D22163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26812" w14:textId="77777777" w:rsidR="00D22163" w:rsidRDefault="00D22163" w:rsidP="00756907">
      <w:r>
        <w:separator/>
      </w:r>
    </w:p>
  </w:footnote>
  <w:footnote w:type="continuationSeparator" w:id="0">
    <w:p w14:paraId="2470D4C6" w14:textId="77777777" w:rsidR="00D22163" w:rsidRDefault="00D22163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56907" w:rsidRPr="00532608" w14:paraId="77CF2523" w14:textId="77777777" w:rsidTr="00DB6DB6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4BE593CA" w14:textId="77777777" w:rsidR="00756907" w:rsidRPr="00532608" w:rsidRDefault="000909E2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F18AD9D" wp14:editId="00C9305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1639BCD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255CE523" w14:textId="4CED4CBC" w:rsidR="00756907" w:rsidRPr="00532608" w:rsidRDefault="00756907" w:rsidP="00A30AD1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A30AD1">
            <w:rPr>
              <w:rFonts w:ascii="Arial" w:hAnsi="Arial" w:cs="Arial"/>
              <w:b/>
            </w:rPr>
            <w:t>22</w:t>
          </w:r>
          <w:r w:rsidR="00FF784C" w:rsidRPr="00FF784C">
            <w:rPr>
              <w:rFonts w:ascii="Arial" w:hAnsi="Arial" w:cs="Arial"/>
              <w:b/>
            </w:rPr>
            <w:t>/0</w:t>
          </w:r>
          <w:r w:rsidR="00425C55">
            <w:rPr>
              <w:rFonts w:ascii="Arial" w:hAnsi="Arial" w:cs="Arial"/>
              <w:b/>
            </w:rPr>
            <w:t>5</w:t>
          </w:r>
          <w:r w:rsidR="00FF784C" w:rsidRPr="00FF784C">
            <w:rPr>
              <w:rFonts w:ascii="Arial" w:hAnsi="Arial" w:cs="Arial"/>
              <w:b/>
            </w:rPr>
            <w:t>/2020</w:t>
          </w:r>
        </w:p>
      </w:tc>
    </w:tr>
    <w:tr w:rsidR="00756907" w:rsidRPr="00532608" w14:paraId="0A8EA04D" w14:textId="77777777" w:rsidTr="00DB6DB6">
      <w:trPr>
        <w:trHeight w:val="423"/>
        <w:jc w:val="center"/>
      </w:trPr>
      <w:tc>
        <w:tcPr>
          <w:tcW w:w="2802" w:type="dxa"/>
          <w:vMerge/>
          <w:vAlign w:val="center"/>
        </w:tcPr>
        <w:p w14:paraId="60D09D1C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E281C81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3DA58D5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756907" w:rsidRPr="00532608" w14:paraId="317994FD" w14:textId="77777777" w:rsidTr="00756907">
      <w:trPr>
        <w:trHeight w:val="842"/>
        <w:jc w:val="center"/>
      </w:trPr>
      <w:tc>
        <w:tcPr>
          <w:tcW w:w="2802" w:type="dxa"/>
          <w:vMerge/>
          <w:vAlign w:val="center"/>
        </w:tcPr>
        <w:p w14:paraId="1CA850F0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035CC0D" w14:textId="13B32B8A" w:rsidR="00756907" w:rsidRDefault="009619B2" w:rsidP="00A30AD1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PROCEDIMIENTO </w:t>
          </w:r>
          <w:r w:rsidR="00425C55">
            <w:rPr>
              <w:rFonts w:ascii="Arial" w:hAnsi="Arial" w:cs="Arial"/>
              <w:b/>
            </w:rPr>
            <w:t xml:space="preserve">DE </w:t>
          </w:r>
          <w:r w:rsidR="00A30AD1">
            <w:rPr>
              <w:rFonts w:ascii="Arial" w:hAnsi="Arial" w:cs="Arial"/>
              <w:b/>
            </w:rPr>
            <w:t>GESTION DEL CAMBIO</w:t>
          </w:r>
        </w:p>
      </w:tc>
      <w:tc>
        <w:tcPr>
          <w:tcW w:w="2142" w:type="dxa"/>
          <w:vAlign w:val="center"/>
        </w:tcPr>
        <w:p w14:paraId="2AE1BF6D" w14:textId="0421D386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9423C7">
            <w:rPr>
              <w:rFonts w:ascii="Arial" w:hAnsi="Arial" w:cs="Arial"/>
              <w:b/>
              <w:noProof/>
            </w:rPr>
            <w:t>5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9423C7">
            <w:rPr>
              <w:rFonts w:ascii="Arial" w:hAnsi="Arial" w:cs="Arial"/>
              <w:b/>
              <w:noProof/>
            </w:rPr>
            <w:t>5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196F"/>
      </v:shape>
    </w:pict>
  </w:numPicBullet>
  <w:numPicBullet w:numPicBulletId="1">
    <w:pict>
      <v:shape id="_x0000_i1108" type="#_x0000_t75" style="width:11.25pt;height:11.25pt" o:bullet="t">
        <v:imagedata r:id="rId2" o:title="mso7767"/>
      </v:shape>
    </w:pict>
  </w:numPicBullet>
  <w:abstractNum w:abstractNumId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5FC37DA"/>
    <w:multiLevelType w:val="hybridMultilevel"/>
    <w:tmpl w:val="A7C48CBA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75024"/>
    <w:multiLevelType w:val="hybridMultilevel"/>
    <w:tmpl w:val="51B8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45DEC"/>
    <w:multiLevelType w:val="multilevel"/>
    <w:tmpl w:val="D20A7E44"/>
    <w:styleLink w:val="WWNum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  <w:rPr>
        <w:b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65379"/>
    <w:multiLevelType w:val="hybridMultilevel"/>
    <w:tmpl w:val="0FC8E2AA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7583C"/>
    <w:multiLevelType w:val="hybridMultilevel"/>
    <w:tmpl w:val="9C2CB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C3B4E"/>
    <w:multiLevelType w:val="hybridMultilevel"/>
    <w:tmpl w:val="C8AABB6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65C49"/>
    <w:multiLevelType w:val="hybridMultilevel"/>
    <w:tmpl w:val="F18C0E46"/>
    <w:lvl w:ilvl="0" w:tplc="924CE1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41E6D"/>
    <w:multiLevelType w:val="hybridMultilevel"/>
    <w:tmpl w:val="C988E38E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F1400"/>
    <w:multiLevelType w:val="hybridMultilevel"/>
    <w:tmpl w:val="1EB091BC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2C206AC"/>
    <w:multiLevelType w:val="hybridMultilevel"/>
    <w:tmpl w:val="34AC003E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9CE4CF0"/>
    <w:multiLevelType w:val="hybridMultilevel"/>
    <w:tmpl w:val="910CE2F6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265630D"/>
    <w:multiLevelType w:val="hybridMultilevel"/>
    <w:tmpl w:val="488C8B84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6"/>
  </w:num>
  <w:num w:numId="12">
    <w:abstractNumId w:val="14"/>
  </w:num>
  <w:num w:numId="13">
    <w:abstractNumId w:val="2"/>
  </w:num>
  <w:num w:numId="14">
    <w:abstractNumId w:val="19"/>
  </w:num>
  <w:num w:numId="15">
    <w:abstractNumId w:val="5"/>
  </w:num>
  <w:num w:numId="16">
    <w:abstractNumId w:val="13"/>
  </w:num>
  <w:num w:numId="17">
    <w:abstractNumId w:val="15"/>
  </w:num>
  <w:num w:numId="18">
    <w:abstractNumId w:val="6"/>
  </w:num>
  <w:num w:numId="19">
    <w:abstractNumId w:val="21"/>
  </w:num>
  <w:num w:numId="20">
    <w:abstractNumId w:val="11"/>
  </w:num>
  <w:num w:numId="21">
    <w:abstractNumId w:val="8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1621A"/>
    <w:rsid w:val="00062798"/>
    <w:rsid w:val="000909E2"/>
    <w:rsid w:val="000F018E"/>
    <w:rsid w:val="001045DD"/>
    <w:rsid w:val="00190C49"/>
    <w:rsid w:val="001E3E5D"/>
    <w:rsid w:val="00233B8B"/>
    <w:rsid w:val="002D0B70"/>
    <w:rsid w:val="002E0879"/>
    <w:rsid w:val="002F3FEF"/>
    <w:rsid w:val="00300292"/>
    <w:rsid w:val="003F03F6"/>
    <w:rsid w:val="00425C55"/>
    <w:rsid w:val="00461B50"/>
    <w:rsid w:val="0049598D"/>
    <w:rsid w:val="004B7AE9"/>
    <w:rsid w:val="00507C2D"/>
    <w:rsid w:val="005369FB"/>
    <w:rsid w:val="00544007"/>
    <w:rsid w:val="0056134C"/>
    <w:rsid w:val="0057677D"/>
    <w:rsid w:val="00582E50"/>
    <w:rsid w:val="00636ED6"/>
    <w:rsid w:val="00671DCE"/>
    <w:rsid w:val="00674FE8"/>
    <w:rsid w:val="006F687D"/>
    <w:rsid w:val="0071201E"/>
    <w:rsid w:val="00756907"/>
    <w:rsid w:val="007C7559"/>
    <w:rsid w:val="007D37BF"/>
    <w:rsid w:val="007E3A0D"/>
    <w:rsid w:val="007F4720"/>
    <w:rsid w:val="008130FD"/>
    <w:rsid w:val="00865250"/>
    <w:rsid w:val="008C2F9E"/>
    <w:rsid w:val="008C3288"/>
    <w:rsid w:val="008F26D2"/>
    <w:rsid w:val="009423C7"/>
    <w:rsid w:val="009619B2"/>
    <w:rsid w:val="009750C7"/>
    <w:rsid w:val="00987B33"/>
    <w:rsid w:val="009D53C1"/>
    <w:rsid w:val="009E590B"/>
    <w:rsid w:val="009E7522"/>
    <w:rsid w:val="00A10C3A"/>
    <w:rsid w:val="00A17268"/>
    <w:rsid w:val="00A30AD1"/>
    <w:rsid w:val="00A459CF"/>
    <w:rsid w:val="00B27098"/>
    <w:rsid w:val="00B54023"/>
    <w:rsid w:val="00B62FBF"/>
    <w:rsid w:val="00B633C1"/>
    <w:rsid w:val="00B7146E"/>
    <w:rsid w:val="00BA36E2"/>
    <w:rsid w:val="00CA25E6"/>
    <w:rsid w:val="00D07F83"/>
    <w:rsid w:val="00D20BD5"/>
    <w:rsid w:val="00D22163"/>
    <w:rsid w:val="00E22AAD"/>
    <w:rsid w:val="00EA3638"/>
    <w:rsid w:val="00F41EB3"/>
    <w:rsid w:val="00F614F2"/>
    <w:rsid w:val="00F71FBD"/>
    <w:rsid w:val="00FA6026"/>
    <w:rsid w:val="00FC31F4"/>
    <w:rsid w:val="00FC583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  <w:style w:type="paragraph" w:styleId="NormalWeb">
    <w:name w:val="Normal (Web)"/>
    <w:basedOn w:val="Normal"/>
    <w:uiPriority w:val="99"/>
    <w:semiHidden/>
    <w:unhideWhenUsed/>
    <w:rsid w:val="005369FB"/>
    <w:pPr>
      <w:spacing w:before="100" w:beforeAutospacing="1" w:after="100" w:afterAutospacing="1"/>
    </w:pPr>
    <w:rPr>
      <w:lang w:val="es-CO" w:eastAsia="es-CO"/>
    </w:rPr>
  </w:style>
  <w:style w:type="paragraph" w:customStyle="1" w:styleId="a">
    <w:basedOn w:val="Normal"/>
    <w:next w:val="Puesto"/>
    <w:link w:val="PuestoCar"/>
    <w:qFormat/>
    <w:rsid w:val="00FC583D"/>
    <w:pPr>
      <w:jc w:val="center"/>
    </w:pPr>
    <w:rPr>
      <w:rFonts w:ascii="Arial" w:eastAsiaTheme="minorHAnsi" w:hAnsi="Arial" w:cs="Arial"/>
      <w:b/>
      <w:sz w:val="28"/>
      <w:szCs w:val="28"/>
      <w:lang w:val="es-CO"/>
    </w:rPr>
  </w:style>
  <w:style w:type="character" w:customStyle="1" w:styleId="PuestoCar">
    <w:name w:val="Puesto Car"/>
    <w:link w:val="a"/>
    <w:rsid w:val="00FC583D"/>
    <w:rPr>
      <w:rFonts w:ascii="Arial" w:hAnsi="Arial" w:cs="Arial"/>
      <w:b/>
      <w:sz w:val="28"/>
      <w:szCs w:val="28"/>
      <w:lang w:eastAsia="es-ES"/>
    </w:rPr>
  </w:style>
  <w:style w:type="paragraph" w:styleId="Puesto">
    <w:name w:val="Title"/>
    <w:basedOn w:val="Normal"/>
    <w:next w:val="Normal"/>
    <w:link w:val="PuestoCar1"/>
    <w:uiPriority w:val="10"/>
    <w:qFormat/>
    <w:rsid w:val="00FC5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1">
    <w:name w:val="Puesto Car1"/>
    <w:basedOn w:val="Fuentedeprrafopredeter"/>
    <w:link w:val="Puesto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numbering" w:customStyle="1" w:styleId="WWNum1">
    <w:name w:val="WWNum1"/>
    <w:basedOn w:val="Sinlista"/>
    <w:rsid w:val="00636ED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excavaciones correa mejia</cp:lastModifiedBy>
  <cp:revision>5</cp:revision>
  <cp:lastPrinted>2022-05-20T19:48:00Z</cp:lastPrinted>
  <dcterms:created xsi:type="dcterms:W3CDTF">2021-09-27T20:49:00Z</dcterms:created>
  <dcterms:modified xsi:type="dcterms:W3CDTF">2022-05-20T19:49:00Z</dcterms:modified>
</cp:coreProperties>
</file>