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DFA61" w14:textId="77777777" w:rsidR="00B633C1" w:rsidRPr="003559D8" w:rsidRDefault="00B633C1" w:rsidP="00582E50">
      <w:pPr>
        <w:jc w:val="both"/>
        <w:rPr>
          <w:rFonts w:ascii="Arial" w:hAnsi="Arial" w:cs="Arial"/>
          <w:color w:val="000000" w:themeColor="text1"/>
        </w:rPr>
      </w:pPr>
    </w:p>
    <w:p w14:paraId="708E27E8" w14:textId="77777777" w:rsidR="009619B2" w:rsidRPr="003559D8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</w:rPr>
      </w:pPr>
      <w:r w:rsidRPr="003559D8">
        <w:rPr>
          <w:rFonts w:ascii="Arial" w:hAnsi="Arial" w:cs="Arial"/>
          <w:b/>
          <w:bCs/>
        </w:rPr>
        <w:t xml:space="preserve">OBJETIVO </w:t>
      </w:r>
    </w:p>
    <w:p w14:paraId="189DDA52" w14:textId="77777777" w:rsidR="009619B2" w:rsidRPr="003559D8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</w:rPr>
      </w:pPr>
    </w:p>
    <w:p w14:paraId="616D2B8F" w14:textId="0489F2FE" w:rsidR="00D20BD5" w:rsidRPr="003559D8" w:rsidRDefault="00A30AD1" w:rsidP="00D20BD5">
      <w:pPr>
        <w:spacing w:line="276" w:lineRule="auto"/>
        <w:ind w:left="360"/>
        <w:jc w:val="both"/>
        <w:rPr>
          <w:rFonts w:ascii="Arial" w:hAnsi="Arial" w:cs="Arial"/>
          <w:bCs/>
        </w:rPr>
      </w:pPr>
      <w:r w:rsidRPr="003559D8">
        <w:rPr>
          <w:rFonts w:ascii="Arial" w:hAnsi="Arial" w:cs="Arial"/>
          <w:bCs/>
        </w:rPr>
        <w:t xml:space="preserve">Establecer </w:t>
      </w:r>
      <w:r w:rsidR="00434D7B" w:rsidRPr="003559D8">
        <w:rPr>
          <w:rFonts w:ascii="Arial" w:hAnsi="Arial" w:cs="Arial"/>
          <w:bCs/>
        </w:rPr>
        <w:t>la metodología para realizar la rendición de cuentas frente al Sistema de Gestión de Seguridad y Salud en el Trabajo – SG-SST, con el fin de identificar oportunidades de mejora, necesidad de implementación de acciones correctivas, preventivas y de mejora.</w:t>
      </w:r>
      <w:r w:rsidRPr="003559D8">
        <w:rPr>
          <w:rFonts w:ascii="Arial" w:hAnsi="Arial" w:cs="Arial"/>
          <w:bCs/>
        </w:rPr>
        <w:t xml:space="preserve"> </w:t>
      </w:r>
    </w:p>
    <w:p w14:paraId="2C7896EE" w14:textId="7E10B142" w:rsidR="009619B2" w:rsidRPr="003559D8" w:rsidRDefault="009619B2" w:rsidP="00D20BD5">
      <w:pPr>
        <w:spacing w:line="276" w:lineRule="auto"/>
        <w:ind w:left="360"/>
        <w:jc w:val="both"/>
        <w:rPr>
          <w:rFonts w:ascii="Arial" w:hAnsi="Arial" w:cs="Arial"/>
          <w:b/>
          <w:bCs/>
        </w:rPr>
      </w:pPr>
      <w:r w:rsidRPr="003559D8">
        <w:rPr>
          <w:rFonts w:ascii="Arial" w:hAnsi="Arial" w:cs="Arial"/>
          <w:bCs/>
        </w:rPr>
        <w:t xml:space="preserve"> </w:t>
      </w:r>
    </w:p>
    <w:p w14:paraId="2942E6BA" w14:textId="77777777" w:rsidR="009619B2" w:rsidRPr="003559D8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</w:rPr>
      </w:pPr>
      <w:r w:rsidRPr="003559D8">
        <w:rPr>
          <w:rFonts w:ascii="Arial" w:hAnsi="Arial" w:cs="Arial"/>
          <w:b/>
          <w:bCs/>
        </w:rPr>
        <w:t xml:space="preserve">ALCANCE </w:t>
      </w:r>
    </w:p>
    <w:p w14:paraId="069A453E" w14:textId="77777777" w:rsidR="009619B2" w:rsidRPr="003559D8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675EFC91" w14:textId="00ADFBE9" w:rsidR="009619B2" w:rsidRPr="003559D8" w:rsidRDefault="00425C55" w:rsidP="00434D7B">
      <w:pPr>
        <w:spacing w:line="276" w:lineRule="auto"/>
        <w:ind w:left="284"/>
        <w:jc w:val="both"/>
        <w:rPr>
          <w:rFonts w:ascii="Arial" w:hAnsi="Arial" w:cs="Arial"/>
          <w:bCs/>
        </w:rPr>
      </w:pPr>
      <w:r w:rsidRPr="003559D8">
        <w:rPr>
          <w:rFonts w:ascii="Arial" w:hAnsi="Arial" w:cs="Arial"/>
          <w:bCs/>
        </w:rPr>
        <w:t xml:space="preserve">Este procedimiento </w:t>
      </w:r>
      <w:r w:rsidR="00434D7B" w:rsidRPr="003559D8">
        <w:rPr>
          <w:rFonts w:ascii="Arial" w:hAnsi="Arial" w:cs="Arial"/>
          <w:bCs/>
        </w:rPr>
        <w:t>aplica a las actividades que hacen parte del Sistema de Gestión de Seguridad y Salud en el Trabajo – SG-SST, desde la planeación, el hacer, el verificar y el actuar</w:t>
      </w:r>
    </w:p>
    <w:p w14:paraId="2DA5BFB6" w14:textId="77777777" w:rsidR="00434D7B" w:rsidRPr="003559D8" w:rsidRDefault="00434D7B" w:rsidP="00434D7B">
      <w:pPr>
        <w:spacing w:line="276" w:lineRule="auto"/>
        <w:ind w:left="284"/>
        <w:jc w:val="both"/>
        <w:rPr>
          <w:rFonts w:ascii="Arial" w:hAnsi="Arial" w:cs="Arial"/>
          <w:bCs/>
        </w:rPr>
      </w:pPr>
    </w:p>
    <w:p w14:paraId="66E092C5" w14:textId="77777777" w:rsidR="009619B2" w:rsidRPr="003559D8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</w:rPr>
      </w:pPr>
      <w:r w:rsidRPr="003559D8">
        <w:rPr>
          <w:rFonts w:ascii="Arial" w:hAnsi="Arial" w:cs="Arial"/>
          <w:b/>
          <w:bCs/>
        </w:rPr>
        <w:t>RESPONSABILIDAD Y AUTORIDAD</w:t>
      </w:r>
    </w:p>
    <w:p w14:paraId="506B74B8" w14:textId="77777777" w:rsidR="009619B2" w:rsidRPr="003559D8" w:rsidRDefault="009619B2" w:rsidP="009619B2">
      <w:pPr>
        <w:spacing w:line="276" w:lineRule="auto"/>
        <w:ind w:left="720"/>
        <w:jc w:val="both"/>
        <w:rPr>
          <w:rFonts w:ascii="Arial" w:hAnsi="Arial" w:cs="Arial"/>
          <w:b/>
          <w:bCs/>
        </w:rPr>
      </w:pPr>
    </w:p>
    <w:p w14:paraId="3B40AAD9" w14:textId="4B709818" w:rsidR="00671DCE" w:rsidRPr="003559D8" w:rsidRDefault="0071201E" w:rsidP="005369FB">
      <w:pPr>
        <w:spacing w:line="276" w:lineRule="auto"/>
        <w:ind w:left="284"/>
        <w:jc w:val="both"/>
        <w:rPr>
          <w:rFonts w:ascii="Arial" w:hAnsi="Arial" w:cs="Arial"/>
          <w:bCs/>
        </w:rPr>
      </w:pPr>
      <w:r w:rsidRPr="003559D8">
        <w:rPr>
          <w:rFonts w:ascii="Arial" w:hAnsi="Arial" w:cs="Arial"/>
          <w:b/>
          <w:bCs/>
          <w:color w:val="000000" w:themeColor="text1"/>
        </w:rPr>
        <w:t>Gerente</w:t>
      </w:r>
      <w:r w:rsidR="00671DCE" w:rsidRPr="003559D8">
        <w:rPr>
          <w:rFonts w:ascii="Arial" w:hAnsi="Arial" w:cs="Arial"/>
          <w:b/>
          <w:bCs/>
          <w:color w:val="000000" w:themeColor="text1"/>
        </w:rPr>
        <w:t xml:space="preserve">: </w:t>
      </w:r>
      <w:r w:rsidR="00434D7B" w:rsidRPr="003559D8">
        <w:rPr>
          <w:rFonts w:ascii="Arial" w:hAnsi="Arial" w:cs="Arial"/>
          <w:bCs/>
        </w:rPr>
        <w:t xml:space="preserve">se encarga de revisar, evaluar e informar los resultados del SGSST a todo el personal, incluida las acciones de mejora definidas en la revisión gerencial. </w:t>
      </w:r>
    </w:p>
    <w:p w14:paraId="3987BE7D" w14:textId="77777777" w:rsidR="00434D7B" w:rsidRPr="003559D8" w:rsidRDefault="00434D7B" w:rsidP="005369FB">
      <w:pPr>
        <w:spacing w:line="276" w:lineRule="auto"/>
        <w:ind w:left="284"/>
        <w:jc w:val="both"/>
        <w:rPr>
          <w:rFonts w:ascii="Arial" w:hAnsi="Arial" w:cs="Arial"/>
          <w:bCs/>
          <w:color w:val="FF0000"/>
        </w:rPr>
      </w:pPr>
    </w:p>
    <w:p w14:paraId="7917B5FB" w14:textId="4893547A" w:rsidR="00434D7B" w:rsidRPr="003559D8" w:rsidRDefault="000B0BAE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COPASST</w:t>
      </w:r>
      <w:r w:rsidR="005369FB" w:rsidRPr="003559D8">
        <w:rPr>
          <w:rFonts w:ascii="Arial" w:hAnsi="Arial" w:cs="Arial"/>
          <w:b/>
          <w:bCs/>
          <w:color w:val="000000" w:themeColor="text1"/>
        </w:rPr>
        <w:t xml:space="preserve">: </w:t>
      </w:r>
      <w:r w:rsidR="00434D7B" w:rsidRPr="003559D8">
        <w:rPr>
          <w:rFonts w:ascii="Arial" w:hAnsi="Arial" w:cs="Arial"/>
          <w:bCs/>
          <w:color w:val="000000" w:themeColor="text1"/>
        </w:rPr>
        <w:t xml:space="preserve">Encargado de realizar el análisis de la rendición de cuentas en el marco de referencia a la mejora </w:t>
      </w:r>
      <w:proofErr w:type="gramStart"/>
      <w:r w:rsidRPr="003559D8">
        <w:rPr>
          <w:rFonts w:ascii="Arial" w:hAnsi="Arial" w:cs="Arial"/>
          <w:bCs/>
          <w:color w:val="000000" w:themeColor="text1"/>
        </w:rPr>
        <w:t>continua</w:t>
      </w:r>
      <w:proofErr w:type="gramEnd"/>
      <w:r w:rsidR="00434D7B" w:rsidRPr="003559D8">
        <w:rPr>
          <w:rFonts w:ascii="Arial" w:hAnsi="Arial" w:cs="Arial"/>
          <w:bCs/>
          <w:color w:val="000000" w:themeColor="text1"/>
        </w:rPr>
        <w:t xml:space="preserve"> del SG-SST.</w:t>
      </w:r>
    </w:p>
    <w:p w14:paraId="39AA128C" w14:textId="77777777" w:rsidR="00434D7B" w:rsidRPr="003559D8" w:rsidRDefault="00434D7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</w:rPr>
      </w:pPr>
    </w:p>
    <w:p w14:paraId="6D4D3E05" w14:textId="5578ABB8" w:rsidR="005369FB" w:rsidRPr="003559D8" w:rsidRDefault="00434D7B" w:rsidP="005369FB">
      <w:pPr>
        <w:spacing w:line="276" w:lineRule="auto"/>
        <w:ind w:left="284"/>
        <w:jc w:val="both"/>
        <w:rPr>
          <w:rFonts w:ascii="Arial" w:hAnsi="Arial" w:cs="Arial"/>
          <w:bCs/>
          <w:color w:val="000000" w:themeColor="text1"/>
        </w:rPr>
      </w:pPr>
      <w:r w:rsidRPr="003559D8">
        <w:rPr>
          <w:rFonts w:ascii="Arial" w:hAnsi="Arial" w:cs="Arial"/>
          <w:b/>
          <w:bCs/>
          <w:color w:val="000000" w:themeColor="text1"/>
        </w:rPr>
        <w:t xml:space="preserve">Comité de Convivencia Laboral: </w:t>
      </w:r>
      <w:r w:rsidRPr="003559D8">
        <w:rPr>
          <w:rFonts w:ascii="Arial" w:hAnsi="Arial" w:cs="Arial"/>
          <w:bCs/>
          <w:color w:val="000000" w:themeColor="text1"/>
        </w:rPr>
        <w:t>Encargado de realizar el análisis de la rendición de cuentas en el marco de prevención de casos de acoso laboral.</w:t>
      </w:r>
      <w:r w:rsidR="0071201E" w:rsidRPr="003559D8">
        <w:rPr>
          <w:rFonts w:ascii="Arial" w:hAnsi="Arial" w:cs="Arial"/>
          <w:bCs/>
          <w:color w:val="000000" w:themeColor="text1"/>
        </w:rPr>
        <w:t xml:space="preserve"> </w:t>
      </w:r>
    </w:p>
    <w:p w14:paraId="7680949D" w14:textId="77777777" w:rsidR="009619B2" w:rsidRPr="003559D8" w:rsidRDefault="009619B2" w:rsidP="009619B2">
      <w:pPr>
        <w:spacing w:line="276" w:lineRule="auto"/>
        <w:ind w:left="360"/>
        <w:jc w:val="both"/>
        <w:rPr>
          <w:rFonts w:ascii="Arial" w:hAnsi="Arial" w:cs="Arial"/>
          <w:bCs/>
        </w:rPr>
      </w:pPr>
    </w:p>
    <w:p w14:paraId="3DD23A9B" w14:textId="77777777" w:rsidR="009619B2" w:rsidRPr="003559D8" w:rsidRDefault="009619B2" w:rsidP="003559D8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  <w:bCs/>
        </w:rPr>
      </w:pPr>
      <w:r w:rsidRPr="003559D8">
        <w:rPr>
          <w:rFonts w:ascii="Arial" w:hAnsi="Arial" w:cs="Arial"/>
          <w:b/>
          <w:bCs/>
        </w:rPr>
        <w:t xml:space="preserve">CONSIDERACIONES GENERALES </w:t>
      </w:r>
    </w:p>
    <w:p w14:paraId="451F119E" w14:textId="77777777" w:rsidR="009619B2" w:rsidRPr="003559D8" w:rsidRDefault="009619B2" w:rsidP="003559D8">
      <w:pPr>
        <w:spacing w:line="276" w:lineRule="auto"/>
        <w:jc w:val="both"/>
        <w:rPr>
          <w:rFonts w:ascii="Arial" w:hAnsi="Arial" w:cs="Arial"/>
          <w:b/>
          <w:bCs/>
        </w:rPr>
      </w:pPr>
    </w:p>
    <w:p w14:paraId="47363587" w14:textId="25F9A7FF" w:rsidR="0071201E" w:rsidRPr="003559D8" w:rsidRDefault="005C3AE6" w:rsidP="003559D8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</w:pPr>
      <w:r w:rsidRPr="003559D8"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  <w:t xml:space="preserve">La gerencia asigna las responsabilidades en el marco de la seguridad y la salud en el trabajo a todos los niveles de la organización. </w:t>
      </w:r>
    </w:p>
    <w:p w14:paraId="75AE970F" w14:textId="7B61540B" w:rsidR="005C3AE6" w:rsidRPr="003559D8" w:rsidRDefault="005C3AE6" w:rsidP="003559D8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</w:pPr>
      <w:r w:rsidRPr="003559D8"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  <w:t xml:space="preserve">La rendición de cuentas se realiza de manera anual de acuerdo </w:t>
      </w:r>
      <w:r w:rsidR="003559D8" w:rsidRPr="003559D8"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  <w:t>al mecanismo</w:t>
      </w:r>
      <w:r w:rsidRPr="003559D8"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  <w:t xml:space="preserve"> definidos en el presente procedimiento.</w:t>
      </w:r>
    </w:p>
    <w:p w14:paraId="6F16C812" w14:textId="1EF2BF58" w:rsidR="005C3AE6" w:rsidRPr="003559D8" w:rsidRDefault="003559D8" w:rsidP="003559D8">
      <w:pPr>
        <w:pStyle w:val="Prrafodelista"/>
        <w:numPr>
          <w:ilvl w:val="0"/>
          <w:numId w:val="11"/>
        </w:numPr>
        <w:jc w:val="both"/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</w:pPr>
      <w:r w:rsidRPr="003559D8"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  <w:t>Las rendiciones de cuentas deben siempre</w:t>
      </w:r>
      <w:r w:rsidR="005C3AE6" w:rsidRPr="003559D8">
        <w:rPr>
          <w:rFonts w:eastAsia="Times New Roman"/>
          <w:bCs/>
          <w:color w:val="000000" w:themeColor="text1"/>
          <w:sz w:val="24"/>
          <w:szCs w:val="24"/>
          <w:lang w:val="es-ES" w:eastAsia="es-ES"/>
        </w:rPr>
        <w:t xml:space="preserve"> presentarse en físico. </w:t>
      </w:r>
    </w:p>
    <w:p w14:paraId="66B53A9D" w14:textId="6D7C57A6" w:rsidR="009619B2" w:rsidRDefault="009619B2" w:rsidP="009619B2">
      <w:pPr>
        <w:spacing w:line="276" w:lineRule="auto"/>
        <w:ind w:left="720"/>
        <w:jc w:val="both"/>
        <w:rPr>
          <w:rFonts w:ascii="Arial" w:hAnsi="Arial" w:cs="Arial"/>
          <w:bCs/>
        </w:rPr>
      </w:pPr>
    </w:p>
    <w:p w14:paraId="563B70F1" w14:textId="2186A3FE" w:rsidR="003559D8" w:rsidRDefault="003559D8" w:rsidP="009619B2">
      <w:pPr>
        <w:spacing w:line="276" w:lineRule="auto"/>
        <w:ind w:left="720"/>
        <w:jc w:val="both"/>
        <w:rPr>
          <w:rFonts w:ascii="Arial" w:hAnsi="Arial" w:cs="Arial"/>
          <w:bCs/>
        </w:rPr>
      </w:pPr>
    </w:p>
    <w:p w14:paraId="454E1B31" w14:textId="77777777" w:rsidR="003559D8" w:rsidRPr="003559D8" w:rsidRDefault="003559D8" w:rsidP="009619B2">
      <w:pPr>
        <w:spacing w:line="276" w:lineRule="auto"/>
        <w:ind w:left="720"/>
        <w:jc w:val="both"/>
        <w:rPr>
          <w:rFonts w:ascii="Arial" w:hAnsi="Arial" w:cs="Arial"/>
          <w:bCs/>
        </w:rPr>
      </w:pPr>
    </w:p>
    <w:p w14:paraId="519691D2" w14:textId="77777777" w:rsidR="009619B2" w:rsidRPr="003559D8" w:rsidRDefault="009619B2" w:rsidP="009619B2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Cs/>
        </w:rPr>
      </w:pPr>
      <w:r w:rsidRPr="003559D8">
        <w:rPr>
          <w:rFonts w:ascii="Arial" w:hAnsi="Arial" w:cs="Arial"/>
          <w:b/>
          <w:bCs/>
        </w:rPr>
        <w:lastRenderedPageBreak/>
        <w:t xml:space="preserve">DEFINICIONES </w:t>
      </w:r>
    </w:p>
    <w:p w14:paraId="1864F7A3" w14:textId="77777777" w:rsidR="009619B2" w:rsidRPr="003559D8" w:rsidRDefault="009619B2" w:rsidP="009619B2">
      <w:pPr>
        <w:spacing w:line="276" w:lineRule="auto"/>
        <w:jc w:val="both"/>
        <w:rPr>
          <w:rFonts w:ascii="Arial" w:hAnsi="Arial" w:cs="Arial"/>
          <w:bCs/>
        </w:rPr>
      </w:pPr>
    </w:p>
    <w:p w14:paraId="2A3CF0C5" w14:textId="15CEB33B" w:rsidR="00434D7B" w:rsidRPr="003559D8" w:rsidRDefault="00434D7B" w:rsidP="00434D7B">
      <w:pPr>
        <w:pStyle w:val="Prrafodelista"/>
        <w:widowControl w:val="0"/>
        <w:autoSpaceDE w:val="0"/>
        <w:autoSpaceDN w:val="0"/>
        <w:adjustRightInd w:val="0"/>
        <w:spacing w:after="0"/>
        <w:ind w:left="284"/>
        <w:jc w:val="both"/>
        <w:rPr>
          <w:bCs/>
          <w:sz w:val="24"/>
          <w:szCs w:val="24"/>
        </w:rPr>
      </w:pPr>
      <w:r w:rsidRPr="003559D8">
        <w:rPr>
          <w:b/>
          <w:bCs/>
          <w:sz w:val="24"/>
          <w:szCs w:val="24"/>
        </w:rPr>
        <w:t>Rendición de cuentas:</w:t>
      </w:r>
      <w:r w:rsidRPr="003559D8">
        <w:rPr>
          <w:bCs/>
          <w:sz w:val="24"/>
          <w:szCs w:val="24"/>
        </w:rPr>
        <w:t xml:space="preserve"> Mecanismo por medio del cual las personas y empresas informan sobre su desempeño.</w:t>
      </w:r>
    </w:p>
    <w:p w14:paraId="423EF28C" w14:textId="77777777" w:rsidR="00434D7B" w:rsidRPr="003559D8" w:rsidRDefault="00434D7B" w:rsidP="00FA6026">
      <w:pPr>
        <w:spacing w:line="276" w:lineRule="auto"/>
        <w:ind w:left="284"/>
        <w:jc w:val="both"/>
        <w:rPr>
          <w:rFonts w:ascii="Arial" w:hAnsi="Arial" w:cs="Arial"/>
          <w:b/>
          <w:bCs/>
        </w:rPr>
      </w:pPr>
    </w:p>
    <w:p w14:paraId="0C4CCF33" w14:textId="53479DAE" w:rsidR="00FA6026" w:rsidRPr="003559D8" w:rsidRDefault="00434D7B" w:rsidP="00FA6026">
      <w:pPr>
        <w:spacing w:line="276" w:lineRule="auto"/>
        <w:ind w:left="284"/>
        <w:jc w:val="both"/>
        <w:rPr>
          <w:rFonts w:ascii="Arial" w:hAnsi="Arial" w:cs="Arial"/>
          <w:b/>
          <w:bCs/>
        </w:rPr>
      </w:pPr>
      <w:r w:rsidRPr="003559D8">
        <w:rPr>
          <w:rFonts w:ascii="Arial" w:hAnsi="Arial" w:cs="Arial"/>
          <w:b/>
          <w:bCs/>
        </w:rPr>
        <w:t>SG-</w:t>
      </w:r>
      <w:r w:rsidR="00FA6026" w:rsidRPr="003559D8">
        <w:rPr>
          <w:rFonts w:ascii="Arial" w:hAnsi="Arial" w:cs="Arial"/>
          <w:b/>
          <w:bCs/>
        </w:rPr>
        <w:t xml:space="preserve">SST: </w:t>
      </w:r>
      <w:r w:rsidRPr="003559D8">
        <w:rPr>
          <w:rFonts w:ascii="Arial" w:hAnsi="Arial" w:cs="Arial"/>
          <w:bCs/>
        </w:rPr>
        <w:t>Sistema de Gestión de la Seguridad y</w:t>
      </w:r>
      <w:r w:rsidR="00FA6026" w:rsidRPr="003559D8">
        <w:rPr>
          <w:rFonts w:ascii="Arial" w:hAnsi="Arial" w:cs="Arial"/>
          <w:bCs/>
        </w:rPr>
        <w:t xml:space="preserve"> Salud en el Trabajo</w:t>
      </w:r>
    </w:p>
    <w:p w14:paraId="37FD6729" w14:textId="77777777" w:rsidR="005369FB" w:rsidRPr="003559D8" w:rsidRDefault="005369FB" w:rsidP="005369FB">
      <w:pPr>
        <w:spacing w:line="276" w:lineRule="auto"/>
        <w:ind w:left="644"/>
        <w:jc w:val="both"/>
        <w:rPr>
          <w:rFonts w:ascii="Arial" w:hAnsi="Arial" w:cs="Arial"/>
          <w:bCs/>
        </w:rPr>
      </w:pPr>
    </w:p>
    <w:p w14:paraId="0F6B5595" w14:textId="597D760A" w:rsidR="005369FB" w:rsidRPr="003559D8" w:rsidRDefault="005C3AE6" w:rsidP="005369FB">
      <w:pPr>
        <w:numPr>
          <w:ilvl w:val="0"/>
          <w:numId w:val="10"/>
        </w:numPr>
        <w:spacing w:line="276" w:lineRule="auto"/>
        <w:jc w:val="both"/>
        <w:rPr>
          <w:rFonts w:ascii="Arial" w:hAnsi="Arial" w:cs="Arial"/>
          <w:b/>
        </w:rPr>
      </w:pPr>
      <w:r w:rsidRPr="003559D8">
        <w:rPr>
          <w:rFonts w:ascii="Arial" w:hAnsi="Arial" w:cs="Arial"/>
          <w:b/>
        </w:rPr>
        <w:t>PROCEDIMIENTO</w:t>
      </w:r>
    </w:p>
    <w:p w14:paraId="6AE51C92" w14:textId="77777777" w:rsidR="005C3AE6" w:rsidRPr="003559D8" w:rsidRDefault="005C3AE6" w:rsidP="005C3AE6">
      <w:pPr>
        <w:pStyle w:val="Prrafodelista"/>
        <w:ind w:left="360"/>
        <w:jc w:val="both"/>
        <w:rPr>
          <w:b/>
          <w:sz w:val="24"/>
          <w:szCs w:val="24"/>
        </w:rPr>
      </w:pPr>
    </w:p>
    <w:p w14:paraId="226E2079" w14:textId="77777777" w:rsidR="005C3AE6" w:rsidRPr="003559D8" w:rsidRDefault="005C3AE6" w:rsidP="005C3AE6">
      <w:pPr>
        <w:pStyle w:val="Prrafodelista"/>
        <w:ind w:left="360"/>
        <w:jc w:val="both"/>
        <w:rPr>
          <w:sz w:val="24"/>
          <w:szCs w:val="24"/>
        </w:rPr>
      </w:pPr>
      <w:r w:rsidRPr="003559D8">
        <w:rPr>
          <w:sz w:val="24"/>
          <w:szCs w:val="24"/>
        </w:rPr>
        <w:t>El mecanismo de rendición de cuentas para dar cumplimiento al Decreto 1072 de 2015 Articulo 2.2.4.6.2, numeral 30 se define lo siguiente:</w:t>
      </w:r>
    </w:p>
    <w:p w14:paraId="6045041A" w14:textId="77777777" w:rsidR="005C3AE6" w:rsidRPr="003559D8" w:rsidRDefault="005C3AE6" w:rsidP="005C3AE6">
      <w:pPr>
        <w:pStyle w:val="Prrafodelista"/>
        <w:ind w:left="360"/>
        <w:jc w:val="both"/>
        <w:rPr>
          <w:sz w:val="24"/>
          <w:szCs w:val="24"/>
        </w:rPr>
      </w:pPr>
    </w:p>
    <w:p w14:paraId="539E1652" w14:textId="1310FE2A" w:rsidR="005C3AE6" w:rsidRPr="003559D8" w:rsidRDefault="005C3AE6" w:rsidP="005C3AE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3559D8">
        <w:rPr>
          <w:b/>
          <w:sz w:val="24"/>
          <w:szCs w:val="24"/>
        </w:rPr>
        <w:t xml:space="preserve">Reuniones mensuales del </w:t>
      </w:r>
      <w:r w:rsidR="000B0BAE">
        <w:rPr>
          <w:b/>
          <w:sz w:val="24"/>
          <w:szCs w:val="24"/>
        </w:rPr>
        <w:t>COPASST</w:t>
      </w:r>
      <w:r w:rsidRPr="003559D8">
        <w:rPr>
          <w:b/>
          <w:sz w:val="24"/>
          <w:szCs w:val="24"/>
        </w:rPr>
        <w:t xml:space="preserve">: </w:t>
      </w:r>
      <w:r w:rsidRPr="003559D8">
        <w:rPr>
          <w:sz w:val="24"/>
          <w:szCs w:val="24"/>
        </w:rPr>
        <w:t xml:space="preserve">En la </w:t>
      </w:r>
      <w:r w:rsidR="00C41022" w:rsidRPr="003559D8">
        <w:rPr>
          <w:sz w:val="24"/>
          <w:szCs w:val="24"/>
        </w:rPr>
        <w:t>última</w:t>
      </w:r>
      <w:r w:rsidRPr="003559D8">
        <w:rPr>
          <w:sz w:val="24"/>
          <w:szCs w:val="24"/>
        </w:rPr>
        <w:t xml:space="preserve"> reunión se realiza cierre del año, rindiendo cuenta de los resultados obtenidos </w:t>
      </w:r>
      <w:r w:rsidR="00C41022" w:rsidRPr="003559D8">
        <w:rPr>
          <w:sz w:val="24"/>
          <w:szCs w:val="24"/>
        </w:rPr>
        <w:t>en el cumplimiento del plan de</w:t>
      </w:r>
      <w:bookmarkStart w:id="0" w:name="_GoBack"/>
      <w:bookmarkEnd w:id="0"/>
      <w:r w:rsidR="00C41022" w:rsidRPr="003559D8">
        <w:rPr>
          <w:sz w:val="24"/>
          <w:szCs w:val="24"/>
        </w:rPr>
        <w:t xml:space="preserve"> trabajo anual, cronograma de capacitaciones, reuniones del </w:t>
      </w:r>
      <w:r w:rsidR="000B0BAE">
        <w:rPr>
          <w:sz w:val="24"/>
          <w:szCs w:val="24"/>
        </w:rPr>
        <w:t>COPASST</w:t>
      </w:r>
      <w:r w:rsidR="00C41022" w:rsidRPr="003559D8">
        <w:rPr>
          <w:sz w:val="24"/>
          <w:szCs w:val="24"/>
        </w:rPr>
        <w:t>, indicadores de acuerdo al artículo 30 de la resolución 0312 de 2019, presupuesto, cierre de planes de mejoramiento, accidentalidad, entre otros que considere importante.</w:t>
      </w:r>
      <w:r w:rsidR="00C41022" w:rsidRPr="003559D8">
        <w:rPr>
          <w:b/>
          <w:sz w:val="24"/>
          <w:szCs w:val="24"/>
        </w:rPr>
        <w:t xml:space="preserve"> </w:t>
      </w:r>
    </w:p>
    <w:p w14:paraId="4E89974B" w14:textId="61EB21C8" w:rsidR="00C41022" w:rsidRPr="003559D8" w:rsidRDefault="003559D8" w:rsidP="005C3AE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3559D8">
        <w:rPr>
          <w:b/>
          <w:sz w:val="24"/>
          <w:szCs w:val="24"/>
        </w:rPr>
        <w:t>Reuniones trimestrales</w:t>
      </w:r>
      <w:r w:rsidR="00DA17C2" w:rsidRPr="003559D8">
        <w:rPr>
          <w:b/>
          <w:sz w:val="24"/>
          <w:szCs w:val="24"/>
        </w:rPr>
        <w:t xml:space="preserve"> </w:t>
      </w:r>
      <w:r w:rsidR="00C41022" w:rsidRPr="003559D8">
        <w:rPr>
          <w:b/>
          <w:sz w:val="24"/>
          <w:szCs w:val="24"/>
        </w:rPr>
        <w:t>de Convivencia Laboral</w:t>
      </w:r>
      <w:r w:rsidRPr="003559D8">
        <w:rPr>
          <w:b/>
          <w:sz w:val="24"/>
          <w:szCs w:val="24"/>
        </w:rPr>
        <w:t xml:space="preserve">: </w:t>
      </w:r>
      <w:r w:rsidRPr="003559D8">
        <w:rPr>
          <w:sz w:val="24"/>
          <w:szCs w:val="24"/>
        </w:rPr>
        <w:t>Se rinde cuenta de los reportes de acoso laboral que se hayan recibido y su respectiva gestión</w:t>
      </w:r>
      <w:r w:rsidR="00AC599A">
        <w:rPr>
          <w:sz w:val="24"/>
          <w:szCs w:val="24"/>
        </w:rPr>
        <w:t>.</w:t>
      </w:r>
    </w:p>
    <w:p w14:paraId="78138A6A" w14:textId="14761476" w:rsidR="00DA17C2" w:rsidRPr="003559D8" w:rsidRDefault="00DA17C2" w:rsidP="005C3AE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3559D8">
        <w:rPr>
          <w:b/>
          <w:sz w:val="24"/>
          <w:szCs w:val="24"/>
        </w:rPr>
        <w:t xml:space="preserve">Cumplimiento del plan de trabajo anual. </w:t>
      </w:r>
    </w:p>
    <w:p w14:paraId="10FBB448" w14:textId="43B02E44" w:rsidR="00DA17C2" w:rsidRPr="003559D8" w:rsidRDefault="003559D8" w:rsidP="005C3AE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3559D8">
        <w:rPr>
          <w:b/>
          <w:sz w:val="24"/>
          <w:szCs w:val="24"/>
        </w:rPr>
        <w:t>Revisión</w:t>
      </w:r>
      <w:r w:rsidR="00DA17C2" w:rsidRPr="003559D8">
        <w:rPr>
          <w:b/>
          <w:sz w:val="24"/>
          <w:szCs w:val="24"/>
        </w:rPr>
        <w:t xml:space="preserve"> de matriz de riesgo y legal.</w:t>
      </w:r>
    </w:p>
    <w:p w14:paraId="30B2B3D6" w14:textId="5133F6FC" w:rsidR="00DA17C2" w:rsidRPr="000B0BAE" w:rsidRDefault="003559D8" w:rsidP="005C3AE6">
      <w:pPr>
        <w:pStyle w:val="Prrafodelista"/>
        <w:numPr>
          <w:ilvl w:val="0"/>
          <w:numId w:val="11"/>
        </w:numPr>
        <w:jc w:val="both"/>
        <w:rPr>
          <w:b/>
          <w:sz w:val="24"/>
          <w:szCs w:val="24"/>
        </w:rPr>
      </w:pPr>
      <w:r w:rsidRPr="003559D8">
        <w:rPr>
          <w:b/>
          <w:sz w:val="24"/>
          <w:szCs w:val="24"/>
        </w:rPr>
        <w:t>Revisión</w:t>
      </w:r>
      <w:r w:rsidR="00DA17C2" w:rsidRPr="003559D8">
        <w:rPr>
          <w:b/>
          <w:sz w:val="24"/>
          <w:szCs w:val="24"/>
        </w:rPr>
        <w:t xml:space="preserve"> Gerencial: </w:t>
      </w:r>
      <w:r w:rsidR="00DA17C2" w:rsidRPr="003559D8">
        <w:rPr>
          <w:sz w:val="24"/>
          <w:szCs w:val="24"/>
        </w:rPr>
        <w:t>En ella se incluye los resultados de la autoevaluación del SGSST</w:t>
      </w:r>
      <w:r w:rsidRPr="003559D8">
        <w:rPr>
          <w:sz w:val="24"/>
          <w:szCs w:val="24"/>
        </w:rPr>
        <w:t xml:space="preserve">, además de la información suministrada por el </w:t>
      </w:r>
      <w:r w:rsidR="000B0BAE">
        <w:rPr>
          <w:sz w:val="24"/>
          <w:szCs w:val="24"/>
        </w:rPr>
        <w:t>COPA</w:t>
      </w:r>
      <w:r w:rsidRPr="003559D8">
        <w:rPr>
          <w:sz w:val="24"/>
          <w:szCs w:val="24"/>
        </w:rPr>
        <w:t>SST, comit</w:t>
      </w:r>
      <w:r>
        <w:rPr>
          <w:sz w:val="24"/>
          <w:szCs w:val="24"/>
        </w:rPr>
        <w:t>é de convivencia laboral y resultado de auditorías realizadas.</w:t>
      </w:r>
    </w:p>
    <w:p w14:paraId="11D32C14" w14:textId="77777777" w:rsidR="000B0BAE" w:rsidRDefault="000B0BAE" w:rsidP="000B0BAE">
      <w:pPr>
        <w:jc w:val="both"/>
        <w:rPr>
          <w:b/>
        </w:rPr>
      </w:pPr>
    </w:p>
    <w:p w14:paraId="5D7EA312" w14:textId="77777777" w:rsidR="000B0BAE" w:rsidRDefault="000B0BAE" w:rsidP="000B0BAE">
      <w:pPr>
        <w:jc w:val="both"/>
        <w:rPr>
          <w:b/>
        </w:rPr>
      </w:pPr>
    </w:p>
    <w:p w14:paraId="5E42D177" w14:textId="77777777" w:rsidR="000B0BAE" w:rsidRPr="000B0BAE" w:rsidRDefault="000B0BAE" w:rsidP="000B0BAE">
      <w:pPr>
        <w:jc w:val="both"/>
        <w:rPr>
          <w:b/>
        </w:rPr>
      </w:pPr>
    </w:p>
    <w:p w14:paraId="602F0506" w14:textId="77777777" w:rsidR="00D03D83" w:rsidRDefault="00D03D83" w:rsidP="00AC599A">
      <w:pPr>
        <w:jc w:val="both"/>
        <w:rPr>
          <w:rFonts w:ascii="Arial" w:eastAsia="Calibri" w:hAnsi="Arial" w:cs="Arial"/>
          <w:lang w:val="es-CO" w:eastAsia="en-US"/>
        </w:rPr>
      </w:pPr>
    </w:p>
    <w:tbl>
      <w:tblPr>
        <w:tblStyle w:val="Tablaconcuadrcula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425"/>
        <w:gridCol w:w="2760"/>
        <w:gridCol w:w="236"/>
        <w:gridCol w:w="3068"/>
      </w:tblGrid>
      <w:tr w:rsidR="000B0BAE" w:rsidRPr="000B0BAE" w14:paraId="55EFE0F9" w14:textId="77777777" w:rsidTr="000B0BAE">
        <w:tc>
          <w:tcPr>
            <w:tcW w:w="2747" w:type="dxa"/>
          </w:tcPr>
          <w:p w14:paraId="6AE956DE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" w:type="dxa"/>
          </w:tcPr>
          <w:p w14:paraId="14B684BA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0" w:type="dxa"/>
          </w:tcPr>
          <w:p w14:paraId="390E93A2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7F42934D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8" w:type="dxa"/>
          </w:tcPr>
          <w:p w14:paraId="3819EEEE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0BAE" w:rsidRPr="000B0BAE" w14:paraId="1E5CE560" w14:textId="77777777" w:rsidTr="000B0BAE">
        <w:tc>
          <w:tcPr>
            <w:tcW w:w="2747" w:type="dxa"/>
          </w:tcPr>
          <w:p w14:paraId="6E96995B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 xml:space="preserve">Elaboró: </w:t>
            </w:r>
          </w:p>
          <w:p w14:paraId="22861D4A" w14:textId="77777777" w:rsidR="000B0BAE" w:rsidRPr="000B0BAE" w:rsidRDefault="000B0BAE" w:rsidP="0061798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0BAE">
              <w:rPr>
                <w:rFonts w:ascii="Arial" w:hAnsi="Arial" w:cs="Arial"/>
                <w:b/>
                <w:sz w:val="22"/>
                <w:szCs w:val="22"/>
              </w:rPr>
              <w:t>Dayana Madroñero Díaz</w:t>
            </w:r>
          </w:p>
          <w:p w14:paraId="0E1E62A6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Profesional en SST</w:t>
            </w:r>
          </w:p>
          <w:p w14:paraId="3EBB27B6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Licencia SST 1554/2020</w:t>
            </w:r>
          </w:p>
        </w:tc>
        <w:tc>
          <w:tcPr>
            <w:tcW w:w="425" w:type="dxa"/>
          </w:tcPr>
          <w:p w14:paraId="2CEF4DCE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60" w:type="dxa"/>
          </w:tcPr>
          <w:p w14:paraId="7388A5C2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Revisó:</w:t>
            </w:r>
          </w:p>
          <w:p w14:paraId="5C4C0015" w14:textId="77777777" w:rsidR="000B0BAE" w:rsidRPr="000B0BAE" w:rsidRDefault="000B0BAE" w:rsidP="0061798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0BAE">
              <w:rPr>
                <w:rFonts w:ascii="Arial" w:hAnsi="Arial" w:cs="Arial"/>
                <w:b/>
                <w:sz w:val="22"/>
                <w:szCs w:val="22"/>
              </w:rPr>
              <w:t>Myriam Barón Velásquez</w:t>
            </w:r>
          </w:p>
          <w:p w14:paraId="6AAC022A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Abogada Especialista en SST</w:t>
            </w:r>
          </w:p>
          <w:p w14:paraId="63DBEB9C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Licencia SST 2403/2016</w:t>
            </w:r>
          </w:p>
        </w:tc>
        <w:tc>
          <w:tcPr>
            <w:tcW w:w="236" w:type="dxa"/>
          </w:tcPr>
          <w:p w14:paraId="06EA9E29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68" w:type="dxa"/>
          </w:tcPr>
          <w:p w14:paraId="71C2403E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 xml:space="preserve">Aprobó: </w:t>
            </w:r>
          </w:p>
          <w:p w14:paraId="442770F3" w14:textId="77777777" w:rsidR="000B0BAE" w:rsidRPr="000B0BAE" w:rsidRDefault="000B0BAE" w:rsidP="0061798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0B0BAE">
              <w:rPr>
                <w:rFonts w:ascii="Arial" w:hAnsi="Arial" w:cs="Arial"/>
                <w:b/>
                <w:sz w:val="22"/>
                <w:szCs w:val="22"/>
              </w:rPr>
              <w:t>Lina María Correa Mejía</w:t>
            </w:r>
          </w:p>
          <w:p w14:paraId="3824FFCE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Gerente</w:t>
            </w:r>
          </w:p>
          <w:p w14:paraId="7E766064" w14:textId="77777777" w:rsidR="000B0BAE" w:rsidRPr="000B0BAE" w:rsidRDefault="000B0BAE" w:rsidP="0061798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0B0BAE">
              <w:rPr>
                <w:rFonts w:ascii="Arial" w:hAnsi="Arial" w:cs="Arial"/>
                <w:sz w:val="22"/>
                <w:szCs w:val="22"/>
              </w:rPr>
              <w:t>Excavaciones Correa Mejía S.A.S</w:t>
            </w:r>
          </w:p>
        </w:tc>
      </w:tr>
    </w:tbl>
    <w:p w14:paraId="147BD605" w14:textId="77777777" w:rsidR="000B0BAE" w:rsidRPr="00D03D83" w:rsidRDefault="000B0BAE" w:rsidP="00AC599A">
      <w:pPr>
        <w:jc w:val="both"/>
        <w:rPr>
          <w:rFonts w:ascii="Arial" w:eastAsia="Calibri" w:hAnsi="Arial" w:cs="Arial"/>
          <w:lang w:val="es-CO" w:eastAsia="en-US"/>
        </w:rPr>
      </w:pPr>
    </w:p>
    <w:sectPr w:rsidR="000B0BAE" w:rsidRPr="00D03D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20C88" w14:textId="77777777" w:rsidR="00145541" w:rsidRDefault="00145541" w:rsidP="00756907">
      <w:r>
        <w:separator/>
      </w:r>
    </w:p>
  </w:endnote>
  <w:endnote w:type="continuationSeparator" w:id="0">
    <w:p w14:paraId="7E93D928" w14:textId="77777777" w:rsidR="00145541" w:rsidRDefault="00145541" w:rsidP="0075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822799" w14:textId="77777777" w:rsidR="00145541" w:rsidRDefault="00145541" w:rsidP="00756907">
      <w:r>
        <w:separator/>
      </w:r>
    </w:p>
  </w:footnote>
  <w:footnote w:type="continuationSeparator" w:id="0">
    <w:p w14:paraId="098FA6B3" w14:textId="77777777" w:rsidR="00145541" w:rsidRDefault="00145541" w:rsidP="007569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756907" w:rsidRPr="00532608" w14:paraId="77CF2523" w14:textId="77777777" w:rsidTr="00DB6DB6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4BE593CA" w14:textId="77777777" w:rsidR="00756907" w:rsidRPr="00532608" w:rsidRDefault="000909E2" w:rsidP="00DB6DB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4F18AD9D" wp14:editId="00C9305D">
                <wp:extent cx="1642110" cy="1009535"/>
                <wp:effectExtent l="0" t="0" r="0" b="63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983"/>
                        <a:stretch/>
                      </pic:blipFill>
                      <pic:spPr bwMode="auto">
                        <a:xfrm>
                          <a:off x="0" y="0"/>
                          <a:ext cx="1642110" cy="10095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1639BCD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255CE523" w14:textId="3A6865E4" w:rsidR="00756907" w:rsidRPr="00532608" w:rsidRDefault="00756907" w:rsidP="000B0BAE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Fecha: </w:t>
          </w:r>
          <w:r w:rsidR="000B0BAE">
            <w:rPr>
              <w:rFonts w:ascii="Arial" w:hAnsi="Arial" w:cs="Arial"/>
              <w:b/>
            </w:rPr>
            <w:t>15/11/2022</w:t>
          </w:r>
        </w:p>
      </w:tc>
    </w:tr>
    <w:tr w:rsidR="00756907" w:rsidRPr="00532608" w14:paraId="0A8EA04D" w14:textId="77777777" w:rsidTr="00DB6DB6">
      <w:trPr>
        <w:trHeight w:val="423"/>
        <w:jc w:val="center"/>
      </w:trPr>
      <w:tc>
        <w:tcPr>
          <w:tcW w:w="2802" w:type="dxa"/>
          <w:vMerge/>
          <w:vAlign w:val="center"/>
        </w:tcPr>
        <w:p w14:paraId="60D09D1C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Merge/>
          <w:vAlign w:val="center"/>
        </w:tcPr>
        <w:p w14:paraId="3E281C81" w14:textId="77777777" w:rsidR="00756907" w:rsidRDefault="00756907" w:rsidP="00DB6DB6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2142" w:type="dxa"/>
          <w:vAlign w:val="center"/>
        </w:tcPr>
        <w:p w14:paraId="23DA58D5" w14:textId="3FBFCE44" w:rsidR="00756907" w:rsidRDefault="000B0BAE" w:rsidP="00DB6DB6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 002</w:t>
          </w:r>
        </w:p>
      </w:tc>
    </w:tr>
    <w:tr w:rsidR="00756907" w:rsidRPr="00532608" w14:paraId="317994FD" w14:textId="77777777" w:rsidTr="00756907">
      <w:trPr>
        <w:trHeight w:val="842"/>
        <w:jc w:val="center"/>
      </w:trPr>
      <w:tc>
        <w:tcPr>
          <w:tcW w:w="2802" w:type="dxa"/>
          <w:vMerge/>
          <w:vAlign w:val="center"/>
        </w:tcPr>
        <w:p w14:paraId="1CA850F0" w14:textId="77777777" w:rsidR="00756907" w:rsidRPr="00532608" w:rsidRDefault="00756907" w:rsidP="00DB6DB6">
          <w:pPr>
            <w:pStyle w:val="Encabezado"/>
            <w:jc w:val="center"/>
            <w:rPr>
              <w:rFonts w:ascii="Arial" w:hAnsi="Arial" w:cs="Arial"/>
              <w:noProof/>
            </w:rPr>
          </w:pPr>
        </w:p>
      </w:tc>
      <w:tc>
        <w:tcPr>
          <w:tcW w:w="5244" w:type="dxa"/>
          <w:vAlign w:val="center"/>
        </w:tcPr>
        <w:p w14:paraId="0035CC0D" w14:textId="6744EEE8" w:rsidR="00756907" w:rsidRDefault="009619B2" w:rsidP="00434D7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PROCEDIMIENTO </w:t>
          </w:r>
          <w:r w:rsidR="00425C55">
            <w:rPr>
              <w:rFonts w:ascii="Arial" w:hAnsi="Arial" w:cs="Arial"/>
              <w:b/>
            </w:rPr>
            <w:t xml:space="preserve">DE </w:t>
          </w:r>
          <w:r w:rsidR="00434D7B">
            <w:rPr>
              <w:rFonts w:ascii="Arial" w:hAnsi="Arial" w:cs="Arial"/>
              <w:b/>
            </w:rPr>
            <w:t>RENDICION DE CUENTAS EN EL SG-SST</w:t>
          </w:r>
        </w:p>
      </w:tc>
      <w:tc>
        <w:tcPr>
          <w:tcW w:w="2142" w:type="dxa"/>
          <w:vAlign w:val="center"/>
        </w:tcPr>
        <w:p w14:paraId="2AE1BF6D" w14:textId="7E918F07" w:rsidR="00756907" w:rsidRDefault="00756907" w:rsidP="00DB6DB6">
          <w:pPr>
            <w:pStyle w:val="Encabezado"/>
            <w:rPr>
              <w:rFonts w:ascii="Arial" w:hAnsi="Arial" w:cs="Arial"/>
              <w:b/>
            </w:rPr>
          </w:pPr>
          <w:r w:rsidRPr="001F6852">
            <w:rPr>
              <w:rFonts w:ascii="Arial" w:hAnsi="Arial" w:cs="Arial"/>
              <w:b/>
            </w:rPr>
            <w:t xml:space="preserve">Página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PAGE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0B0BAE">
            <w:rPr>
              <w:rFonts w:ascii="Arial" w:hAnsi="Arial" w:cs="Arial"/>
              <w:b/>
              <w:noProof/>
            </w:rPr>
            <w:t>1</w:t>
          </w:r>
          <w:r w:rsidRPr="001F6852">
            <w:rPr>
              <w:rFonts w:ascii="Arial" w:hAnsi="Arial" w:cs="Arial"/>
              <w:b/>
            </w:rPr>
            <w:fldChar w:fldCharType="end"/>
          </w:r>
          <w:r w:rsidRPr="001F6852">
            <w:rPr>
              <w:rFonts w:ascii="Arial" w:hAnsi="Arial" w:cs="Arial"/>
              <w:b/>
            </w:rPr>
            <w:t xml:space="preserve"> de </w:t>
          </w:r>
          <w:r w:rsidRPr="001F6852">
            <w:rPr>
              <w:rFonts w:ascii="Arial" w:hAnsi="Arial" w:cs="Arial"/>
              <w:b/>
            </w:rPr>
            <w:fldChar w:fldCharType="begin"/>
          </w:r>
          <w:r w:rsidRPr="001F6852">
            <w:rPr>
              <w:rFonts w:ascii="Arial" w:hAnsi="Arial" w:cs="Arial"/>
              <w:b/>
            </w:rPr>
            <w:instrText>NUMPAGES  \* Arabic  \* MERGEFORMAT</w:instrText>
          </w:r>
          <w:r w:rsidRPr="001F6852">
            <w:rPr>
              <w:rFonts w:ascii="Arial" w:hAnsi="Arial" w:cs="Arial"/>
              <w:b/>
            </w:rPr>
            <w:fldChar w:fldCharType="separate"/>
          </w:r>
          <w:r w:rsidR="000B0BAE">
            <w:rPr>
              <w:rFonts w:ascii="Arial" w:hAnsi="Arial" w:cs="Arial"/>
              <w:b/>
              <w:noProof/>
            </w:rPr>
            <w:t>2</w:t>
          </w:r>
          <w:r w:rsidRPr="001F6852">
            <w:rPr>
              <w:rFonts w:ascii="Arial" w:hAnsi="Arial" w:cs="Arial"/>
              <w:b/>
            </w:rPr>
            <w:fldChar w:fldCharType="end"/>
          </w:r>
        </w:p>
      </w:tc>
    </w:tr>
  </w:tbl>
  <w:p w14:paraId="20556E5A" w14:textId="77777777" w:rsidR="00756907" w:rsidRDefault="007569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196F"/>
      </v:shape>
    </w:pict>
  </w:numPicBullet>
  <w:numPicBullet w:numPicBulletId="1">
    <w:pict>
      <v:shape id="_x0000_i1075" type="#_x0000_t75" style="width:11.25pt;height:11.25pt" o:bullet="t">
        <v:imagedata r:id="rId2" o:title="mso7767"/>
      </v:shape>
    </w:pict>
  </w:numPicBullet>
  <w:abstractNum w:abstractNumId="0">
    <w:nsid w:val="00C94955"/>
    <w:multiLevelType w:val="hybridMultilevel"/>
    <w:tmpl w:val="F698E4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11300"/>
    <w:multiLevelType w:val="multilevel"/>
    <w:tmpl w:val="0068F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5FC37DA"/>
    <w:multiLevelType w:val="hybridMultilevel"/>
    <w:tmpl w:val="A7C48CBA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BD764AB"/>
    <w:multiLevelType w:val="hybridMultilevel"/>
    <w:tmpl w:val="1DA6C7E4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90191F"/>
    <w:multiLevelType w:val="hybridMultilevel"/>
    <w:tmpl w:val="75860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75024"/>
    <w:multiLevelType w:val="hybridMultilevel"/>
    <w:tmpl w:val="51B882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FB7872"/>
    <w:multiLevelType w:val="hybridMultilevel"/>
    <w:tmpl w:val="DB98055C"/>
    <w:lvl w:ilvl="0" w:tplc="B8A2BA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3001124"/>
    <w:multiLevelType w:val="hybridMultilevel"/>
    <w:tmpl w:val="77A8F8C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30C2C"/>
    <w:multiLevelType w:val="multilevel"/>
    <w:tmpl w:val="3EFA7A8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0545DEC"/>
    <w:multiLevelType w:val="multilevel"/>
    <w:tmpl w:val="D20A7E44"/>
    <w:styleLink w:val="WWNum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  <w:rPr>
        <w:b/>
      </w:rPr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252E1672"/>
    <w:multiLevelType w:val="multilevel"/>
    <w:tmpl w:val="68225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5740AC2"/>
    <w:multiLevelType w:val="hybridMultilevel"/>
    <w:tmpl w:val="0E5C24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F5820"/>
    <w:multiLevelType w:val="hybridMultilevel"/>
    <w:tmpl w:val="03F0753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65379"/>
    <w:multiLevelType w:val="hybridMultilevel"/>
    <w:tmpl w:val="0FC8E2AA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DE15E70"/>
    <w:multiLevelType w:val="hybridMultilevel"/>
    <w:tmpl w:val="5B760FD6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67583C"/>
    <w:multiLevelType w:val="hybridMultilevel"/>
    <w:tmpl w:val="9C2CBF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C3B4E"/>
    <w:multiLevelType w:val="hybridMultilevel"/>
    <w:tmpl w:val="C8AABB64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65C49"/>
    <w:multiLevelType w:val="hybridMultilevel"/>
    <w:tmpl w:val="F18C0E46"/>
    <w:lvl w:ilvl="0" w:tplc="924CE1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141E6D"/>
    <w:multiLevelType w:val="hybridMultilevel"/>
    <w:tmpl w:val="C988E38E"/>
    <w:lvl w:ilvl="0" w:tplc="240A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B291E"/>
    <w:multiLevelType w:val="multilevel"/>
    <w:tmpl w:val="6EE6C5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>
    <w:nsid w:val="4B6F1400"/>
    <w:multiLevelType w:val="hybridMultilevel"/>
    <w:tmpl w:val="1EB091BC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7953A5C"/>
    <w:multiLevelType w:val="multilevel"/>
    <w:tmpl w:val="6EE6C5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2">
    <w:nsid w:val="62BD3EE5"/>
    <w:multiLevelType w:val="hybridMultilevel"/>
    <w:tmpl w:val="E6EA302A"/>
    <w:lvl w:ilvl="0" w:tplc="301850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C6ECD302">
      <w:numFmt w:val="none"/>
      <w:lvlText w:val=""/>
      <w:lvlJc w:val="left"/>
      <w:pPr>
        <w:tabs>
          <w:tab w:val="num" w:pos="360"/>
        </w:tabs>
      </w:pPr>
    </w:lvl>
    <w:lvl w:ilvl="2" w:tplc="80FA7E50">
      <w:numFmt w:val="none"/>
      <w:lvlText w:val=""/>
      <w:lvlJc w:val="left"/>
      <w:pPr>
        <w:tabs>
          <w:tab w:val="num" w:pos="360"/>
        </w:tabs>
      </w:pPr>
    </w:lvl>
    <w:lvl w:ilvl="3" w:tplc="66CC2130">
      <w:numFmt w:val="none"/>
      <w:lvlText w:val=""/>
      <w:lvlJc w:val="left"/>
      <w:pPr>
        <w:tabs>
          <w:tab w:val="num" w:pos="360"/>
        </w:tabs>
      </w:pPr>
    </w:lvl>
    <w:lvl w:ilvl="4" w:tplc="AA445BFE">
      <w:numFmt w:val="none"/>
      <w:lvlText w:val=""/>
      <w:lvlJc w:val="left"/>
      <w:pPr>
        <w:tabs>
          <w:tab w:val="num" w:pos="360"/>
        </w:tabs>
      </w:pPr>
    </w:lvl>
    <w:lvl w:ilvl="5" w:tplc="81BA2410">
      <w:numFmt w:val="none"/>
      <w:lvlText w:val=""/>
      <w:lvlJc w:val="left"/>
      <w:pPr>
        <w:tabs>
          <w:tab w:val="num" w:pos="360"/>
        </w:tabs>
      </w:pPr>
    </w:lvl>
    <w:lvl w:ilvl="6" w:tplc="CEB2397E">
      <w:numFmt w:val="none"/>
      <w:lvlText w:val=""/>
      <w:lvlJc w:val="left"/>
      <w:pPr>
        <w:tabs>
          <w:tab w:val="num" w:pos="360"/>
        </w:tabs>
      </w:pPr>
    </w:lvl>
    <w:lvl w:ilvl="7" w:tplc="ED20AD70">
      <w:numFmt w:val="none"/>
      <w:lvlText w:val=""/>
      <w:lvlJc w:val="left"/>
      <w:pPr>
        <w:tabs>
          <w:tab w:val="num" w:pos="360"/>
        </w:tabs>
      </w:pPr>
    </w:lvl>
    <w:lvl w:ilvl="8" w:tplc="39E45E0E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62C206AC"/>
    <w:multiLevelType w:val="hybridMultilevel"/>
    <w:tmpl w:val="34AC003E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69CE4CF0"/>
    <w:multiLevelType w:val="hybridMultilevel"/>
    <w:tmpl w:val="910CE2F6"/>
    <w:lvl w:ilvl="0" w:tplc="0C0A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7265630D"/>
    <w:multiLevelType w:val="hybridMultilevel"/>
    <w:tmpl w:val="488C8B84"/>
    <w:lvl w:ilvl="0" w:tplc="240A0007">
      <w:start w:val="1"/>
      <w:numFmt w:val="bullet"/>
      <w:lvlText w:val=""/>
      <w:lvlPicBulletId w:val="1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7AED1E43"/>
    <w:multiLevelType w:val="hybridMultilevel"/>
    <w:tmpl w:val="8B9C5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2"/>
  </w:num>
  <w:num w:numId="10">
    <w:abstractNumId w:val="22"/>
  </w:num>
  <w:num w:numId="11">
    <w:abstractNumId w:val="18"/>
  </w:num>
  <w:num w:numId="12">
    <w:abstractNumId w:val="16"/>
  </w:num>
  <w:num w:numId="13">
    <w:abstractNumId w:val="2"/>
  </w:num>
  <w:num w:numId="14">
    <w:abstractNumId w:val="23"/>
  </w:num>
  <w:num w:numId="15">
    <w:abstractNumId w:val="5"/>
  </w:num>
  <w:num w:numId="16">
    <w:abstractNumId w:val="15"/>
  </w:num>
  <w:num w:numId="17">
    <w:abstractNumId w:val="17"/>
  </w:num>
  <w:num w:numId="18">
    <w:abstractNumId w:val="6"/>
  </w:num>
  <w:num w:numId="19">
    <w:abstractNumId w:val="25"/>
  </w:num>
  <w:num w:numId="20">
    <w:abstractNumId w:val="13"/>
  </w:num>
  <w:num w:numId="21">
    <w:abstractNumId w:val="9"/>
  </w:num>
  <w:num w:numId="22">
    <w:abstractNumId w:val="24"/>
  </w:num>
  <w:num w:numId="23">
    <w:abstractNumId w:val="20"/>
  </w:num>
  <w:num w:numId="24">
    <w:abstractNumId w:val="10"/>
  </w:num>
  <w:num w:numId="25">
    <w:abstractNumId w:val="21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07"/>
    <w:rsid w:val="0001621A"/>
    <w:rsid w:val="00062798"/>
    <w:rsid w:val="000909E2"/>
    <w:rsid w:val="000B0BAE"/>
    <w:rsid w:val="000F018E"/>
    <w:rsid w:val="001045DD"/>
    <w:rsid w:val="00145541"/>
    <w:rsid w:val="00190C49"/>
    <w:rsid w:val="001E3E5D"/>
    <w:rsid w:val="00233B8B"/>
    <w:rsid w:val="002D0B70"/>
    <w:rsid w:val="002E0879"/>
    <w:rsid w:val="002F3FEF"/>
    <w:rsid w:val="00300292"/>
    <w:rsid w:val="003559D8"/>
    <w:rsid w:val="003F03F6"/>
    <w:rsid w:val="00425C55"/>
    <w:rsid w:val="00434D7B"/>
    <w:rsid w:val="00461B50"/>
    <w:rsid w:val="0049598D"/>
    <w:rsid w:val="004B7AE9"/>
    <w:rsid w:val="00507C2D"/>
    <w:rsid w:val="005369FB"/>
    <w:rsid w:val="00544007"/>
    <w:rsid w:val="0056134C"/>
    <w:rsid w:val="0057677D"/>
    <w:rsid w:val="00582E50"/>
    <w:rsid w:val="005C3AE6"/>
    <w:rsid w:val="00636ED6"/>
    <w:rsid w:val="00644B88"/>
    <w:rsid w:val="00671DCE"/>
    <w:rsid w:val="00674FE8"/>
    <w:rsid w:val="006F687D"/>
    <w:rsid w:val="0071201E"/>
    <w:rsid w:val="00756907"/>
    <w:rsid w:val="007C7559"/>
    <w:rsid w:val="007D37BF"/>
    <w:rsid w:val="007E3A0D"/>
    <w:rsid w:val="007F4720"/>
    <w:rsid w:val="008130FD"/>
    <w:rsid w:val="00865250"/>
    <w:rsid w:val="008C2F9E"/>
    <w:rsid w:val="008C3288"/>
    <w:rsid w:val="008F26D2"/>
    <w:rsid w:val="009619B2"/>
    <w:rsid w:val="009750C7"/>
    <w:rsid w:val="00987B33"/>
    <w:rsid w:val="009D53C1"/>
    <w:rsid w:val="009E590B"/>
    <w:rsid w:val="009E7522"/>
    <w:rsid w:val="00A10C3A"/>
    <w:rsid w:val="00A17268"/>
    <w:rsid w:val="00A30AD1"/>
    <w:rsid w:val="00A459CF"/>
    <w:rsid w:val="00AC599A"/>
    <w:rsid w:val="00B27098"/>
    <w:rsid w:val="00B54023"/>
    <w:rsid w:val="00B62FBF"/>
    <w:rsid w:val="00B633C1"/>
    <w:rsid w:val="00B7146E"/>
    <w:rsid w:val="00BA36E2"/>
    <w:rsid w:val="00C41022"/>
    <w:rsid w:val="00CA25E6"/>
    <w:rsid w:val="00D03D83"/>
    <w:rsid w:val="00D07F83"/>
    <w:rsid w:val="00D20BD5"/>
    <w:rsid w:val="00D21337"/>
    <w:rsid w:val="00DA17C2"/>
    <w:rsid w:val="00E22AAD"/>
    <w:rsid w:val="00EA3638"/>
    <w:rsid w:val="00F41EB3"/>
    <w:rsid w:val="00F614F2"/>
    <w:rsid w:val="00F71FBD"/>
    <w:rsid w:val="00FA6026"/>
    <w:rsid w:val="00FC31F4"/>
    <w:rsid w:val="00FC583D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D5A2"/>
  <w15:docId w15:val="{7F942BD0-A93A-40B8-99BC-B0BBBC11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A3638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rsid w:val="00582E50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130FD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EA363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6907"/>
  </w:style>
  <w:style w:type="paragraph" w:styleId="Piedepgina">
    <w:name w:val="footer"/>
    <w:basedOn w:val="Normal"/>
    <w:link w:val="PiedepginaCar"/>
    <w:uiPriority w:val="99"/>
    <w:unhideWhenUsed/>
    <w:rsid w:val="0075690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907"/>
  </w:style>
  <w:style w:type="table" w:styleId="Tablaconcuadrcula">
    <w:name w:val="Table Grid"/>
    <w:basedOn w:val="Tablanormal"/>
    <w:uiPriority w:val="39"/>
    <w:rsid w:val="00756907"/>
    <w:pPr>
      <w:spacing w:after="0" w:line="240" w:lineRule="auto"/>
    </w:pPr>
    <w:rPr>
      <w:rFonts w:eastAsiaTheme="minorEastAsia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569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690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582E50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Prrafodelista">
    <w:name w:val="List Paragraph"/>
    <w:basedOn w:val="Normal"/>
    <w:uiPriority w:val="34"/>
    <w:qFormat/>
    <w:rsid w:val="00582E50"/>
    <w:pPr>
      <w:spacing w:after="200" w:line="276" w:lineRule="auto"/>
      <w:ind w:left="720"/>
      <w:contextualSpacing/>
    </w:pPr>
    <w:rPr>
      <w:rFonts w:ascii="Arial" w:eastAsia="Calibri" w:hAnsi="Arial" w:cs="Arial"/>
      <w:sz w:val="22"/>
      <w:szCs w:val="22"/>
      <w:lang w:val="es-CO" w:eastAsia="en-US"/>
    </w:rPr>
  </w:style>
  <w:style w:type="character" w:styleId="Textoennegrita">
    <w:name w:val="Strong"/>
    <w:basedOn w:val="Fuentedeprrafopredeter"/>
    <w:uiPriority w:val="22"/>
    <w:qFormat/>
    <w:rsid w:val="00582E50"/>
    <w:rPr>
      <w:b/>
      <w:bCs/>
    </w:rPr>
  </w:style>
  <w:style w:type="character" w:customStyle="1" w:styleId="apple-converted-space">
    <w:name w:val="apple-converted-space"/>
    <w:basedOn w:val="Fuentedeprrafopredeter"/>
    <w:rsid w:val="00582E50"/>
  </w:style>
  <w:style w:type="paragraph" w:styleId="NormalWeb">
    <w:name w:val="Normal (Web)"/>
    <w:basedOn w:val="Normal"/>
    <w:uiPriority w:val="99"/>
    <w:semiHidden/>
    <w:unhideWhenUsed/>
    <w:rsid w:val="005369FB"/>
    <w:pPr>
      <w:spacing w:before="100" w:beforeAutospacing="1" w:after="100" w:afterAutospacing="1"/>
    </w:pPr>
    <w:rPr>
      <w:lang w:val="es-CO" w:eastAsia="es-CO"/>
    </w:rPr>
  </w:style>
  <w:style w:type="paragraph" w:customStyle="1" w:styleId="a">
    <w:basedOn w:val="Normal"/>
    <w:next w:val="Puesto"/>
    <w:link w:val="PuestoCar"/>
    <w:qFormat/>
    <w:rsid w:val="00FC583D"/>
    <w:pPr>
      <w:jc w:val="center"/>
    </w:pPr>
    <w:rPr>
      <w:rFonts w:ascii="Arial" w:eastAsiaTheme="minorHAnsi" w:hAnsi="Arial" w:cs="Arial"/>
      <w:b/>
      <w:sz w:val="28"/>
      <w:szCs w:val="28"/>
      <w:lang w:val="es-CO"/>
    </w:rPr>
  </w:style>
  <w:style w:type="character" w:customStyle="1" w:styleId="PuestoCar">
    <w:name w:val="Puesto Car"/>
    <w:link w:val="a"/>
    <w:rsid w:val="00FC583D"/>
    <w:rPr>
      <w:rFonts w:ascii="Arial" w:hAnsi="Arial" w:cs="Arial"/>
      <w:b/>
      <w:sz w:val="28"/>
      <w:szCs w:val="28"/>
      <w:lang w:eastAsia="es-ES"/>
    </w:rPr>
  </w:style>
  <w:style w:type="paragraph" w:styleId="Puesto">
    <w:name w:val="Title"/>
    <w:basedOn w:val="Normal"/>
    <w:next w:val="Normal"/>
    <w:link w:val="PuestoCar1"/>
    <w:uiPriority w:val="10"/>
    <w:qFormat/>
    <w:rsid w:val="00FC58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1">
    <w:name w:val="Puesto Car1"/>
    <w:basedOn w:val="Fuentedeprrafopredeter"/>
    <w:link w:val="Puesto"/>
    <w:uiPriority w:val="10"/>
    <w:rsid w:val="00FC583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numbering" w:customStyle="1" w:styleId="WWNum1">
    <w:name w:val="WWNum1"/>
    <w:basedOn w:val="Sinlista"/>
    <w:rsid w:val="00636ED6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 M</dc:creator>
  <cp:lastModifiedBy>excavaciones correa mejia</cp:lastModifiedBy>
  <cp:revision>8</cp:revision>
  <cp:lastPrinted>2022-11-15T16:15:00Z</cp:lastPrinted>
  <dcterms:created xsi:type="dcterms:W3CDTF">2021-09-27T20:49:00Z</dcterms:created>
  <dcterms:modified xsi:type="dcterms:W3CDTF">2022-11-15T16:17:00Z</dcterms:modified>
</cp:coreProperties>
</file>