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officeDocument" Target="word/document.xml"/>
  <Relationship Id="rId3" Type="http://schemas.openxmlformats.org/officeDocument/2006/relationships/extended-properties" Target="docProps/app.xml"/>
  <Relationship Id="rId4" Type="http://schemas.openxmlformats.org/package/2006/relationships/metadata/core-properties" Target="docProps/core.xml"/>
</Relationships>

</file>

<file path=word/document.xml><?xml version="1.0" encoding="utf-8"?>
<w:document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taisx="http://lrs.lt/TAIS/DocPartXmlMarks" mc:Ignorable="w14 wp14">
  <w:body>
    <w:sdt>
      <w:sdtPr>
        <w:alias w:val="pagrindine"/>
        <w:tag w:val="part_35a3f145a5614e40ab6bd69a91357394"/>
        <w:lock w:val="sdtLocked"/>
        <w:richText/>
      </w:sdtPr>
      <w:sdtContent>
        <w:p>
          <w:pPr>
            <w:tabs>
              <w:tab w:val="center" w:pos="4153"/>
              <w:tab w:val="right" w:pos="8306"/>
            </w:tabs>
            <w:rPr>
              <w:rFonts w:ascii="TimesLT" w:hAnsi="TimesLT"/>
              <w:lang w:val="en-US"/>
            </w:rPr>
          </w:pPr>
        </w:p>
        <w:p>
          <w:pPr>
            <w:jc w:val="center"/>
            <w:rPr>
              <w:caps/>
              <w:sz w:val="22"/>
            </w:rPr>
          </w:pPr>
          <w:r>
            <w:rPr>
              <w:caps/>
              <w:lang w:eastAsia="lt-LT"/>
            </w:rPr>
            <w:drawing>
              <wp:inline distT="0" distB="0" distL="0" distR="0" wp14:anchorId="27257005" wp14:editId="62472C95">
                <wp:extent cx="596265" cy="699770"/>
                <wp:effectExtent l="0" t="0" r="0" b="5080"/>
                <wp:docPr id="1" name="Paveikslėlis 1" descr="C:\Documents and Settings\lipetr\My Documents\Vytis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lipetr\My Documents\Vytis1.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6265" cy="699770"/>
                        </a:xfrm>
                        <a:prstGeom prst="rect">
                          <a:avLst/>
                        </a:prstGeom>
                        <a:noFill/>
                        <a:ln>
                          <a:noFill/>
                        </a:ln>
                      </pic:spPr>
                    </pic:pic>
                  </a:graphicData>
                </a:graphic>
              </wp:inline>
            </w:drawing>
          </w:r>
        </w:p>
        <w:p>
          <w:pPr>
            <w:jc w:val="center"/>
            <w:rPr>
              <w:caps/>
              <w:sz w:val="12"/>
              <w:szCs w:val="12"/>
            </w:rPr>
          </w:pPr>
        </w:p>
        <w:p>
          <w:pPr>
            <w:jc w:val="center"/>
            <w:rPr>
              <w:b/>
              <w:bCs/>
              <w:caps/>
            </w:rPr>
          </w:pPr>
          <w:r>
            <w:rPr>
              <w:b/>
              <w:bCs/>
              <w:caps/>
            </w:rPr>
            <w:t>LIETUVOS RESPUBLIKOS</w:t>
          </w:r>
        </w:p>
        <w:p>
          <w:pPr>
            <w:jc w:val="center"/>
            <w:rPr>
              <w:b/>
              <w:caps/>
            </w:rPr>
          </w:pPr>
          <w:r>
            <w:rPr>
              <w:b/>
              <w:caps/>
            </w:rPr>
            <w:t>2016 METŲ VALSTYBĖS BIUDŽETO IR SAVIVALDYBIŲ BIUDŽETŲ FINANSINIŲ RODIKLIŲ PATVIRTINIMO</w:t>
          </w:r>
        </w:p>
        <w:p>
          <w:pPr>
            <w:jc w:val="center"/>
            <w:rPr>
              <w:caps/>
            </w:rPr>
          </w:pPr>
          <w:r>
            <w:rPr>
              <w:b/>
              <w:caps/>
            </w:rPr>
            <w:t>ĮSTATYMAS</w:t>
          </w:r>
        </w:p>
        <w:p>
          <w:pPr>
            <w:jc w:val="center"/>
            <w:rPr>
              <w:b/>
              <w:caps/>
            </w:rPr>
          </w:pPr>
        </w:p>
        <w:p>
          <w:pPr>
            <w:jc w:val="center"/>
            <w:rPr>
              <w:sz w:val="22"/>
            </w:rPr>
          </w:pPr>
          <w:r>
            <w:rPr>
              <w:sz w:val="22"/>
            </w:rPr>
            <w:t>2015 m. gruodžio 10 d. Nr. XII-2161</w:t>
          </w:r>
        </w:p>
        <w:p>
          <w:pPr>
            <w:jc w:val="center"/>
            <w:rPr>
              <w:sz w:val="22"/>
            </w:rPr>
          </w:pPr>
          <w:r>
            <w:rPr>
              <w:sz w:val="22"/>
            </w:rPr>
            <w:t>Vilnius</w:t>
          </w:r>
        </w:p>
        <w:p>
          <w:pPr>
            <w:jc w:val="center"/>
            <w:rPr>
              <w:sz w:val="22"/>
            </w:rPr>
          </w:pPr>
        </w:p>
        <w:p>
          <w:pPr>
            <w:spacing w:line="360" w:lineRule="auto"/>
            <w:jc w:val="center"/>
            <w:rPr>
              <w:bCs/>
              <w:caps/>
              <w:szCs w:val="24"/>
            </w:rPr>
          </w:pPr>
        </w:p>
        <w:p>
          <w:pPr>
            <w:spacing w:line="360" w:lineRule="auto"/>
            <w:jc w:val="center"/>
            <w:rPr>
              <w:b/>
              <w:bCs/>
              <w:szCs w:val="24"/>
            </w:rPr>
          </w:pPr>
          <w:r>
            <w:rPr>
              <w:b/>
              <w:bCs/>
              <w:caps/>
              <w:szCs w:val="24"/>
            </w:rPr>
            <w:t>Preambulė</w:t>
          </w:r>
        </w:p>
        <w:p>
          <w:pPr>
            <w:spacing w:line="360" w:lineRule="auto"/>
            <w:ind w:firstLine="720"/>
            <w:jc w:val="both"/>
            <w:rPr>
              <w:rFonts w:eastAsia="Calibri"/>
              <w:szCs w:val="24"/>
              <w:lang w:eastAsia="lt-LT"/>
            </w:rPr>
          </w:pPr>
        </w:p>
        <w:sdt>
          <w:sdtPr>
            <w:alias w:val="preambule"/>
            <w:tag w:val="part_0f9f9fba805447f0a22410bfeba9097c"/>
            <w:lock w:val="sdtLocked"/>
            <w:richText/>
          </w:sdtPr>
          <w:sdtContent>
            <w:p>
              <w:pPr>
                <w:spacing w:line="360" w:lineRule="auto"/>
                <w:ind w:firstLine="720"/>
                <w:jc w:val="both"/>
                <w:rPr>
                  <w:rFonts w:eastAsia="Calibri"/>
                  <w:szCs w:val="24"/>
                  <w:lang w:eastAsia="lt-LT"/>
                </w:rPr>
              </w:pPr>
              <w:r>
                <w:rPr>
                  <w:rFonts w:eastAsia="Calibri"/>
                  <w:szCs w:val="24"/>
                  <w:lang w:eastAsia="lt-LT"/>
                </w:rPr>
                <w:t>Lietuvos Respublikos Seimas,</w:t>
              </w:r>
            </w:p>
          </w:sdtContent>
        </w:sdt>
        <w:sdt>
          <w:sdtPr>
            <w:alias w:val="pastraipa"/>
            <w:tag w:val="part_f81404872882484a8306a5d89a6f6613"/>
            <w:lock w:val="sdtLocked"/>
            <w:richText/>
          </w:sdtPr>
          <w:sdtContent>
            <w:p>
              <w:pPr>
                <w:spacing w:line="360" w:lineRule="auto"/>
                <w:ind w:firstLine="720"/>
                <w:jc w:val="both"/>
                <w:rPr>
                  <w:szCs w:val="24"/>
                </w:rPr>
              </w:pPr>
              <w:r>
                <w:rPr>
                  <w:szCs w:val="24"/>
                </w:rPr>
                <w:t xml:space="preserve">atsižvelgdamas į Lietuvos Respublikos Fiskalinės sutarties įgyvendinimo konstitucinio įstatymo ir 1997 m. liepos 7 d. Tarybos reglamento (EB) Nr. 1466/97 dėl biudžeto būklės priežiūros stiprinimo ir ekonominės politikos priežiūros bei koordinavimo (OL </w:t>
              </w:r>
              <w:r>
                <w:rPr>
                  <w:i/>
                  <w:szCs w:val="24"/>
                </w:rPr>
                <w:t>2004 m. specialusis leidimas</w:t>
              </w:r>
              <w:r>
                <w:rPr>
                  <w:szCs w:val="24"/>
                </w:rPr>
                <w:t>, 10 skyrius, 1 tomas, p. 84) fiskalinę drausmę reglamentuojančias nuostatas, kurias vykdant ribojamas struktūrinis valdžios sektoriaus deficitas ir negali būti viršyta didžiausia leistina valdžios sektoriaus išlaidų didėjimo riba;</w:t>
              </w:r>
            </w:p>
            <w:p>
              <w:pPr>
                <w:spacing w:line="360" w:lineRule="auto"/>
                <w:ind w:firstLine="720"/>
                <w:jc w:val="both"/>
                <w:rPr>
                  <w:szCs w:val="24"/>
                </w:rPr>
              </w:pPr>
              <w:r>
                <w:rPr>
                  <w:szCs w:val="24"/>
                </w:rPr>
                <w:t>įvertindamas tai, kad 2014 metais Lietuva pasiekė vidutinio laikotarpio tikslą, 2015 metais nuo vidutinio laikotarpio tikslo (1 procento bendrojo vidaus produkto (BVP) struktūrinio valdžios sektoriaus deficito) numatoma nenukrypti;</w:t>
              </w:r>
            </w:p>
            <w:p>
              <w:pPr>
                <w:spacing w:line="360" w:lineRule="auto"/>
                <w:ind w:firstLine="720"/>
                <w:jc w:val="both"/>
                <w:rPr>
                  <w:szCs w:val="24"/>
                </w:rPr>
              </w:pPr>
              <w:r>
                <w:rPr>
                  <w:szCs w:val="24"/>
                </w:rPr>
                <w:t>atsižvelgdamas į tai, kad 2016 metams prognozuojamas neigiamas produkcijos atotrūkis nuo potencialo ir yra tikslinga vykdyti anticiklinę, ekonomiką skatinančią fiskalinę politiką kartu laikantis fiskalinės drausmės, dėl to 2016 metais numatoma nenukrypti nuo vidutinės trukmės tikslo ir išlaikyti struktūrinį valdžios sektoriaus deficitą artimą 1 procentui BVP, neįskaitant dėl Lietuvos pensijų reformos, kurią Europos statistikos tarnyba (Eurostatas) pripažino kaip sisteminę, 2016 metų etapo patiriamų kaštų;</w:t>
              </w:r>
            </w:p>
            <w:p>
              <w:pPr>
                <w:spacing w:line="360" w:lineRule="auto"/>
                <w:ind w:firstLine="720"/>
                <w:jc w:val="both"/>
                <w:rPr>
                  <w:szCs w:val="24"/>
                </w:rPr>
              </w:pPr>
              <w:r>
                <w:rPr>
                  <w:szCs w:val="24"/>
                </w:rPr>
                <w:t>atsižvelgdamas į tai, kad nukrypimas nuo vidutinio laikotarpio tikslo padidintų valdžios sektoriaus skolą ir keltų riziką ilgalaikiam valdžios sektoriaus finansų tvarumui ir padidintų skolinimosi finansų rinkose palūkanų normas;</w:t>
              </w:r>
            </w:p>
            <w:p>
              <w:pPr>
                <w:spacing w:line="360" w:lineRule="auto"/>
                <w:ind w:firstLine="720"/>
                <w:jc w:val="both"/>
                <w:rPr>
                  <w:szCs w:val="24"/>
                </w:rPr>
              </w:pPr>
              <w:r>
                <w:rPr>
                  <w:szCs w:val="24"/>
                </w:rPr>
                <w:t>reaguodamas į kintančią geopolitinę ir saugumo padėtį Europoje ir į tai, kad tokiomis aplinkybėmis neigiama rizika dėl ekonomikos raidos scenarijaus išlieka, taip pat į poreikį vykdyti narystės NATO ir kitose tarptautinėse organizacijose įsipareigojimus;</w:t>
              </w:r>
            </w:p>
            <w:p>
              <w:pPr>
                <w:spacing w:line="360" w:lineRule="auto"/>
                <w:ind w:firstLine="720"/>
                <w:jc w:val="both"/>
                <w:rPr>
                  <w:rFonts w:eastAsia="Calibri"/>
                  <w:color w:val="000000"/>
                  <w:szCs w:val="24"/>
                </w:rPr>
              </w:pPr>
              <w:r>
                <w:rPr>
                  <w:rFonts w:eastAsia="Calibri"/>
                  <w:szCs w:val="24"/>
                  <w:lang w:eastAsia="lt-LT"/>
                </w:rPr>
                <w:t>įvertindamas tai, kad pagal šio įstatymo</w:t>
              </w:r>
              <w:r>
                <w:rPr>
                  <w:rFonts w:eastAsia="Calibri"/>
                  <w:color w:val="000000"/>
                  <w:szCs w:val="24"/>
                  <w:lang w:eastAsia="lt-LT"/>
                </w:rPr>
                <w:t>, taip pat įstatymų, reglamentuojančių Valstybinio socialinio draudimo fondo ir Privalomojo sveikatos draudimo fondo biudžetų finansinius rodiklius, rengimo metu turimus duomenis formuojami valdžios sektoriaus finansų rodikliai 2016 metais atitinka nacionaliniais ir Europos Sąjungos teisės aktais nustatytas fiskalinės drausmės taisykles,</w:t>
              </w:r>
            </w:p>
            <w:p>
              <w:pPr>
                <w:spacing w:line="360" w:lineRule="auto"/>
                <w:ind w:firstLine="720"/>
                <w:jc w:val="both"/>
                <w:rPr>
                  <w:rFonts w:eastAsia="Calibri"/>
                  <w:szCs w:val="24"/>
                  <w:lang w:eastAsia="lt-LT"/>
                </w:rPr>
              </w:pPr>
              <w:r>
                <w:rPr>
                  <w:rFonts w:eastAsia="Calibri"/>
                  <w:szCs w:val="24"/>
                  <w:lang w:eastAsia="lt-LT"/>
                </w:rPr>
                <w:t>p r i i m a šį įstatymą.</w:t>
              </w:r>
            </w:p>
            <w:p>
              <w:pPr>
                <w:spacing w:line="360" w:lineRule="auto"/>
                <w:ind w:firstLine="720"/>
                <w:jc w:val="both"/>
                <w:rPr>
                  <w:rFonts w:eastAsia="Calibri"/>
                  <w:szCs w:val="24"/>
                  <w:lang w:eastAsia="lt-LT"/>
                </w:rPr>
              </w:pPr>
            </w:p>
          </w:sdtContent>
        </w:sdt>
        <w:sdt>
          <w:sdtPr>
            <w:alias w:val="1 str."/>
            <w:tag w:val="part_9e0691fd5c0d43d8a94d4ae40c94c05f"/>
            <w:lock w:val="sdtLocked"/>
            <w:richText/>
          </w:sdtPr>
          <w:sdtContent>
            <w:p>
              <w:pPr>
                <w:spacing w:line="360" w:lineRule="auto"/>
                <w:ind w:left="2268" w:hanging="1548"/>
                <w:jc w:val="both"/>
                <w:rPr>
                  <w:b/>
                </w:rPr>
              </w:pPr>
              <w:sdt>
                <w:sdtPr>
                  <w:alias w:val="Numeris"/>
                  <w:tag w:val="nr_9e0691fd5c0d43d8a94d4ae40c94c05f"/>
                  <w:lock w:val="sdtLocked"/>
                  <w:richText/>
                </w:sdtPr>
                <w:sdtContent>
                  <w:r>
                    <w:rPr>
                      <w:b/>
                    </w:rPr>
                    <w:t>1</w:t>
                  </w:r>
                </w:sdtContent>
              </w:sdt>
              <w:r>
                <w:rPr>
                  <w:b/>
                </w:rPr>
                <w:t xml:space="preserve"> straipsnis. </w:t>
              </w:r>
              <w:sdt>
                <w:sdtPr>
                  <w:alias w:val="Pavadinimas"/>
                  <w:tag w:val="title_9e0691fd5c0d43d8a94d4ae40c94c05f"/>
                  <w:lock w:val="sdtLocked"/>
                  <w:richText/>
                </w:sdtPr>
                <w:sdtContent>
                  <w:r>
                    <w:rPr>
                      <w:b/>
                    </w:rPr>
                    <w:t>Lietuvos Respublikos 2016 metų valstybės biudžeto pajamų ir asignavimų patvirtinimas</w:t>
                  </w:r>
                </w:sdtContent>
              </w:sdt>
            </w:p>
            <w:sdt>
              <w:sdtPr>
                <w:alias w:val="1 str. 1 d."/>
                <w:tag w:val="part_ddc1aae42a684b66b26b8d6cedf9b457"/>
                <w:lock w:val="sdtLocked"/>
                <w:richText/>
              </w:sdtPr>
              <w:sdtContent>
                <w:p>
                  <w:pPr>
                    <w:spacing w:line="360" w:lineRule="auto"/>
                    <w:ind w:firstLine="720"/>
                    <w:jc w:val="both"/>
                    <w:rPr>
                      <w:rFonts w:eastAsia="Calibri"/>
                      <w:szCs w:val="24"/>
                      <w:lang w:eastAsia="lt-LT"/>
                    </w:rPr>
                  </w:pPr>
                  <w:r>
                    <w:rPr>
                      <w:rFonts w:eastAsia="Calibri"/>
                      <w:szCs w:val="24"/>
                      <w:lang w:eastAsia="lt-LT"/>
                    </w:rPr>
                    <w:t xml:space="preserve">Šiuo įstatymu patvirtinamas Lietuvos Respublikos 2016 metų valstybės biudžetas – </w:t>
                  </w:r>
                  <w:r>
                    <w:rPr>
                      <w:rFonts w:eastAsia="Calibri"/>
                      <w:bCs/>
                      <w:szCs w:val="24"/>
                      <w:lang w:eastAsia="lt-LT"/>
                    </w:rPr>
                    <w:t>8 046 372</w:t>
                  </w:r>
                  <w:r>
                    <w:rPr>
                      <w:rFonts w:eastAsia="Calibri"/>
                      <w:szCs w:val="24"/>
                      <w:lang w:eastAsia="lt-LT"/>
                    </w:rPr>
                    <w:t xml:space="preserve"> tūkst. eurų pajamų, </w:t>
                  </w:r>
                  <w:r>
                    <w:rPr>
                      <w:bCs/>
                      <w:color w:val="000000"/>
                      <w:szCs w:val="24"/>
                      <w:lang w:eastAsia="lt-LT"/>
                    </w:rPr>
                    <w:t>8 686 661</w:t>
                  </w:r>
                  <w:r>
                    <w:rPr>
                      <w:rFonts w:eastAsia="Calibri"/>
                      <w:color w:val="000000"/>
                      <w:szCs w:val="24"/>
                      <w:lang w:eastAsia="lt-LT"/>
                    </w:rPr>
                    <w:t xml:space="preserve"> tūkst. </w:t>
                  </w:r>
                  <w:r>
                    <w:rPr>
                      <w:rFonts w:eastAsia="Calibri"/>
                      <w:szCs w:val="24"/>
                      <w:lang w:eastAsia="lt-LT"/>
                    </w:rPr>
                    <w:t>eurų asignavimų išlaidoms ir turtui įsigyti (asignavimai viršija pajamas 640 289 tūkst. eurų) (1, 2, 3 priedai).</w:t>
                  </w:r>
                </w:p>
                <w:p>
                  <w:pPr>
                    <w:spacing w:line="360" w:lineRule="auto"/>
                    <w:ind w:firstLine="720"/>
                    <w:jc w:val="both"/>
                    <w:rPr>
                      <w:rFonts w:eastAsia="Calibri"/>
                      <w:szCs w:val="24"/>
                      <w:lang w:eastAsia="lt-LT"/>
                    </w:rPr>
                  </w:pPr>
                </w:p>
              </w:sdtContent>
            </w:sdt>
          </w:sdtContent>
        </w:sdt>
        <w:sdt>
          <w:sdtPr>
            <w:alias w:val="2 str."/>
            <w:tag w:val="part_bdb1ed0889e24382b1342fd98cbb4d4c"/>
            <w:lock w:val="sdtLocked"/>
            <w:richText/>
          </w:sdtPr>
          <w:sdtContent>
            <w:p>
              <w:pPr>
                <w:spacing w:line="360" w:lineRule="auto"/>
                <w:ind w:left="2127" w:hanging="1407"/>
                <w:jc w:val="both"/>
                <w:rPr>
                  <w:b/>
                </w:rPr>
              </w:pPr>
              <w:sdt>
                <w:sdtPr>
                  <w:alias w:val="Numeris"/>
                  <w:tag w:val="nr_bdb1ed0889e24382b1342fd98cbb4d4c"/>
                  <w:lock w:val="sdtLocked"/>
                  <w:richText/>
                </w:sdtPr>
                <w:sdtContent>
                  <w:r>
                    <w:rPr>
                      <w:b/>
                    </w:rPr>
                    <w:t>2</w:t>
                  </w:r>
                </w:sdtContent>
              </w:sdt>
              <w:r>
                <w:rPr>
                  <w:b/>
                </w:rPr>
                <w:t xml:space="preserve"> straipsnis. </w:t>
              </w:r>
              <w:sdt>
                <w:sdtPr>
                  <w:alias w:val="Pavadinimas"/>
                  <w:tag w:val="title_bdb1ed0889e24382b1342fd98cbb4d4c"/>
                  <w:lock w:val="sdtLocked"/>
                  <w:richText/>
                </w:sdtPr>
                <w:sdtContent>
                  <w:r>
                    <w:rPr>
                      <w:b/>
                    </w:rPr>
                    <w:t>Lietuvos Respublikos 2016 metų savivaldybių biudžetų finansiniai rodikliai</w:t>
                  </w:r>
                </w:sdtContent>
              </w:sdt>
            </w:p>
            <w:sdt>
              <w:sdtPr>
                <w:alias w:val="2 str. 1 d."/>
                <w:tag w:val="part_a80d91a0d2c5459494b17a3a1d822d9d"/>
                <w:lock w:val="sdtLocked"/>
                <w:richText/>
              </w:sdtPr>
              <w:sdtContent>
                <w:p>
                  <w:pPr>
                    <w:spacing w:line="360" w:lineRule="auto"/>
                    <w:ind w:firstLine="720"/>
                    <w:jc w:val="both"/>
                  </w:pPr>
                  <w:sdt>
                    <w:sdtPr>
                      <w:alias w:val="Numeris"/>
                      <w:tag w:val="nr_a80d91a0d2c5459494b17a3a1d822d9d"/>
                      <w:lock w:val="sdtLocked"/>
                      <w:richText/>
                    </w:sdtPr>
                    <w:sdtContent>
                      <w:r>
                        <w:rPr>
                          <w14:scene3d>
                            <w14:camera w14:prst="orthographicFront"/>
                            <w14:lightRig w14:rig="threePt" w14:dir="t">
                              <w14:rot w14:lat="0" w14:lon="0" w14:rev="0"/>
                            </w14:lightRig>
                          </w14:scene3d>
                        </w:rPr>
                        <w:t>1</w:t>
                      </w:r>
                    </w:sdtContent>
                  </w:sdt>
                  <w:r>
                    <w:rPr>
                      <w14:scene3d>
                        <w14:camera w14:prst="orthographicFront"/>
                        <w14:lightRig w14:rig="threePt" w14:dir="t">
                          <w14:rot w14:lat="0" w14:lon="0" w14:rev="0"/>
                        </w14:lightRig>
                      </w14:scene3d>
                    </w:rPr>
                    <w:t xml:space="preserve">. </w:t>
                  </w:r>
                  <w:r>
                    <w:t>Šiuo įstatymu patvirtinami šie 2016 metų savivaldybių biudžetų finansiniai rodikliai:</w:t>
                  </w:r>
                </w:p>
                <w:sdt>
                  <w:sdtPr>
                    <w:alias w:val="2 str. 1 d. 1 p."/>
                    <w:tag w:val="part_60026dfc662b4f01be143caf2ba2ab78"/>
                    <w:lock w:val="sdtLocked"/>
                    <w:richText/>
                  </w:sdtPr>
                  <w:sdtContent>
                    <w:p>
                      <w:pPr>
                        <w:tabs>
                          <w:tab w:val="left" w:pos="1077"/>
                        </w:tabs>
                        <w:spacing w:line="360" w:lineRule="auto"/>
                        <w:ind w:firstLine="720"/>
                        <w:jc w:val="both"/>
                        <w:rPr>
                          <w:rFonts w:eastAsia="Calibri"/>
                          <w:szCs w:val="24"/>
                          <w:lang w:eastAsia="lt-LT"/>
                        </w:rPr>
                      </w:pPr>
                      <w:sdt>
                        <w:sdtPr>
                          <w:alias w:val="Numeris"/>
                          <w:tag w:val="nr_60026dfc662b4f01be143caf2ba2ab78"/>
                          <w:lock w:val="sdtLocked"/>
                          <w:richText/>
                        </w:sdtPr>
                        <w:sdtContent>
                          <w:r>
                            <w:rPr>
                              <w:rFonts w:eastAsia="Calibri"/>
                              <w:szCs w:val="24"/>
                              <w:lang w:eastAsia="lt-LT"/>
                            </w:rPr>
                            <w:t>1</w:t>
                          </w:r>
                        </w:sdtContent>
                      </w:sdt>
                      <w:r>
                        <w:rPr>
                          <w:rFonts w:eastAsia="Calibri"/>
                          <w:szCs w:val="24"/>
                          <w:lang w:eastAsia="lt-LT"/>
                        </w:rPr>
                        <w:t>) gyventojų pajamų mokesčio dalis (procentais), tenkanti visų savivaldybių biudžetams nuo šio mokesčio pajamų į konsoliduotus valstybės biudžetą ir savivaldybių biudžetus, – 75,49 procento;</w:t>
                      </w:r>
                    </w:p>
                  </w:sdtContent>
                </w:sdt>
                <w:sdt>
                  <w:sdtPr>
                    <w:alias w:val="2 str. 1 d. 2 p."/>
                    <w:tag w:val="part_afd7661ff16e4b0594ea535d8388728e"/>
                    <w:lock w:val="sdtLocked"/>
                    <w:richText/>
                  </w:sdtPr>
                  <w:sdtContent>
                    <w:p>
                      <w:pPr>
                        <w:tabs>
                          <w:tab w:val="left" w:pos="1077"/>
                        </w:tabs>
                        <w:spacing w:line="360" w:lineRule="auto"/>
                        <w:ind w:firstLine="720"/>
                        <w:jc w:val="both"/>
                        <w:rPr>
                          <w:rFonts w:eastAsia="Calibri"/>
                          <w:szCs w:val="24"/>
                          <w:lang w:eastAsia="lt-LT"/>
                        </w:rPr>
                      </w:pPr>
                      <w:sdt>
                        <w:sdtPr>
                          <w:alias w:val="Numeris"/>
                          <w:tag w:val="nr_afd7661ff16e4b0594ea535d8388728e"/>
                          <w:lock w:val="sdtLocked"/>
                          <w:richText/>
                        </w:sdtPr>
                        <w:sdtContent>
                          <w:r>
                            <w:rPr>
                              <w:rFonts w:eastAsia="Calibri"/>
                              <w:szCs w:val="24"/>
                              <w:lang w:eastAsia="lt-LT"/>
                            </w:rPr>
                            <w:t>2</w:t>
                          </w:r>
                        </w:sdtContent>
                      </w:sdt>
                      <w:r>
                        <w:rPr>
                          <w:rFonts w:eastAsia="Calibri"/>
                          <w:szCs w:val="24"/>
                          <w:lang w:eastAsia="lt-LT"/>
                        </w:rPr>
                        <w:t>) gyventojų pajamų mokesčio dalis (procentais), skiriama Vilniaus miesto savivaldybės biudžetui, – 45,95 procento;</w:t>
                      </w:r>
                    </w:p>
                  </w:sdtContent>
                </w:sdt>
                <w:sdt>
                  <w:sdtPr>
                    <w:alias w:val="2 str. 1 d. 3 p."/>
                    <w:tag w:val="part_1872204e7e2f4a1fb41b7cdf0d18d3df"/>
                    <w:lock w:val="sdtLocked"/>
                    <w:richText/>
                  </w:sdtPr>
                  <w:sdtContent>
                    <w:p>
                      <w:pPr>
                        <w:tabs>
                          <w:tab w:val="left" w:pos="1077"/>
                        </w:tabs>
                        <w:spacing w:line="360" w:lineRule="auto"/>
                        <w:ind w:firstLine="720"/>
                        <w:jc w:val="both"/>
                        <w:rPr>
                          <w:rFonts w:eastAsia="Calibri"/>
                          <w:szCs w:val="24"/>
                          <w:lang w:eastAsia="lt-LT"/>
                        </w:rPr>
                      </w:pPr>
                      <w:sdt>
                        <w:sdtPr>
                          <w:alias w:val="Numeris"/>
                          <w:tag w:val="nr_1872204e7e2f4a1fb41b7cdf0d18d3df"/>
                          <w:lock w:val="sdtLocked"/>
                          <w:richText/>
                        </w:sdtPr>
                        <w:sdtContent>
                          <w:r>
                            <w:rPr>
                              <w:rFonts w:eastAsia="Calibri"/>
                              <w:szCs w:val="24"/>
                              <w:lang w:eastAsia="lt-LT"/>
                            </w:rPr>
                            <w:t>3</w:t>
                          </w:r>
                        </w:sdtContent>
                      </w:sdt>
                      <w:r>
                        <w:rPr>
                          <w:rFonts w:eastAsia="Calibri"/>
                          <w:szCs w:val="24"/>
                          <w:lang w:eastAsia="lt-LT"/>
                        </w:rPr>
                        <w:t>) gyventojų pajamų mokesčio dalis (procentais), skiriama Kauno miesto savivaldybės biudžetui, – 76,85 procento;</w:t>
                      </w:r>
                    </w:p>
                  </w:sdtContent>
                </w:sdt>
                <w:sdt>
                  <w:sdtPr>
                    <w:alias w:val="2 str. 1 d. 4 p."/>
                    <w:tag w:val="part_89796b71f4114ae19fe7d02d0c81b7d6"/>
                    <w:lock w:val="sdtLocked"/>
                    <w:richText/>
                  </w:sdtPr>
                  <w:sdtContent>
                    <w:p>
                      <w:pPr>
                        <w:tabs>
                          <w:tab w:val="left" w:pos="1077"/>
                        </w:tabs>
                        <w:spacing w:line="360" w:lineRule="auto"/>
                        <w:ind w:firstLine="720"/>
                        <w:jc w:val="both"/>
                        <w:rPr>
                          <w:rFonts w:eastAsia="Calibri"/>
                          <w:szCs w:val="24"/>
                          <w:lang w:eastAsia="lt-LT"/>
                        </w:rPr>
                      </w:pPr>
                      <w:sdt>
                        <w:sdtPr>
                          <w:alias w:val="Numeris"/>
                          <w:tag w:val="nr_89796b71f4114ae19fe7d02d0c81b7d6"/>
                          <w:lock w:val="sdtLocked"/>
                          <w:richText/>
                        </w:sdtPr>
                        <w:sdtContent>
                          <w:r>
                            <w:rPr>
                              <w:rFonts w:eastAsia="Calibri"/>
                              <w:szCs w:val="24"/>
                              <w:lang w:eastAsia="lt-LT"/>
                            </w:rPr>
                            <w:t>4</w:t>
                          </w:r>
                        </w:sdtContent>
                      </w:sdt>
                      <w:r>
                        <w:rPr>
                          <w:rFonts w:eastAsia="Calibri"/>
                          <w:szCs w:val="24"/>
                          <w:lang w:eastAsia="lt-LT"/>
                        </w:rPr>
                        <w:t>) gyventojų pajamų mokesčio dalis (procentais), skiriama Klaipėdos miesto savivaldybės biudžetui, – 87,32 procento;</w:t>
                      </w:r>
                    </w:p>
                  </w:sdtContent>
                </w:sdt>
                <w:sdt>
                  <w:sdtPr>
                    <w:alias w:val="2 str. 1 d. 5 p."/>
                    <w:tag w:val="part_296e84200efc43aabd90c7f7cd835aa0"/>
                    <w:lock w:val="sdtLocked"/>
                    <w:richText/>
                  </w:sdtPr>
                  <w:sdtContent>
                    <w:p>
                      <w:pPr>
                        <w:tabs>
                          <w:tab w:val="left" w:pos="1077"/>
                        </w:tabs>
                        <w:spacing w:line="360" w:lineRule="auto"/>
                        <w:ind w:firstLine="720"/>
                        <w:jc w:val="both"/>
                        <w:rPr>
                          <w:rFonts w:eastAsia="Calibri"/>
                          <w:szCs w:val="24"/>
                          <w:lang w:eastAsia="lt-LT"/>
                        </w:rPr>
                      </w:pPr>
                      <w:sdt>
                        <w:sdtPr>
                          <w:alias w:val="Numeris"/>
                          <w:tag w:val="nr_296e84200efc43aabd90c7f7cd835aa0"/>
                          <w:lock w:val="sdtLocked"/>
                          <w:richText/>
                        </w:sdtPr>
                        <w:sdtContent>
                          <w:r>
                            <w:rPr>
                              <w:rFonts w:eastAsia="Calibri"/>
                              <w:szCs w:val="24"/>
                              <w:lang w:eastAsia="lt-LT"/>
                            </w:rPr>
                            <w:t>5</w:t>
                          </w:r>
                        </w:sdtContent>
                      </w:sdt>
                      <w:r>
                        <w:rPr>
                          <w:rFonts w:eastAsia="Calibri"/>
                          <w:szCs w:val="24"/>
                          <w:lang w:eastAsia="lt-LT"/>
                        </w:rPr>
                        <w:t>) gyventojų pajamų mokesčio dalis (procentais), skiriama Neringos savivaldybės biudžetui, – 59,04 procento;</w:t>
                      </w:r>
                    </w:p>
                  </w:sdtContent>
                </w:sdt>
                <w:sdt>
                  <w:sdtPr>
                    <w:alias w:val="2 str. 1 d. 6 p."/>
                    <w:tag w:val="part_a1125fdb92604e8d94886562c00fd311"/>
                    <w:lock w:val="sdtLocked"/>
                    <w:richText/>
                  </w:sdtPr>
                  <w:sdtContent>
                    <w:p>
                      <w:pPr>
                        <w:tabs>
                          <w:tab w:val="left" w:pos="1077"/>
                        </w:tabs>
                        <w:spacing w:line="360" w:lineRule="auto"/>
                        <w:ind w:firstLine="720"/>
                        <w:jc w:val="both"/>
                        <w:rPr>
                          <w:rFonts w:eastAsia="Calibri"/>
                          <w:szCs w:val="24"/>
                          <w:lang w:eastAsia="lt-LT"/>
                        </w:rPr>
                      </w:pPr>
                      <w:sdt>
                        <w:sdtPr>
                          <w:alias w:val="Numeris"/>
                          <w:tag w:val="nr_a1125fdb92604e8d94886562c00fd311"/>
                          <w:lock w:val="sdtLocked"/>
                          <w:richText/>
                        </w:sdtPr>
                        <w:sdtContent>
                          <w:r>
                            <w:rPr>
                              <w:rFonts w:eastAsia="Calibri"/>
                              <w:szCs w:val="24"/>
                              <w:lang w:eastAsia="lt-LT"/>
                            </w:rPr>
                            <w:t>6</w:t>
                          </w:r>
                        </w:sdtContent>
                      </w:sdt>
                      <w:r>
                        <w:rPr>
                          <w:rFonts w:eastAsia="Calibri"/>
                          <w:szCs w:val="24"/>
                          <w:lang w:eastAsia="lt-LT"/>
                        </w:rPr>
                        <w:t>) gyventojų pajamų mokesčio dalis (procentais), skiriama visų kitų savivaldybių biudžetams, – 100 procentų;</w:t>
                      </w:r>
                    </w:p>
                  </w:sdtContent>
                </w:sdt>
                <w:sdt>
                  <w:sdtPr>
                    <w:alias w:val="2 str. 1 d. 7 p."/>
                    <w:tag w:val="part_685d8a62ed2b4d15be62d370da406e63"/>
                    <w:lock w:val="sdtLocked"/>
                    <w:richText/>
                  </w:sdtPr>
                  <w:sdtContent>
                    <w:p>
                      <w:pPr>
                        <w:tabs>
                          <w:tab w:val="left" w:pos="1077"/>
                        </w:tabs>
                        <w:spacing w:line="360" w:lineRule="auto"/>
                        <w:ind w:firstLine="720"/>
                        <w:jc w:val="both"/>
                        <w:rPr>
                          <w:rFonts w:eastAsia="Calibri"/>
                          <w:szCs w:val="24"/>
                          <w:lang w:eastAsia="lt-LT"/>
                        </w:rPr>
                      </w:pPr>
                      <w:sdt>
                        <w:sdtPr>
                          <w:alias w:val="Numeris"/>
                          <w:tag w:val="nr_685d8a62ed2b4d15be62d370da406e63"/>
                          <w:lock w:val="sdtLocked"/>
                          <w:richText/>
                        </w:sdtPr>
                        <w:sdtContent>
                          <w:r>
                            <w:rPr>
                              <w:rFonts w:eastAsia="Calibri"/>
                              <w:szCs w:val="24"/>
                              <w:lang w:eastAsia="lt-LT"/>
                            </w:rPr>
                            <w:t>7</w:t>
                          </w:r>
                        </w:sdtContent>
                      </w:sdt>
                      <w:r>
                        <w:rPr>
                          <w:rFonts w:eastAsia="Calibri"/>
                          <w:szCs w:val="24"/>
                          <w:lang w:eastAsia="lt-LT"/>
                        </w:rPr>
                        <w:t xml:space="preserve">) valstybės biudžeto specialios tikslinės dotacijos savivaldybių biudžetams – </w:t>
                      </w:r>
                      <w:r>
                        <w:rPr>
                          <w:rFonts w:eastAsia="Calibri"/>
                          <w:bCs/>
                          <w:szCs w:val="24"/>
                          <w:lang w:eastAsia="lt-LT"/>
                        </w:rPr>
                        <w:t>740 364</w:t>
                      </w:r>
                      <w:r>
                        <w:rPr>
                          <w:rFonts w:eastAsia="Calibri"/>
                          <w:szCs w:val="24"/>
                          <w:lang w:eastAsia="lt-LT"/>
                        </w:rPr>
                        <w:t> tūkst. eurų (4 priedas);</w:t>
                      </w:r>
                    </w:p>
                  </w:sdtContent>
                </w:sdt>
                <w:sdt>
                  <w:sdtPr>
                    <w:alias w:val="2 str. 1 d. 8 p."/>
                    <w:tag w:val="part_f9f2c753f5744c2caac43fda77193a97"/>
                    <w:lock w:val="sdtLocked"/>
                    <w:richText/>
                  </w:sdtPr>
                  <w:sdtContent>
                    <w:p>
                      <w:pPr>
                        <w:spacing w:line="360" w:lineRule="auto"/>
                        <w:ind w:firstLine="720"/>
                        <w:jc w:val="both"/>
                        <w:rPr>
                          <w:rFonts w:eastAsia="Calibri"/>
                          <w:szCs w:val="24"/>
                          <w:lang w:eastAsia="lt-LT"/>
                        </w:rPr>
                      </w:pPr>
                      <w:sdt>
                        <w:sdtPr>
                          <w:alias w:val="Numeris"/>
                          <w:tag w:val="nr_f9f2c753f5744c2caac43fda77193a97"/>
                          <w:lock w:val="sdtLocked"/>
                          <w:richText/>
                        </w:sdtPr>
                        <w:sdtContent>
                          <w:r>
                            <w:rPr>
                              <w:rFonts w:eastAsia="Calibri"/>
                              <w:szCs w:val="24"/>
                              <w:lang w:eastAsia="lt-LT"/>
                            </w:rPr>
                            <w:t>8</w:t>
                          </w:r>
                        </w:sdtContent>
                      </w:sdt>
                      <w:r>
                        <w:rPr>
                          <w:rFonts w:eastAsia="Calibri"/>
                          <w:szCs w:val="24"/>
                          <w:lang w:eastAsia="lt-LT"/>
                        </w:rPr>
                        <w:t>) prognozuojamos valstybės biudžeto specialios tikslinės dotacijos savivaldybių biudžetams –</w:t>
                      </w:r>
                      <w:r>
                        <w:rPr>
                          <w:rFonts w:eastAsia="Calibri"/>
                          <w:bCs/>
                          <w:szCs w:val="24"/>
                          <w:lang w:eastAsia="lt-LT"/>
                        </w:rPr>
                        <w:t xml:space="preserve"> 168 909</w:t>
                      </w:r>
                      <w:r>
                        <w:rPr>
                          <w:rFonts w:eastAsia="Calibri"/>
                          <w:szCs w:val="24"/>
                          <w:lang w:eastAsia="lt-LT"/>
                        </w:rPr>
                        <w:t xml:space="preserve"> tūkst. eurų (5 priedas);</w:t>
                      </w:r>
                    </w:p>
                  </w:sdtContent>
                </w:sdt>
                <w:sdt>
                  <w:sdtPr>
                    <w:alias w:val="2 str. 1 d. 9 p."/>
                    <w:tag w:val="part_b08474fb6917411d91432778ef4b0cb1"/>
                    <w:lock w:val="sdtLocked"/>
                    <w:richText/>
                  </w:sdtPr>
                  <w:sdtContent>
                    <w:p>
                      <w:pPr>
                        <w:spacing w:line="360" w:lineRule="auto"/>
                        <w:ind w:firstLine="720"/>
                        <w:jc w:val="both"/>
                        <w:rPr>
                          <w:rFonts w:eastAsia="Calibri"/>
                          <w:szCs w:val="24"/>
                          <w:lang w:eastAsia="lt-LT"/>
                        </w:rPr>
                      </w:pPr>
                      <w:sdt>
                        <w:sdtPr>
                          <w:alias w:val="Numeris"/>
                          <w:tag w:val="nr_b08474fb6917411d91432778ef4b0cb1"/>
                          <w:lock w:val="sdtLocked"/>
                          <w:richText/>
                        </w:sdtPr>
                        <w:sdtContent>
                          <w:r>
                            <w:rPr>
                              <w:rFonts w:eastAsia="Calibri"/>
                              <w:szCs w:val="24"/>
                              <w:lang w:eastAsia="lt-LT"/>
                            </w:rPr>
                            <w:t>9</w:t>
                          </w:r>
                        </w:sdtContent>
                      </w:sdt>
                      <w:r>
                        <w:rPr>
                          <w:rFonts w:eastAsia="Calibri"/>
                          <w:szCs w:val="24"/>
                          <w:lang w:eastAsia="lt-LT"/>
                        </w:rPr>
                        <w:t xml:space="preserve">) valstybės biudžeto bendrosios dotacijos kompensacijos savivaldybių biudžetams – </w:t>
                      </w:r>
                      <w:r>
                        <w:rPr>
                          <w:bCs/>
                          <w:szCs w:val="24"/>
                          <w:lang w:eastAsia="lt-LT"/>
                        </w:rPr>
                        <w:t>64 793</w:t>
                      </w:r>
                      <w:r>
                        <w:rPr>
                          <w:rFonts w:eastAsia="Calibri"/>
                          <w:szCs w:val="24"/>
                          <w:lang w:eastAsia="lt-LT"/>
                        </w:rPr>
                        <w:t xml:space="preserve"> tūkst. eurų (6 priedas).</w:t>
                      </w:r>
                    </w:p>
                  </w:sdtContent>
                </w:sdt>
              </w:sdtContent>
            </w:sdt>
            <w:sdt>
              <w:sdtPr>
                <w:alias w:val="2 str. 2 d."/>
                <w:tag w:val="part_9f6e081493a14c6da84f7b074ce4761a"/>
                <w:lock w:val="sdtLocked"/>
                <w:richText/>
              </w:sdtPr>
              <w:sdtContent>
                <w:p>
                  <w:pPr>
                    <w:tabs>
                      <w:tab w:val="left" w:pos="1077"/>
                    </w:tabs>
                    <w:spacing w:line="360" w:lineRule="auto"/>
                    <w:ind w:firstLine="720"/>
                    <w:jc w:val="both"/>
                    <w:rPr>
                      <w:rFonts w:eastAsia="Calibri"/>
                      <w:szCs w:val="24"/>
                      <w:lang w:eastAsia="lt-LT"/>
                    </w:rPr>
                  </w:pPr>
                  <w:sdt>
                    <w:sdtPr>
                      <w:alias w:val="Numeris"/>
                      <w:tag w:val="nr_9f6e081493a14c6da84f7b074ce4761a"/>
                      <w:lock w:val="sdtLocked"/>
                      <w:richText/>
                    </w:sdtPr>
                    <w:sdtContent>
                      <w:r>
                        <w:rPr>
                          <w:rFonts w:eastAsia="Calibri"/>
                          <w:szCs w:val="24"/>
                          <w:lang w:eastAsia="lt-LT"/>
                          <w14:scene3d>
                            <w14:camera w14:prst="orthographicFront"/>
                            <w14:lightRig w14:rig="threePt" w14:dir="t">
                              <w14:rot w14:lat="0" w14:lon="0" w14:rev="0"/>
                            </w14:lightRig>
                          </w14:scene3d>
                        </w:rPr>
                        <w:t>2</w:t>
                      </w:r>
                    </w:sdtContent>
                  </w:sdt>
                  <w:r>
                    <w:rPr>
                      <w:rFonts w:eastAsia="Calibri"/>
                      <w:szCs w:val="24"/>
                      <w:lang w:eastAsia="lt-LT"/>
                      <w14:scene3d>
                        <w14:camera w14:prst="orthographicFront"/>
                        <w14:lightRig w14:rig="threePt" w14:dir="t">
                          <w14:rot w14:lat="0" w14:lon="0" w14:rev="0"/>
                        </w14:lightRig>
                      </w14:scene3d>
                    </w:rPr>
                    <w:t xml:space="preserve">. </w:t>
                  </w:r>
                  <w:r>
                    <w:rPr>
                      <w:rFonts w:eastAsia="Calibri"/>
                      <w:szCs w:val="24"/>
                      <w:lang w:eastAsia="lt-LT"/>
                    </w:rPr>
                    <w:t>Šiuo įstatymu numatomas savivaldybių biudžetų finansinis rodiklis – prognozuojamos pajamos, kuriuo savivaldybės vadovaujasi rengdamos savo biudžetus (7 priedas).</w:t>
                  </w:r>
                </w:p>
                <w:p>
                  <w:pPr>
                    <w:spacing w:line="360" w:lineRule="auto"/>
                    <w:ind w:firstLine="720"/>
                    <w:jc w:val="both"/>
                    <w:rPr>
                      <w:rFonts w:eastAsia="Calibri"/>
                      <w:szCs w:val="24"/>
                      <w:lang w:eastAsia="lt-LT"/>
                    </w:rPr>
                  </w:pPr>
                </w:p>
              </w:sdtContent>
            </w:sdt>
          </w:sdtContent>
        </w:sdt>
        <w:sdt>
          <w:sdtPr>
            <w:alias w:val="3 str."/>
            <w:tag w:val="part_3b5544e9098b4b299560763ecfc00611"/>
            <w:lock w:val="sdtLocked"/>
            <w:richText/>
          </w:sdtPr>
          <w:sdtContent>
            <w:p>
              <w:pPr>
                <w:spacing w:line="360" w:lineRule="auto"/>
                <w:ind w:left="1985" w:hanging="1265"/>
                <w:rPr>
                  <w:b/>
                </w:rPr>
              </w:pPr>
              <w:sdt>
                <w:sdtPr>
                  <w:alias w:val="Numeris"/>
                  <w:tag w:val="nr_3b5544e9098b4b299560763ecfc00611"/>
                  <w:lock w:val="sdtLocked"/>
                  <w:richText/>
                </w:sdtPr>
                <w:sdtContent>
                  <w:r>
                    <w:rPr>
                      <w:b/>
                    </w:rPr>
                    <w:t>3</w:t>
                  </w:r>
                </w:sdtContent>
              </w:sdt>
              <w:r>
                <w:rPr>
                  <w:b/>
                </w:rPr>
                <w:t xml:space="preserve"> straipsnis. </w:t>
              </w:r>
              <w:sdt>
                <w:sdtPr>
                  <w:alias w:val="Pavadinimas"/>
                  <w:tag w:val="title_3b5544e9098b4b299560763ecfc00611"/>
                  <w:lock w:val="sdtLocked"/>
                  <w:richText/>
                </w:sdtPr>
                <w:sdtContent>
                  <w:r>
                    <w:rPr>
                      <w:b/>
                    </w:rPr>
                    <w:t>Mokinio krepšelio dydis ir specialios tikslinės dotacijos mokinio (klasės, grupės) krepšeliui finansuoti naudojimas</w:t>
                  </w:r>
                </w:sdtContent>
              </w:sdt>
            </w:p>
            <w:sdt>
              <w:sdtPr>
                <w:alias w:val="3 str. 1 d."/>
                <w:tag w:val="part_4351bc034eb94f6aa280c6e9dbf9a57b"/>
                <w:lock w:val="sdtLocked"/>
                <w:richText/>
              </w:sdtPr>
              <w:sdtContent>
                <w:p>
                  <w:pPr>
                    <w:tabs>
                      <w:tab w:val="left" w:pos="1077"/>
                    </w:tabs>
                    <w:spacing w:line="360" w:lineRule="auto"/>
                    <w:ind w:firstLine="720"/>
                    <w:jc w:val="both"/>
                    <w:rPr>
                      <w:rFonts w:eastAsia="Calibri"/>
                      <w:szCs w:val="24"/>
                      <w:lang w:eastAsia="lt-LT"/>
                    </w:rPr>
                  </w:pPr>
                  <w:sdt>
                    <w:sdtPr>
                      <w:alias w:val="Numeris"/>
                      <w:tag w:val="nr_4351bc034eb94f6aa280c6e9dbf9a57b"/>
                      <w:lock w:val="sdtLocked"/>
                      <w:richText/>
                    </w:sdtPr>
                    <w:sdtContent>
                      <w:r>
                        <w:rPr>
                          <w:rFonts w:eastAsia="Calibri"/>
                          <w:szCs w:val="24"/>
                          <w:lang w:eastAsia="lt-LT"/>
                          <w14:scene3d>
                            <w14:camera w14:prst="orthographicFront"/>
                            <w14:lightRig w14:rig="threePt" w14:dir="t">
                              <w14:rot w14:lat="0" w14:lon="0" w14:rev="0"/>
                            </w14:lightRig>
                          </w14:scene3d>
                        </w:rPr>
                        <w:t>1</w:t>
                      </w:r>
                    </w:sdtContent>
                  </w:sdt>
                  <w:r>
                    <w:rPr>
                      <w:rFonts w:eastAsia="Calibri"/>
                      <w:szCs w:val="24"/>
                      <w:lang w:eastAsia="lt-LT"/>
                      <w14:scene3d>
                        <w14:camera w14:prst="orthographicFront"/>
                        <w14:lightRig w14:rig="threePt" w14:dir="t">
                          <w14:rot w14:lat="0" w14:lon="0" w14:rev="0"/>
                        </w14:lightRig>
                      </w14:scene3d>
                    </w:rPr>
                    <w:t xml:space="preserve">. </w:t>
                  </w:r>
                  <w:r>
                    <w:rPr>
                      <w:rFonts w:eastAsia="Calibri"/>
                      <w:szCs w:val="24"/>
                      <w:lang w:eastAsia="lt-LT"/>
                    </w:rPr>
                    <w:t>Mokinio krepšelis – mokymo lėšos, skirtos vienam sutartiniam mokiniui, apskaičiuojamos ir paskirstomos pagal Lietuvos Respublikos Vyriausybės (toliau – Vyriausybė) patvirtintą metodiką.</w:t>
                  </w:r>
                </w:p>
              </w:sdtContent>
            </w:sdt>
            <w:sdt>
              <w:sdtPr>
                <w:alias w:val="3 str. 2 d."/>
                <w:tag w:val="part_afa78fc587fe45bd85d507c79fbbf507"/>
                <w:lock w:val="sdtLocked"/>
                <w:richText/>
              </w:sdtPr>
              <w:sdtContent>
                <w:p>
                  <w:pPr>
                    <w:tabs>
                      <w:tab w:val="left" w:pos="1077"/>
                    </w:tabs>
                    <w:spacing w:line="360" w:lineRule="auto"/>
                    <w:ind w:firstLine="720"/>
                    <w:jc w:val="both"/>
                    <w:rPr>
                      <w:rFonts w:eastAsia="Calibri"/>
                      <w:szCs w:val="24"/>
                      <w:lang w:eastAsia="lt-LT"/>
                    </w:rPr>
                  </w:pPr>
                  <w:sdt>
                    <w:sdtPr>
                      <w:alias w:val="Numeris"/>
                      <w:tag w:val="nr_afa78fc587fe45bd85d507c79fbbf507"/>
                      <w:lock w:val="sdtLocked"/>
                      <w:richText/>
                    </w:sdtPr>
                    <w:sdtContent>
                      <w:r>
                        <w:rPr>
                          <w:rFonts w:eastAsia="Calibri"/>
                          <w:szCs w:val="24"/>
                          <w:lang w:eastAsia="lt-LT"/>
                          <w14:scene3d>
                            <w14:camera w14:prst="orthographicFront"/>
                            <w14:lightRig w14:rig="threePt" w14:dir="t">
                              <w14:rot w14:lat="0" w14:lon="0" w14:rev="0"/>
                            </w14:lightRig>
                          </w14:scene3d>
                        </w:rPr>
                        <w:t>2</w:t>
                      </w:r>
                    </w:sdtContent>
                  </w:sdt>
                  <w:r>
                    <w:rPr>
                      <w:rFonts w:eastAsia="Calibri"/>
                      <w:szCs w:val="24"/>
                      <w:lang w:eastAsia="lt-LT"/>
                      <w14:scene3d>
                        <w14:camera w14:prst="orthographicFront"/>
                        <w14:lightRig w14:rig="threePt" w14:dir="t">
                          <w14:rot w14:lat="0" w14:lon="0" w14:rev="0"/>
                        </w14:lightRig>
                      </w14:scene3d>
                    </w:rPr>
                    <w:t xml:space="preserve">. </w:t>
                  </w:r>
                  <w:r>
                    <w:rPr>
                      <w:rFonts w:eastAsia="Calibri"/>
                      <w:szCs w:val="24"/>
                      <w:lang w:eastAsia="lt-LT"/>
                    </w:rPr>
                    <w:t>Mokinio krepšelio dydis 2016 metais – 1 014 eurų.</w:t>
                  </w:r>
                </w:p>
              </w:sdtContent>
            </w:sdt>
            <w:sdt>
              <w:sdtPr>
                <w:alias w:val="3 str. 3 d."/>
                <w:tag w:val="part_b79c493829aa43638d0adcfc4ae0734a"/>
                <w:lock w:val="sdtLocked"/>
                <w:richText/>
              </w:sdtPr>
              <w:sdtContent>
                <w:p>
                  <w:pPr>
                    <w:tabs>
                      <w:tab w:val="left" w:pos="1077"/>
                    </w:tabs>
                    <w:spacing w:line="360" w:lineRule="auto"/>
                    <w:ind w:firstLine="720"/>
                    <w:jc w:val="both"/>
                    <w:rPr>
                      <w:rFonts w:eastAsia="Calibri"/>
                      <w:szCs w:val="24"/>
                      <w:lang w:eastAsia="lt-LT"/>
                    </w:rPr>
                  </w:pPr>
                  <w:sdt>
                    <w:sdtPr>
                      <w:alias w:val="Numeris"/>
                      <w:tag w:val="nr_b79c493829aa43638d0adcfc4ae0734a"/>
                      <w:lock w:val="sdtLocked"/>
                      <w:richText/>
                    </w:sdtPr>
                    <w:sdtContent>
                      <w:r>
                        <w:rPr>
                          <w:rFonts w:eastAsia="Calibri"/>
                          <w:szCs w:val="24"/>
                          <w:lang w:eastAsia="lt-LT"/>
                          <w14:scene3d>
                            <w14:camera w14:prst="orthographicFront"/>
                            <w14:lightRig w14:rig="threePt" w14:dir="t">
                              <w14:rot w14:lat="0" w14:lon="0" w14:rev="0"/>
                            </w14:lightRig>
                          </w14:scene3d>
                        </w:rPr>
                        <w:t>3</w:t>
                      </w:r>
                    </w:sdtContent>
                  </w:sdt>
                  <w:r>
                    <w:rPr>
                      <w:rFonts w:eastAsia="Calibri"/>
                      <w:szCs w:val="24"/>
                      <w:lang w:eastAsia="lt-LT"/>
                      <w14:scene3d>
                        <w14:camera w14:prst="orthographicFront"/>
                        <w14:lightRig w14:rig="threePt" w14:dir="t">
                          <w14:rot w14:lat="0" w14:lon="0" w14:rev="0"/>
                        </w14:lightRig>
                      </w14:scene3d>
                    </w:rPr>
                    <w:t xml:space="preserve">. </w:t>
                  </w:r>
                  <w:r>
                    <w:rPr>
                      <w:rFonts w:eastAsia="Calibri"/>
                      <w:szCs w:val="24"/>
                      <w:lang w:eastAsia="lt-LT"/>
                    </w:rPr>
                    <w:t xml:space="preserve">Klasės (grupės) krepšelis – tai vienai sąlyginei klasei (grupei) metams ugdymo planui įgyvendinti skiriamos lėšos, kurių dydis priklauso nuo sąlyginio klasės (grupės) dydžio, palyginti su tam tikru mokinių srautu, apskaičiuojamas, paskirstomas ir naudojamas pagal Vyriausybės patvirtintą </w:t>
                  </w:r>
                  <w:r>
                    <w:rPr>
                      <w:rFonts w:eastAsia="Calibri"/>
                      <w:bCs/>
                      <w:szCs w:val="24"/>
                      <w:lang w:eastAsia="lt-LT"/>
                    </w:rPr>
                    <w:t>Eksperimentinę mokymo lėšų apskaičiavimo</w:t>
                  </w:r>
                  <w:r>
                    <w:rPr>
                      <w:rFonts w:eastAsia="Calibri"/>
                      <w:bCs/>
                      <w:color w:val="004080"/>
                      <w:szCs w:val="24"/>
                      <w:lang w:eastAsia="lt-LT"/>
                    </w:rPr>
                    <w:t xml:space="preserve">, </w:t>
                  </w:r>
                  <w:r>
                    <w:rPr>
                      <w:rFonts w:eastAsia="Calibri"/>
                      <w:bCs/>
                      <w:szCs w:val="24"/>
                      <w:lang w:eastAsia="lt-LT"/>
                    </w:rPr>
                    <w:t>naudojimo ir paskirstymo metodiką.</w:t>
                  </w:r>
                </w:p>
              </w:sdtContent>
            </w:sdt>
            <w:sdt>
              <w:sdtPr>
                <w:alias w:val="3 str. 4 d."/>
                <w:tag w:val="part_3ce6ea885140403fadf2c5e7192a49ba"/>
                <w:lock w:val="sdtLocked"/>
                <w:richText/>
              </w:sdtPr>
              <w:sdtContent>
                <w:p>
                  <w:pPr>
                    <w:tabs>
                      <w:tab w:val="left" w:pos="1077"/>
                    </w:tabs>
                    <w:spacing w:line="360" w:lineRule="auto"/>
                    <w:ind w:firstLine="720"/>
                    <w:jc w:val="both"/>
                    <w:rPr>
                      <w:rFonts w:eastAsia="Calibri"/>
                      <w:szCs w:val="24"/>
                      <w:lang w:eastAsia="lt-LT"/>
                    </w:rPr>
                  </w:pPr>
                  <w:sdt>
                    <w:sdtPr>
                      <w:alias w:val="Numeris"/>
                      <w:tag w:val="nr_3ce6ea885140403fadf2c5e7192a49ba"/>
                      <w:lock w:val="sdtLocked"/>
                      <w:richText/>
                    </w:sdtPr>
                    <w:sdtContent>
                      <w:r>
                        <w:rPr>
                          <w:rFonts w:eastAsia="Calibri"/>
                          <w:szCs w:val="24"/>
                          <w:lang w:eastAsia="lt-LT"/>
                          <w14:scene3d>
                            <w14:camera w14:prst="orthographicFront"/>
                            <w14:lightRig w14:rig="threePt" w14:dir="t">
                              <w14:rot w14:lat="0" w14:lon="0" w14:rev="0"/>
                            </w14:lightRig>
                          </w14:scene3d>
                        </w:rPr>
                        <w:t>4</w:t>
                      </w:r>
                    </w:sdtContent>
                  </w:sdt>
                  <w:r>
                    <w:rPr>
                      <w:rFonts w:eastAsia="Calibri"/>
                      <w:szCs w:val="24"/>
                      <w:lang w:eastAsia="lt-LT"/>
                      <w14:scene3d>
                        <w14:camera w14:prst="orthographicFront"/>
                        <w14:lightRig w14:rig="threePt" w14:dir="t">
                          <w14:rot w14:lat="0" w14:lon="0" w14:rev="0"/>
                        </w14:lightRig>
                      </w14:scene3d>
                    </w:rPr>
                    <w:t xml:space="preserve">. </w:t>
                  </w:r>
                  <w:r>
                    <w:rPr>
                      <w:rFonts w:eastAsia="Calibri"/>
                      <w:szCs w:val="24"/>
                      <w:lang w:eastAsia="lt-LT"/>
                    </w:rPr>
                    <w:t>Savivaldybės specialios tikslinės dotacijos mokinio (</w:t>
                  </w:r>
                  <w:r>
                    <w:rPr>
                      <w:szCs w:val="24"/>
                      <w:lang w:eastAsia="lt-LT"/>
                    </w:rPr>
                    <w:t>klasės, grupės</w:t>
                  </w:r>
                  <w:r>
                    <w:rPr>
                      <w:rFonts w:eastAsia="Calibri"/>
                      <w:szCs w:val="24"/>
                      <w:lang w:eastAsia="lt-LT"/>
                    </w:rPr>
                    <w:t>) krepšeliui lėšų dalį, nurodytą Vyriausybės patvirtintoje metodikoje, savo nustatyta tvarka naudoja Vyriausybės patvirtintoje metodikoje numatytoms mokymo reikmėms.</w:t>
                  </w:r>
                </w:p>
                <w:p>
                  <w:pPr>
                    <w:spacing w:line="360" w:lineRule="auto"/>
                    <w:ind w:firstLine="720"/>
                    <w:jc w:val="both"/>
                    <w:rPr>
                      <w:rFonts w:eastAsia="Calibri"/>
                      <w:szCs w:val="24"/>
                    </w:rPr>
                  </w:pPr>
                </w:p>
              </w:sdtContent>
            </w:sdt>
          </w:sdtContent>
        </w:sdt>
        <w:sdt>
          <w:sdtPr>
            <w:alias w:val="4 str."/>
            <w:tag w:val="part_9f9b56eaf4fe4b06a106deb956f74e9d"/>
            <w:lock w:val="sdtLocked"/>
            <w:richText/>
          </w:sdtPr>
          <w:sdtContent>
            <w:p>
              <w:pPr>
                <w:spacing w:line="360" w:lineRule="auto"/>
                <w:ind w:left="2127" w:hanging="1407"/>
                <w:jc w:val="both"/>
                <w:rPr>
                  <w:b/>
                </w:rPr>
              </w:pPr>
              <w:sdt>
                <w:sdtPr>
                  <w:alias w:val="Numeris"/>
                  <w:tag w:val="nr_9f9b56eaf4fe4b06a106deb956f74e9d"/>
                  <w:lock w:val="sdtLocked"/>
                  <w:richText/>
                </w:sdtPr>
                <w:sdtContent>
                  <w:r>
                    <w:rPr>
                      <w:b/>
                    </w:rPr>
                    <w:t>4</w:t>
                  </w:r>
                </w:sdtContent>
              </w:sdt>
              <w:r>
                <w:rPr>
                  <w:b/>
                </w:rPr>
                <w:t xml:space="preserve"> straipsnis. </w:t>
              </w:r>
              <w:sdt>
                <w:sdtPr>
                  <w:alias w:val="Pavadinimas"/>
                  <w:tag w:val="title_9f9b56eaf4fe4b06a106deb956f74e9d"/>
                  <w:lock w:val="sdtLocked"/>
                  <w:richText/>
                </w:sdtPr>
                <w:sdtContent>
                  <w:r>
                    <w:rPr>
                      <w:b/>
                    </w:rPr>
                    <w:t>Valstybės biudžeto dotacijų savivaldybių biudžetams paskirstymas ir pervedimas</w:t>
                  </w:r>
                </w:sdtContent>
              </w:sdt>
            </w:p>
            <w:sdt>
              <w:sdtPr>
                <w:alias w:val="4 str. 1 d."/>
                <w:tag w:val="part_128c79edd03f4255856dbd04a5654a87"/>
                <w:lock w:val="sdtLocked"/>
                <w:richText/>
              </w:sdtPr>
              <w:sdtContent>
                <w:p>
                  <w:pPr>
                    <w:tabs>
                      <w:tab w:val="left" w:pos="1077"/>
                    </w:tabs>
                    <w:spacing w:line="360" w:lineRule="auto"/>
                    <w:ind w:firstLine="720"/>
                    <w:jc w:val="both"/>
                    <w:rPr>
                      <w:rFonts w:eastAsia="Calibri"/>
                      <w:szCs w:val="24"/>
                    </w:rPr>
                  </w:pPr>
                  <w:sdt>
                    <w:sdtPr>
                      <w:alias w:val="Numeris"/>
                      <w:tag w:val="nr_128c79edd03f4255856dbd04a5654a87"/>
                      <w:lock w:val="sdtLocked"/>
                      <w:richText/>
                    </w:sdtPr>
                    <w:sdtContent>
                      <w:r>
                        <w:rPr>
                          <w:rFonts w:eastAsia="Calibri"/>
                          <w:szCs w:val="24"/>
                          <w14:scene3d>
                            <w14:camera w14:prst="orthographicFront"/>
                            <w14:lightRig w14:rig="threePt" w14:dir="t">
                              <w14:rot w14:lat="0" w14:lon="0" w14:rev="0"/>
                            </w14:lightRig>
                          </w14:scene3d>
                        </w:rPr>
                        <w:t>1</w:t>
                      </w:r>
                    </w:sdtContent>
                  </w:sdt>
                  <w:r>
                    <w:rPr>
                      <w:rFonts w:eastAsia="Calibri"/>
                      <w:szCs w:val="24"/>
                      <w14:scene3d>
                        <w14:camera w14:prst="orthographicFront"/>
                        <w14:lightRig w14:rig="threePt" w14:dir="t">
                          <w14:rot w14:lat="0" w14:lon="0" w14:rev="0"/>
                        </w14:lightRig>
                      </w14:scene3d>
                    </w:rPr>
                    <w:t xml:space="preserve">. </w:t>
                  </w:r>
                  <w:r>
                    <w:rPr>
                      <w:rFonts w:eastAsia="Calibri"/>
                      <w:szCs w:val="24"/>
                    </w:rPr>
                    <w:t>Šio įstatymo 4 priede nurodytos valstybės institucijos ir įstaigos per 3 darbo dienas nuo šio įstatymo įsigaliojimo dienos specialias tikslines dotacijas, nustatytas šio įstatymo 4 priede, paskirsto savivaldybėms, apie tai joms praneša ir atsižvelgdamos į lėšų poreikį, perveda šias dotacijas savivaldybėms.</w:t>
                  </w:r>
                </w:p>
              </w:sdtContent>
            </w:sdt>
            <w:sdt>
              <w:sdtPr>
                <w:alias w:val="4 str. 2 d."/>
                <w:tag w:val="part_5654c2db50df4ebd9655f602092d38eb"/>
                <w:lock w:val="sdtLocked"/>
                <w:richText/>
              </w:sdtPr>
              <w:sdtContent>
                <w:p>
                  <w:pPr>
                    <w:tabs>
                      <w:tab w:val="left" w:pos="1077"/>
                    </w:tabs>
                    <w:spacing w:line="360" w:lineRule="auto"/>
                    <w:ind w:firstLine="720"/>
                    <w:jc w:val="both"/>
                    <w:rPr>
                      <w:rFonts w:eastAsia="Calibri"/>
                      <w:szCs w:val="24"/>
                    </w:rPr>
                  </w:pPr>
                  <w:sdt>
                    <w:sdtPr>
                      <w:alias w:val="Numeris"/>
                      <w:tag w:val="nr_5654c2db50df4ebd9655f602092d38eb"/>
                      <w:lock w:val="sdtLocked"/>
                      <w:richText/>
                    </w:sdtPr>
                    <w:sdtContent>
                      <w:r>
                        <w:rPr>
                          <w:rFonts w:eastAsia="Calibri"/>
                          <w:szCs w:val="24"/>
                          <w14:scene3d>
                            <w14:camera w14:prst="orthographicFront"/>
                            <w14:lightRig w14:rig="threePt" w14:dir="t">
                              <w14:rot w14:lat="0" w14:lon="0" w14:rev="0"/>
                            </w14:lightRig>
                          </w14:scene3d>
                        </w:rPr>
                        <w:t>2</w:t>
                      </w:r>
                    </w:sdtContent>
                  </w:sdt>
                  <w:r>
                    <w:rPr>
                      <w:rFonts w:eastAsia="Calibri"/>
                      <w:szCs w:val="24"/>
                      <w14:scene3d>
                        <w14:camera w14:prst="orthographicFront"/>
                        <w14:lightRig w14:rig="threePt" w14:dir="t">
                          <w14:rot w14:lat="0" w14:lon="0" w14:rev="0"/>
                        </w14:lightRig>
                      </w14:scene3d>
                    </w:rPr>
                    <w:t xml:space="preserve">. </w:t>
                  </w:r>
                  <w:r>
                    <w:rPr>
                      <w:rFonts w:eastAsia="Calibri"/>
                      <w:color w:val="000000"/>
                      <w:szCs w:val="24"/>
                    </w:rPr>
                    <w:t>Šio įstatymo 5 priede nurodytos valstybės institucijos ir įstaigos prognozuojamas valstybės biudžeto specialias tikslines dotacijas, nurodytas šio įstatymo 5 priede, paskirsto savivaldybėms, apie tai joms praneša ir, atsižvelgdamos į lėšų poreikį, perveda šias dotacijas savivaldybėms. Šio įstatymo 5 priede prognozuojamas valstybės biudžeto specialias tikslines dotacijas Valstybės investicijų 2016–2018 metų programoje numatytoms kapitalo investicijoms finansuoti Vyriausybė arba šio įstatymo 5 priede nurodytos valstybės institucijos ir įstaigos paskirsto savivaldybėms ir investicijų projektams, apie tai šio įstatymo 5 priede nurodytos valstybės institucijos ir įstaigos praneša savivaldybėms ir atsižvelgdamos į faktiškai atliktus darbus, suteiktas paslaugas ir įsigytas prekes, nurodytas valstybės institucijoms ir įstaigoms savivaldybių teikiamose paraiškose, perveda šias dotacijas savivaldybėms.</w:t>
                  </w:r>
                </w:p>
              </w:sdtContent>
            </w:sdt>
            <w:sdt>
              <w:sdtPr>
                <w:alias w:val="4 str. 3 d."/>
                <w:tag w:val="part_d9dfb32a165840f9880267826c73ef01"/>
                <w:lock w:val="sdtLocked"/>
                <w:richText/>
              </w:sdtPr>
              <w:sdtContent>
                <w:p>
                  <w:pPr>
                    <w:tabs>
                      <w:tab w:val="left" w:pos="1077"/>
                    </w:tabs>
                    <w:spacing w:line="360" w:lineRule="auto"/>
                    <w:ind w:firstLine="720"/>
                    <w:jc w:val="both"/>
                    <w:rPr>
                      <w:rFonts w:eastAsia="Calibri"/>
                      <w:szCs w:val="24"/>
                    </w:rPr>
                  </w:pPr>
                  <w:sdt>
                    <w:sdtPr>
                      <w:alias w:val="Numeris"/>
                      <w:tag w:val="nr_d9dfb32a165840f9880267826c73ef01"/>
                      <w:lock w:val="sdtLocked"/>
                      <w:richText/>
                    </w:sdtPr>
                    <w:sdtContent>
                      <w:r>
                        <w:rPr>
                          <w:rFonts w:eastAsia="Calibri"/>
                          <w:szCs w:val="24"/>
                          <w14:scene3d>
                            <w14:camera w14:prst="orthographicFront"/>
                            <w14:lightRig w14:rig="threePt" w14:dir="t">
                              <w14:rot w14:lat="0" w14:lon="0" w14:rev="0"/>
                            </w14:lightRig>
                          </w14:scene3d>
                        </w:rPr>
                        <w:t>3</w:t>
                      </w:r>
                    </w:sdtContent>
                  </w:sdt>
                  <w:r>
                    <w:rPr>
                      <w:rFonts w:eastAsia="Calibri"/>
                      <w:szCs w:val="24"/>
                      <w14:scene3d>
                        <w14:camera w14:prst="orthographicFront"/>
                        <w14:lightRig w14:rig="threePt" w14:dir="t">
                          <w14:rot w14:lat="0" w14:lon="0" w14:rev="0"/>
                        </w14:lightRig>
                      </w14:scene3d>
                    </w:rPr>
                    <w:t xml:space="preserve">. </w:t>
                  </w:r>
                  <w:r>
                    <w:rPr>
                      <w:rFonts w:eastAsia="Calibri"/>
                      <w:szCs w:val="24"/>
                    </w:rPr>
                    <w:t>Lietuvos Respublikos finansų ministerija (toliau – Finansų ministerija) perveda savivaldybėms šio įstatymo 6 priede nustatytas valstybės biudžeto bendrosios dotacijos kompensacijų savivaldybių biudžetams sumas.</w:t>
                  </w:r>
                </w:p>
              </w:sdtContent>
            </w:sdt>
            <w:sdt>
              <w:sdtPr>
                <w:alias w:val="4 str. 4 d."/>
                <w:tag w:val="part_33123ac20ca7445a8e2b0b6f13d9f758"/>
                <w:lock w:val="sdtLocked"/>
                <w:richText/>
              </w:sdtPr>
              <w:sdtContent>
                <w:p>
                  <w:pPr>
                    <w:tabs>
                      <w:tab w:val="left" w:pos="1077"/>
                    </w:tabs>
                    <w:spacing w:line="360" w:lineRule="auto"/>
                    <w:ind w:firstLine="720"/>
                    <w:jc w:val="both"/>
                    <w:rPr>
                      <w:rFonts w:eastAsia="Calibri"/>
                      <w:szCs w:val="24"/>
                    </w:rPr>
                  </w:pPr>
                  <w:sdt>
                    <w:sdtPr>
                      <w:alias w:val="Numeris"/>
                      <w:tag w:val="nr_33123ac20ca7445a8e2b0b6f13d9f758"/>
                      <w:lock w:val="sdtLocked"/>
                      <w:richText/>
                    </w:sdtPr>
                    <w:sdtContent>
                      <w:r>
                        <w:rPr>
                          <w:rFonts w:eastAsia="Calibri"/>
                          <w:szCs w:val="24"/>
                          <w14:scene3d>
                            <w14:camera w14:prst="orthographicFront"/>
                            <w14:lightRig w14:rig="threePt" w14:dir="t">
                              <w14:rot w14:lat="0" w14:lon="0" w14:rev="0"/>
                            </w14:lightRig>
                          </w14:scene3d>
                        </w:rPr>
                        <w:t>4</w:t>
                      </w:r>
                    </w:sdtContent>
                  </w:sdt>
                  <w:r>
                    <w:rPr>
                      <w:rFonts w:eastAsia="Calibri"/>
                      <w:szCs w:val="24"/>
                      <w14:scene3d>
                        <w14:camera w14:prst="orthographicFront"/>
                        <w14:lightRig w14:rig="threePt" w14:dir="t">
                          <w14:rot w14:lat="0" w14:lon="0" w14:rev="0"/>
                        </w14:lightRig>
                      </w14:scene3d>
                    </w:rPr>
                    <w:t xml:space="preserve">. </w:t>
                  </w:r>
                  <w:r>
                    <w:rPr>
                      <w:rFonts w:eastAsia="Calibri"/>
                      <w:szCs w:val="24"/>
                    </w:rPr>
                    <w:t>Šio įstatymo 4 ir 5 prieduose nurodytos valstybės institucijos ir įstaigos padidina arba sumažina savivaldybėms skiriamas dotacijas, jeigu biudžetiniais metais teisės aktų nustatyta tvarka priimami sprendimai dėl papildomų lėšų skyrimo arba lėšų sumažinimo savivaldybėms tikslams, kuriems yra skiriamos šio įstatymo 4 ir 5 prieduose nurodytos dotacijos. Savivaldybėms skiriamos dotacijos didinamos arba mažinamos ta pačia tvarka kaip ir paskirstomos.</w:t>
                  </w:r>
                </w:p>
              </w:sdtContent>
            </w:sdt>
            <w:sdt>
              <w:sdtPr>
                <w:alias w:val="4 str. 5 d."/>
                <w:tag w:val="part_409b9c0eff654f17836f0f90cb412763"/>
                <w:lock w:val="sdtLocked"/>
                <w:richText/>
              </w:sdtPr>
              <w:sdtContent>
                <w:p>
                  <w:pPr>
                    <w:tabs>
                      <w:tab w:val="left" w:pos="1077"/>
                    </w:tabs>
                    <w:spacing w:line="360" w:lineRule="auto"/>
                    <w:ind w:firstLine="720"/>
                    <w:jc w:val="both"/>
                    <w:rPr>
                      <w:rFonts w:eastAsia="Calibri"/>
                      <w:szCs w:val="24"/>
                    </w:rPr>
                  </w:pPr>
                  <w:sdt>
                    <w:sdtPr>
                      <w:alias w:val="Numeris"/>
                      <w:tag w:val="nr_409b9c0eff654f17836f0f90cb412763"/>
                      <w:lock w:val="sdtLocked"/>
                      <w:richText/>
                    </w:sdtPr>
                    <w:sdtContent>
                      <w:r>
                        <w:rPr>
                          <w:rFonts w:eastAsia="Calibri"/>
                          <w:szCs w:val="24"/>
                          <w14:scene3d>
                            <w14:camera w14:prst="orthographicFront"/>
                            <w14:lightRig w14:rig="threePt" w14:dir="t">
                              <w14:rot w14:lat="0" w14:lon="0" w14:rev="0"/>
                            </w14:lightRig>
                          </w14:scene3d>
                        </w:rPr>
                        <w:t>5</w:t>
                      </w:r>
                    </w:sdtContent>
                  </w:sdt>
                  <w:r>
                    <w:rPr>
                      <w:rFonts w:eastAsia="Calibri"/>
                      <w:szCs w:val="24"/>
                      <w14:scene3d>
                        <w14:camera w14:prst="orthographicFront"/>
                        <w14:lightRig w14:rig="threePt" w14:dir="t">
                          <w14:rot w14:lat="0" w14:lon="0" w14:rev="0"/>
                        </w14:lightRig>
                      </w14:scene3d>
                    </w:rPr>
                    <w:t xml:space="preserve">. </w:t>
                  </w:r>
                  <w:r>
                    <w:rPr>
                      <w:rFonts w:eastAsia="Calibri"/>
                      <w:szCs w:val="24"/>
                    </w:rPr>
                    <w:t>Savivaldybės, atsižvelgdamos į iš valstybės institucijų ir įstaigų gautas dotacijas, įskaitant Europos Sąjungos ir kitos tarptautinės finansinės paramos lėšas, atitinkamai patikslina savo patvirtintus biudžetus.</w:t>
                  </w:r>
                </w:p>
              </w:sdtContent>
            </w:sdt>
            <w:sdt>
              <w:sdtPr>
                <w:alias w:val="4 str. 6 d."/>
                <w:tag w:val="part_cde629ab28ea4e949db2b02618f14c0c"/>
                <w:lock w:val="sdtLocked"/>
                <w:richText/>
              </w:sdtPr>
              <w:sdtContent>
                <w:p>
                  <w:pPr>
                    <w:tabs>
                      <w:tab w:val="left" w:pos="1077"/>
                    </w:tabs>
                    <w:spacing w:line="360" w:lineRule="auto"/>
                    <w:ind w:firstLine="720"/>
                    <w:jc w:val="both"/>
                    <w:rPr>
                      <w:rFonts w:eastAsia="Calibri"/>
                      <w:szCs w:val="24"/>
                    </w:rPr>
                  </w:pPr>
                  <w:sdt>
                    <w:sdtPr>
                      <w:alias w:val="Numeris"/>
                      <w:tag w:val="nr_cde629ab28ea4e949db2b02618f14c0c"/>
                      <w:lock w:val="sdtLocked"/>
                      <w:richText/>
                    </w:sdtPr>
                    <w:sdtContent>
                      <w:r>
                        <w:rPr>
                          <w:rFonts w:eastAsia="Calibri"/>
                          <w:szCs w:val="24"/>
                          <w14:scene3d>
                            <w14:camera w14:prst="orthographicFront"/>
                            <w14:lightRig w14:rig="threePt" w14:dir="t">
                              <w14:rot w14:lat="0" w14:lon="0" w14:rev="0"/>
                            </w14:lightRig>
                          </w14:scene3d>
                        </w:rPr>
                        <w:t>6</w:t>
                      </w:r>
                    </w:sdtContent>
                  </w:sdt>
                  <w:r>
                    <w:rPr>
                      <w:rFonts w:eastAsia="Calibri"/>
                      <w:szCs w:val="24"/>
                      <w14:scene3d>
                        <w14:camera w14:prst="orthographicFront"/>
                        <w14:lightRig w14:rig="threePt" w14:dir="t">
                          <w14:rot w14:lat="0" w14:lon="0" w14:rev="0"/>
                        </w14:lightRig>
                      </w14:scene3d>
                    </w:rPr>
                    <w:t xml:space="preserve">. </w:t>
                  </w:r>
                  <w:r>
                    <w:rPr>
                      <w:rFonts w:eastAsia="Calibri"/>
                      <w:szCs w:val="24"/>
                    </w:rPr>
                    <w:t>Savivaldybės gautas ir nepanaudotas šio įstatymo 4 ir 5 prieduose nurodytas dotacijų sumas grąžina šio įstatymo 4 ir 5 prieduose nurodytoms valstybės institucijoms ir įstaigoms</w:t>
                  </w:r>
                  <w:r>
                    <w:rPr>
                      <w:rFonts w:eastAsia="Calibri"/>
                      <w:bCs/>
                      <w:color w:val="000000"/>
                      <w:szCs w:val="24"/>
                    </w:rPr>
                    <w:t>.</w:t>
                  </w:r>
                </w:p>
                <w:p>
                  <w:pPr>
                    <w:spacing w:line="360" w:lineRule="auto"/>
                    <w:ind w:firstLine="720"/>
                    <w:jc w:val="both"/>
                    <w:rPr>
                      <w:rFonts w:eastAsia="Calibri"/>
                      <w:szCs w:val="24"/>
                    </w:rPr>
                  </w:pPr>
                </w:p>
              </w:sdtContent>
            </w:sdt>
          </w:sdtContent>
        </w:sdt>
        <w:sdt>
          <w:sdtPr>
            <w:alias w:val="5 str."/>
            <w:tag w:val="part_1eb9f89e27914531b39057af7bed3ba5"/>
            <w:lock w:val="sdtLocked"/>
            <w:richText/>
          </w:sdtPr>
          <w:sdtContent>
            <w:p>
              <w:pPr>
                <w:spacing w:line="360" w:lineRule="auto"/>
                <w:ind w:left="2268" w:hanging="1548"/>
                <w:jc w:val="both"/>
                <w:rPr>
                  <w:b/>
                </w:rPr>
              </w:pPr>
              <w:sdt>
                <w:sdtPr>
                  <w:alias w:val="Numeris"/>
                  <w:tag w:val="nr_1eb9f89e27914531b39057af7bed3ba5"/>
                  <w:lock w:val="sdtLocked"/>
                  <w:richText/>
                </w:sdtPr>
                <w:sdtContent>
                  <w:r>
                    <w:rPr>
                      <w:b/>
                    </w:rPr>
                    <w:t>5</w:t>
                  </w:r>
                </w:sdtContent>
              </w:sdt>
              <w:r>
                <w:rPr>
                  <w:b/>
                </w:rPr>
                <w:t xml:space="preserve"> straipsnis. </w:t>
              </w:r>
              <w:sdt>
                <w:sdtPr>
                  <w:alias w:val="Pavadinimas"/>
                  <w:tag w:val="title_1eb9f89e27914531b39057af7bed3ba5"/>
                  <w:lock w:val="sdtLocked"/>
                  <w:richText/>
                </w:sdtPr>
                <w:sdtContent>
                  <w:r>
                    <w:rPr>
                      <w:b/>
                    </w:rPr>
                    <w:t>Valstybės biudžeto asignavimų perskirstymas, asmeniui keičiant studijų programą</w:t>
                  </w:r>
                </w:sdtContent>
              </w:sdt>
            </w:p>
            <w:sdt>
              <w:sdtPr>
                <w:alias w:val="5 str. 1 d."/>
                <w:tag w:val="part_fa4557817f76417cae9a7a130fad1eb3"/>
                <w:lock w:val="sdtLocked"/>
                <w:richText/>
              </w:sdtPr>
              <w:sdtContent>
                <w:p>
                  <w:pPr>
                    <w:tabs>
                      <w:tab w:val="left" w:pos="1077"/>
                    </w:tabs>
                    <w:spacing w:line="360" w:lineRule="auto"/>
                    <w:ind w:firstLine="720"/>
                    <w:jc w:val="both"/>
                    <w:rPr>
                      <w:rFonts w:eastAsia="Calibri"/>
                      <w:szCs w:val="24"/>
                    </w:rPr>
                  </w:pPr>
                  <w:sdt>
                    <w:sdtPr>
                      <w:alias w:val="Numeris"/>
                      <w:tag w:val="nr_fa4557817f76417cae9a7a130fad1eb3"/>
                      <w:lock w:val="sdtLocked"/>
                      <w:richText/>
                    </w:sdtPr>
                    <w:sdtContent>
                      <w:r>
                        <w:rPr>
                          <w:rFonts w:eastAsia="Calibri"/>
                          <w:szCs w:val="24"/>
                          <w14:scene3d>
                            <w14:camera w14:prst="orthographicFront"/>
                            <w14:lightRig w14:rig="threePt" w14:dir="t">
                              <w14:rot w14:lat="0" w14:lon="0" w14:rev="0"/>
                            </w14:lightRig>
                          </w14:scene3d>
                        </w:rPr>
                        <w:t>1</w:t>
                      </w:r>
                    </w:sdtContent>
                  </w:sdt>
                  <w:r>
                    <w:rPr>
                      <w:rFonts w:eastAsia="Calibri"/>
                      <w:szCs w:val="24"/>
                      <w14:scene3d>
                        <w14:camera w14:prst="orthographicFront"/>
                        <w14:lightRig w14:rig="threePt" w14:dir="t">
                          <w14:rot w14:lat="0" w14:lon="0" w14:rev="0"/>
                        </w14:lightRig>
                      </w14:scene3d>
                    </w:rPr>
                    <w:t xml:space="preserve">. </w:t>
                  </w:r>
                  <w:r>
                    <w:rPr>
                      <w:rFonts w:eastAsia="Calibri"/>
                      <w:szCs w:val="24"/>
                    </w:rPr>
                    <w:t>Asmeniui, kurio studijos yra valstybės finansuojamos, Lietuvos Respublikos mokslo ir studijų įstatymo (toliau – Mokslo ir studijų įstatymas) ir studijų programos keitimo tvarką reglamentuojančių kitų teisės aktų nustatyta tvarka keičiant studijų programą, valstybės biudžeto asignavimų sumos perskirstomos tarp valstybės biudžeto asignavimų valdytojų aukštosioms mokykloms suderinus tarpusavyje.</w:t>
                  </w:r>
                </w:p>
              </w:sdtContent>
            </w:sdt>
            <w:sdt>
              <w:sdtPr>
                <w:alias w:val="5 str. 2 d."/>
                <w:tag w:val="part_58057fec9ead48c8980f58ce40cb0ef3"/>
                <w:lock w:val="sdtLocked"/>
                <w:richText/>
              </w:sdtPr>
              <w:sdtContent>
                <w:p>
                  <w:pPr>
                    <w:tabs>
                      <w:tab w:val="left" w:pos="1077"/>
                    </w:tabs>
                    <w:spacing w:line="360" w:lineRule="auto"/>
                    <w:ind w:firstLine="720"/>
                    <w:jc w:val="both"/>
                    <w:rPr>
                      <w:rFonts w:eastAsia="Calibri"/>
                      <w:szCs w:val="24"/>
                    </w:rPr>
                  </w:pPr>
                  <w:sdt>
                    <w:sdtPr>
                      <w:alias w:val="Numeris"/>
                      <w:tag w:val="nr_58057fec9ead48c8980f58ce40cb0ef3"/>
                      <w:lock w:val="sdtLocked"/>
                      <w:richText/>
                    </w:sdtPr>
                    <w:sdtContent>
                      <w:r>
                        <w:rPr>
                          <w:rFonts w:eastAsia="Calibri"/>
                          <w:szCs w:val="24"/>
                          <w14:scene3d>
                            <w14:camera w14:prst="orthographicFront"/>
                            <w14:lightRig w14:rig="threePt" w14:dir="t">
                              <w14:rot w14:lat="0" w14:lon="0" w14:rev="0"/>
                            </w14:lightRig>
                          </w14:scene3d>
                        </w:rPr>
                        <w:t>2</w:t>
                      </w:r>
                    </w:sdtContent>
                  </w:sdt>
                  <w:r>
                    <w:rPr>
                      <w:rFonts w:eastAsia="Calibri"/>
                      <w:szCs w:val="24"/>
                      <w14:scene3d>
                        <w14:camera w14:prst="orthographicFront"/>
                        <w14:lightRig w14:rig="threePt" w14:dir="t">
                          <w14:rot w14:lat="0" w14:lon="0" w14:rev="0"/>
                        </w14:lightRig>
                      </w14:scene3d>
                    </w:rPr>
                    <w:t xml:space="preserve">. </w:t>
                  </w:r>
                  <w:r>
                    <w:rPr>
                      <w:rFonts w:eastAsia="Calibri"/>
                      <w:szCs w:val="24"/>
                    </w:rPr>
                    <w:t>Finansų ministerija valstybės biudžeto asignavimų sumas perskirsto tarp:</w:t>
                  </w:r>
                </w:p>
                <w:sdt>
                  <w:sdtPr>
                    <w:alias w:val="5 str. 2 d. 1 p."/>
                    <w:tag w:val="part_c4324ddeae80402486097f2d89df921c"/>
                    <w:lock w:val="sdtLocked"/>
                    <w:richText/>
                  </w:sdtPr>
                  <w:sdtContent>
                    <w:p>
                      <w:pPr>
                        <w:tabs>
                          <w:tab w:val="left" w:pos="1077"/>
                        </w:tabs>
                        <w:spacing w:line="360" w:lineRule="auto"/>
                        <w:ind w:firstLine="720"/>
                        <w:jc w:val="both"/>
                        <w:rPr>
                          <w:rFonts w:eastAsia="Calibri"/>
                          <w:szCs w:val="24"/>
                        </w:rPr>
                      </w:pPr>
                      <w:sdt>
                        <w:sdtPr>
                          <w:alias w:val="Numeris"/>
                          <w:tag w:val="nr_c4324ddeae80402486097f2d89df921c"/>
                          <w:lock w:val="sdtLocked"/>
                          <w:richText/>
                        </w:sdtPr>
                        <w:sdtContent>
                          <w:r>
                            <w:rPr>
                              <w:rFonts w:eastAsia="Calibri"/>
                              <w:szCs w:val="24"/>
                            </w:rPr>
                            <w:t>1</w:t>
                          </w:r>
                        </w:sdtContent>
                      </w:sdt>
                      <w:r>
                        <w:rPr>
                          <w:rFonts w:eastAsia="Calibri"/>
                          <w:szCs w:val="24"/>
                        </w:rPr>
                        <w:t>) valstybinių universitetų, kai asmuo pereina iš vieno valstybinio universiteto į kitą;</w:t>
                      </w:r>
                    </w:p>
                  </w:sdtContent>
                </w:sdt>
                <w:sdt>
                  <w:sdtPr>
                    <w:alias w:val="5 str. 2 d. 2 p."/>
                    <w:tag w:val="part_b593d0b9f87440908ebea1940faf3aac"/>
                    <w:lock w:val="sdtLocked"/>
                    <w:richText/>
                  </w:sdtPr>
                  <w:sdtContent>
                    <w:p>
                      <w:pPr>
                        <w:tabs>
                          <w:tab w:val="left" w:pos="1077"/>
                        </w:tabs>
                        <w:spacing w:line="360" w:lineRule="auto"/>
                        <w:ind w:firstLine="720"/>
                        <w:jc w:val="both"/>
                        <w:rPr>
                          <w:rFonts w:eastAsia="Calibri"/>
                          <w:szCs w:val="24"/>
                        </w:rPr>
                      </w:pPr>
                      <w:sdt>
                        <w:sdtPr>
                          <w:alias w:val="Numeris"/>
                          <w:tag w:val="nr_b593d0b9f87440908ebea1940faf3aac"/>
                          <w:lock w:val="sdtLocked"/>
                          <w:richText/>
                        </w:sdtPr>
                        <w:sdtContent>
                          <w:r>
                            <w:rPr>
                              <w:rFonts w:eastAsia="Calibri"/>
                              <w:szCs w:val="24"/>
                            </w:rPr>
                            <w:t>2</w:t>
                          </w:r>
                        </w:sdtContent>
                      </w:sdt>
                      <w:r>
                        <w:rPr>
                          <w:rFonts w:eastAsia="Calibri"/>
                          <w:szCs w:val="24"/>
                        </w:rPr>
                        <w:t>) valstybinių universitetų ir Lietuvos Respublikos švietimo ir mokslo ministerijos (toliau – Švietimo ir mokslo ministerija), kai asmuo pereina iš valstybinio universiteto į nevalstybinę aukštąją mokyklą ar atvirkščiai.</w:t>
                      </w:r>
                    </w:p>
                  </w:sdtContent>
                </w:sdt>
              </w:sdtContent>
            </w:sdt>
            <w:sdt>
              <w:sdtPr>
                <w:alias w:val="5 str. 3 d."/>
                <w:tag w:val="part_c8270672f80c4ba8842d4e4ae332794b"/>
                <w:lock w:val="sdtLocked"/>
                <w:richText/>
              </w:sdtPr>
              <w:sdtContent>
                <w:p>
                  <w:pPr>
                    <w:tabs>
                      <w:tab w:val="left" w:pos="1077"/>
                    </w:tabs>
                    <w:spacing w:line="360" w:lineRule="auto"/>
                    <w:ind w:firstLine="720"/>
                    <w:jc w:val="both"/>
                    <w:rPr>
                      <w:rFonts w:eastAsia="Calibri"/>
                      <w:szCs w:val="24"/>
                    </w:rPr>
                  </w:pPr>
                  <w:sdt>
                    <w:sdtPr>
                      <w:alias w:val="Numeris"/>
                      <w:tag w:val="nr_c8270672f80c4ba8842d4e4ae332794b"/>
                      <w:lock w:val="sdtLocked"/>
                      <w:richText/>
                    </w:sdtPr>
                    <w:sdtContent>
                      <w:r>
                        <w:rPr>
                          <w:rFonts w:eastAsia="Calibri"/>
                          <w:szCs w:val="24"/>
                          <w14:scene3d>
                            <w14:camera w14:prst="orthographicFront"/>
                            <w14:lightRig w14:rig="threePt" w14:dir="t">
                              <w14:rot w14:lat="0" w14:lon="0" w14:rev="0"/>
                            </w14:lightRig>
                          </w14:scene3d>
                        </w:rPr>
                        <w:t>3</w:t>
                      </w:r>
                    </w:sdtContent>
                  </w:sdt>
                  <w:r>
                    <w:rPr>
                      <w:rFonts w:eastAsia="Calibri"/>
                      <w:szCs w:val="24"/>
                      <w14:scene3d>
                        <w14:camera w14:prst="orthographicFront"/>
                        <w14:lightRig w14:rig="threePt" w14:dir="t">
                          <w14:rot w14:lat="0" w14:lon="0" w14:rev="0"/>
                        </w14:lightRig>
                      </w14:scene3d>
                    </w:rPr>
                    <w:t xml:space="preserve">. </w:t>
                  </w:r>
                  <w:r>
                    <w:rPr>
                      <w:rFonts w:eastAsia="Calibri"/>
                      <w:szCs w:val="24"/>
                    </w:rPr>
                    <w:t>Švietimo ir mokslo ministerija asignavimų sumas perskirsto tarp:</w:t>
                  </w:r>
                </w:p>
                <w:sdt>
                  <w:sdtPr>
                    <w:alias w:val="5 str. 3 d. 1 p."/>
                    <w:tag w:val="part_037437079a8f4a1599d2559e19b39519"/>
                    <w:lock w:val="sdtLocked"/>
                    <w:richText/>
                  </w:sdtPr>
                  <w:sdtContent>
                    <w:p>
                      <w:pPr>
                        <w:tabs>
                          <w:tab w:val="left" w:pos="1077"/>
                        </w:tabs>
                        <w:spacing w:line="360" w:lineRule="auto"/>
                        <w:ind w:firstLine="720"/>
                        <w:jc w:val="both"/>
                        <w:rPr>
                          <w:rFonts w:eastAsia="Calibri"/>
                          <w:szCs w:val="24"/>
                          <w:lang w:eastAsia="lt-LT"/>
                        </w:rPr>
                      </w:pPr>
                      <w:sdt>
                        <w:sdtPr>
                          <w:alias w:val="Numeris"/>
                          <w:tag w:val="nr_037437079a8f4a1599d2559e19b39519"/>
                          <w:lock w:val="sdtLocked"/>
                          <w:richText/>
                        </w:sdtPr>
                        <w:sdtContent>
                          <w:r>
                            <w:rPr>
                              <w:rFonts w:eastAsia="Calibri"/>
                              <w:szCs w:val="24"/>
                              <w:lang w:eastAsia="lt-LT"/>
                            </w:rPr>
                            <w:t>1</w:t>
                          </w:r>
                        </w:sdtContent>
                      </w:sdt>
                      <w:r>
                        <w:rPr>
                          <w:rFonts w:eastAsia="Calibri"/>
                          <w:szCs w:val="24"/>
                          <w:lang w:eastAsia="lt-LT"/>
                        </w:rPr>
                        <w:t>) kolegijų, kai asmuo pereina iš vienos kolegijos į kitą;</w:t>
                      </w:r>
                    </w:p>
                  </w:sdtContent>
                </w:sdt>
                <w:sdt>
                  <w:sdtPr>
                    <w:alias w:val="5 str. 3 d. 2 p."/>
                    <w:tag w:val="part_32bbbd3ee7b44bb3be5451775ef37ead"/>
                    <w:lock w:val="sdtLocked"/>
                    <w:richText/>
                  </w:sdtPr>
                  <w:sdtContent>
                    <w:p>
                      <w:pPr>
                        <w:tabs>
                          <w:tab w:val="left" w:pos="1077"/>
                        </w:tabs>
                        <w:spacing w:line="360" w:lineRule="auto"/>
                        <w:ind w:firstLine="720"/>
                        <w:jc w:val="both"/>
                        <w:rPr>
                          <w:rFonts w:eastAsia="Calibri"/>
                          <w:szCs w:val="24"/>
                          <w:lang w:eastAsia="lt-LT"/>
                        </w:rPr>
                      </w:pPr>
                      <w:sdt>
                        <w:sdtPr>
                          <w:alias w:val="Numeris"/>
                          <w:tag w:val="nr_32bbbd3ee7b44bb3be5451775ef37ead"/>
                          <w:lock w:val="sdtLocked"/>
                          <w:richText/>
                        </w:sdtPr>
                        <w:sdtContent>
                          <w:r>
                            <w:rPr>
                              <w:rFonts w:eastAsia="Calibri"/>
                              <w:szCs w:val="24"/>
                              <w:lang w:eastAsia="lt-LT"/>
                            </w:rPr>
                            <w:t>2</w:t>
                          </w:r>
                        </w:sdtContent>
                      </w:sdt>
                      <w:r>
                        <w:rPr>
                          <w:rFonts w:eastAsia="Calibri"/>
                          <w:szCs w:val="24"/>
                          <w:lang w:eastAsia="lt-LT"/>
                        </w:rPr>
                        <w:t>) nevalstybinių aukštųjų mokyklų, kai asmuo pereina iš vienos nevalstybinės aukštosios mokyklos į kitą.</w:t>
                      </w:r>
                    </w:p>
                    <w:p>
                      <w:pPr>
                        <w:spacing w:line="360" w:lineRule="auto"/>
                        <w:ind w:firstLine="720"/>
                        <w:jc w:val="both"/>
                        <w:rPr>
                          <w:rFonts w:eastAsia="Calibri"/>
                          <w:szCs w:val="24"/>
                        </w:rPr>
                      </w:pPr>
                    </w:p>
                  </w:sdtContent>
                </w:sdt>
              </w:sdtContent>
            </w:sdt>
          </w:sdtContent>
        </w:sdt>
        <w:sdt>
          <w:sdtPr>
            <w:alias w:val="6 str."/>
            <w:tag w:val="part_b87711cd338a4886958ab0b6326c1a50"/>
            <w:lock w:val="sdtLocked"/>
            <w:richText/>
          </w:sdtPr>
          <w:sdtContent>
            <w:p>
              <w:pPr>
                <w:spacing w:line="360" w:lineRule="auto"/>
                <w:ind w:firstLine="720"/>
                <w:jc w:val="both"/>
                <w:rPr>
                  <w:b/>
                </w:rPr>
              </w:pPr>
              <w:sdt>
                <w:sdtPr>
                  <w:alias w:val="Numeris"/>
                  <w:tag w:val="nr_b87711cd338a4886958ab0b6326c1a50"/>
                  <w:lock w:val="sdtLocked"/>
                  <w:richText/>
                </w:sdtPr>
                <w:sdtContent>
                  <w:r>
                    <w:rPr>
                      <w:b/>
                    </w:rPr>
                    <w:t>6</w:t>
                  </w:r>
                </w:sdtContent>
              </w:sdt>
              <w:r>
                <w:rPr>
                  <w:b/>
                </w:rPr>
                <w:t xml:space="preserve"> straipsnis. </w:t>
              </w:r>
              <w:sdt>
                <w:sdtPr>
                  <w:alias w:val="Pavadinimas"/>
                  <w:tag w:val="title_b87711cd338a4886958ab0b6326c1a50"/>
                  <w:lock w:val="sdtLocked"/>
                  <w:richText/>
                </w:sdtPr>
                <w:sdtContent>
                  <w:r>
                    <w:rPr>
                      <w:b/>
                    </w:rPr>
                    <w:t>Įmokos į Privalomojo sveikatos draudimo fondą</w:t>
                  </w:r>
                </w:sdtContent>
              </w:sdt>
            </w:p>
            <w:sdt>
              <w:sdtPr>
                <w:alias w:val="6 str. 1 d."/>
                <w:tag w:val="part_9791e3da8a8d40ab937d9ffbbbc7939e"/>
                <w:lock w:val="sdtLocked"/>
                <w:richText/>
              </w:sdtPr>
              <w:sdtContent>
                <w:p>
                  <w:pPr>
                    <w:spacing w:line="360" w:lineRule="auto"/>
                    <w:ind w:firstLine="720"/>
                    <w:jc w:val="both"/>
                    <w:rPr>
                      <w:rFonts w:eastAsia="Calibri"/>
                      <w:szCs w:val="24"/>
                    </w:rPr>
                  </w:pPr>
                  <w:r>
                    <w:rPr>
                      <w:rFonts w:eastAsia="Calibri"/>
                      <w:szCs w:val="24"/>
                    </w:rPr>
                    <w:t>2016 metų valstybės biudžeto įmokos į Privalomojo sveikatos draudimo fondo biudžetą dydis yra 37 procentai užpraeitų metų keturių ketvirčių šalies ūkio darbuotojų vidutinio mėnesinio bruto darbo užmokesčio vidurkio ir sudaro 255,7 euro už vieną valstybės lėšomis draudžiamą asmenį.</w:t>
                  </w:r>
                </w:p>
                <w:p>
                  <w:pPr>
                    <w:spacing w:line="360" w:lineRule="auto"/>
                    <w:ind w:firstLine="720"/>
                    <w:jc w:val="both"/>
                    <w:rPr>
                      <w:rFonts w:eastAsia="Calibri"/>
                      <w:szCs w:val="24"/>
                    </w:rPr>
                  </w:pPr>
                </w:p>
              </w:sdtContent>
            </w:sdt>
          </w:sdtContent>
        </w:sdt>
        <w:sdt>
          <w:sdtPr>
            <w:alias w:val="7 str."/>
            <w:tag w:val="part_6f7d691197b24fe1bed55196a2a283e7"/>
            <w:lock w:val="sdtLocked"/>
            <w:richText/>
          </w:sdtPr>
          <w:sdtContent>
            <w:p>
              <w:pPr>
                <w:spacing w:line="360" w:lineRule="auto"/>
                <w:ind w:left="2268" w:hanging="1548"/>
                <w:jc w:val="both"/>
                <w:rPr>
                  <w:b/>
                </w:rPr>
              </w:pPr>
              <w:sdt>
                <w:sdtPr>
                  <w:alias w:val="Numeris"/>
                  <w:tag w:val="nr_6f7d691197b24fe1bed55196a2a283e7"/>
                  <w:lock w:val="sdtLocked"/>
                  <w:richText/>
                </w:sdtPr>
                <w:sdtContent>
                  <w:r>
                    <w:rPr>
                      <w:b/>
                    </w:rPr>
                    <w:t>7</w:t>
                  </w:r>
                </w:sdtContent>
              </w:sdt>
              <w:r>
                <w:rPr>
                  <w:b/>
                </w:rPr>
                <w:t xml:space="preserve"> straipsnis. </w:t>
              </w:r>
              <w:sdt>
                <w:sdtPr>
                  <w:alias w:val="Pavadinimas"/>
                  <w:tag w:val="title_6f7d691197b24fe1bed55196a2a283e7"/>
                  <w:lock w:val="sdtLocked"/>
                  <w:richText/>
                </w:sdtPr>
                <w:sdtContent>
                  <w:r>
                    <w:rPr>
                      <w:b/>
                    </w:rPr>
                    <w:t>Įmokos į valstybės biudžetą, skiriamos asignavimų valdytojų programoms finansuoti</w:t>
                  </w:r>
                </w:sdtContent>
              </w:sdt>
            </w:p>
            <w:sdt>
              <w:sdtPr>
                <w:alias w:val="7 str. 1 d."/>
                <w:tag w:val="part_b98cc8e567b242e491295b852a659f83"/>
                <w:lock w:val="sdtLocked"/>
                <w:richText/>
              </w:sdtPr>
              <w:sdtContent>
                <w:p>
                  <w:pPr>
                    <w:spacing w:line="360" w:lineRule="auto"/>
                    <w:ind w:firstLine="720"/>
                    <w:jc w:val="both"/>
                    <w:rPr>
                      <w:rFonts w:eastAsia="Calibri"/>
                      <w:szCs w:val="24"/>
                    </w:rPr>
                  </w:pPr>
                  <w:r>
                    <w:rPr>
                      <w:rFonts w:eastAsia="Calibri"/>
                      <w:szCs w:val="24"/>
                    </w:rPr>
                    <w:t xml:space="preserve">Šiuo įstatymu patvirtinamos 2016 metų biudžetinių įstaigų pajamų įmokos į valstybės biudžetą, valstybės biudžeto pajamų iš mokesčių dalis ir kitos lėšos, įstatymais ir kitais teisės aktais skiriamos programoms finansuoti, pagal asignavimų valdytojus – </w:t>
                  </w:r>
                  <w:r>
                    <w:rPr>
                      <w:rFonts w:eastAsia="Calibri"/>
                      <w:color w:val="000000"/>
                      <w:szCs w:val="24"/>
                      <w:lang w:eastAsia="lt-LT"/>
                    </w:rPr>
                    <w:t>702 007</w:t>
                  </w:r>
                  <w:r>
                    <w:rPr>
                      <w:rFonts w:eastAsia="Calibri"/>
                      <w:szCs w:val="24"/>
                    </w:rPr>
                    <w:t xml:space="preserve"> tūkst. eurų (2 priedas).</w:t>
                  </w:r>
                </w:p>
                <w:p>
                  <w:pPr>
                    <w:spacing w:line="360" w:lineRule="auto"/>
                    <w:ind w:firstLine="720"/>
                    <w:jc w:val="both"/>
                    <w:rPr>
                      <w:rFonts w:eastAsia="Calibri"/>
                      <w:szCs w:val="24"/>
                    </w:rPr>
                  </w:pPr>
                </w:p>
              </w:sdtContent>
            </w:sdt>
          </w:sdtContent>
        </w:sdt>
        <w:sdt>
          <w:sdtPr>
            <w:alias w:val="8 str."/>
            <w:tag w:val="part_a21c4fc33a3949efac76af42fcbce001"/>
            <w:lock w:val="sdtLocked"/>
            <w:richText/>
          </w:sdtPr>
          <w:sdtContent>
            <w:p>
              <w:pPr>
                <w:spacing w:line="360" w:lineRule="auto"/>
                <w:ind w:left="2268" w:hanging="1548"/>
                <w:jc w:val="both"/>
                <w:rPr>
                  <w:b/>
                </w:rPr>
              </w:pPr>
              <w:sdt>
                <w:sdtPr>
                  <w:alias w:val="Numeris"/>
                  <w:tag w:val="nr_a21c4fc33a3949efac76af42fcbce001"/>
                  <w:lock w:val="sdtLocked"/>
                  <w:richText/>
                </w:sdtPr>
                <w:sdtContent>
                  <w:r>
                    <w:rPr>
                      <w:b/>
                    </w:rPr>
                    <w:t>8</w:t>
                  </w:r>
                </w:sdtContent>
              </w:sdt>
              <w:r>
                <w:rPr>
                  <w:b/>
                </w:rPr>
                <w:t xml:space="preserve"> straipsnis. </w:t>
              </w:r>
              <w:sdt>
                <w:sdtPr>
                  <w:alias w:val="Pavadinimas"/>
                  <w:tag w:val="title_a21c4fc33a3949efac76af42fcbce001"/>
                  <w:lock w:val="sdtLocked"/>
                  <w:richText/>
                </w:sdtPr>
                <w:sdtContent>
                  <w:r>
                    <w:rPr>
                      <w:b/>
                    </w:rPr>
                    <w:t>Valstybės garantijų ir valstybės garantuojamų garantijų institucijų prisiimtų įsipareigojimų pagal garantijas limitai</w:t>
                  </w:r>
                </w:sdtContent>
              </w:sdt>
            </w:p>
            <w:sdt>
              <w:sdtPr>
                <w:alias w:val="8 str. 1 d."/>
                <w:tag w:val="part_5fb1719fcb1c402a9819063779a6aad7"/>
                <w:lock w:val="sdtLocked"/>
                <w:richText/>
              </w:sdtPr>
              <w:sdtContent>
                <w:p>
                  <w:pPr>
                    <w:spacing w:line="360" w:lineRule="auto"/>
                    <w:ind w:firstLine="720"/>
                    <w:jc w:val="both"/>
                    <w:rPr>
                      <w:rFonts w:eastAsia="Calibri"/>
                      <w:szCs w:val="24"/>
                    </w:rPr>
                  </w:pPr>
                  <w:r>
                    <w:rPr>
                      <w:rFonts w:eastAsia="Calibri"/>
                      <w:szCs w:val="24"/>
                    </w:rPr>
                    <w:t>2016 metais valstybės garantijos gali būti teikiamos:</w:t>
                  </w:r>
                </w:p>
                <w:sdt>
                  <w:sdtPr>
                    <w:alias w:val="8 str. 1 d. 1 p."/>
                    <w:tag w:val="part_d616563fa3e44ba6a7182b4d19beec3b"/>
                    <w:lock w:val="sdtLocked"/>
                    <w:richText/>
                  </w:sdtPr>
                  <w:sdtContent>
                    <w:p>
                      <w:pPr>
                        <w:tabs>
                          <w:tab w:val="left" w:pos="1077"/>
                        </w:tabs>
                        <w:spacing w:line="360" w:lineRule="auto"/>
                        <w:ind w:firstLine="720"/>
                        <w:jc w:val="both"/>
                        <w:rPr>
                          <w:rFonts w:eastAsia="Calibri"/>
                          <w:szCs w:val="24"/>
                          <w:lang w:eastAsia="lt-LT"/>
                        </w:rPr>
                      </w:pPr>
                      <w:sdt>
                        <w:sdtPr>
                          <w:alias w:val="Numeris"/>
                          <w:tag w:val="nr_d616563fa3e44ba6a7182b4d19beec3b"/>
                          <w:lock w:val="sdtLocked"/>
                          <w:richText/>
                        </w:sdtPr>
                        <w:sdtContent>
                          <w:r>
                            <w:rPr>
                              <w:rFonts w:eastAsia="Calibri"/>
                              <w:szCs w:val="24"/>
                              <w:lang w:eastAsia="lt-LT"/>
                            </w:rPr>
                            <w:t>1</w:t>
                          </w:r>
                        </w:sdtContent>
                      </w:sdt>
                      <w:r>
                        <w:rPr>
                          <w:rFonts w:eastAsia="Calibri"/>
                          <w:szCs w:val="24"/>
                          <w:lang w:eastAsia="lt-LT"/>
                        </w:rPr>
                        <w:t xml:space="preserve">) už valstybės garantuojamų garantijų institucijų prisiimtus įsipareigojimus pagal garantijas. Bendra tokių įsipareigojimų, prisiimtų 2016 ir ankstesniais metais, suma vienu metu negali viršyti 244 926 tūkst. eurų. Į garantijų institucijų prisiimtų įsipareigojimų pagal garantijas limitą neįtraukiama garantijų institucijų įsipareigojimų pagal garantijas dalis, kuri yra pergarantuota finansų institucijų, turinčių aukščiausią kredito reitingą (AAA), suteiktą bent dviejų iš tarptautinių reitingų agentūrų </w:t>
                      </w:r>
                      <w:r>
                        <w:rPr>
                          <w:rFonts w:eastAsia="Calibri"/>
                          <w:i/>
                          <w:szCs w:val="24"/>
                          <w:lang w:eastAsia="lt-LT"/>
                        </w:rPr>
                        <w:t>Moody’s</w:t>
                      </w:r>
                      <w:r>
                        <w:rPr>
                          <w:rFonts w:eastAsia="Calibri"/>
                          <w:szCs w:val="24"/>
                          <w:lang w:eastAsia="lt-LT"/>
                        </w:rPr>
                        <w:t xml:space="preserve">, </w:t>
                      </w:r>
                      <w:r>
                        <w:rPr>
                          <w:rFonts w:eastAsia="Calibri"/>
                          <w:i/>
                          <w:szCs w:val="24"/>
                          <w:lang w:eastAsia="lt-LT"/>
                        </w:rPr>
                        <w:t>Standard &amp; Poor’s</w:t>
                      </w:r>
                      <w:r>
                        <w:rPr>
                          <w:rFonts w:eastAsia="Calibri"/>
                          <w:szCs w:val="24"/>
                          <w:lang w:eastAsia="lt-LT"/>
                        </w:rPr>
                        <w:t xml:space="preserve"> ir </w:t>
                      </w:r>
                      <w:r>
                        <w:rPr>
                          <w:rFonts w:eastAsia="Calibri"/>
                          <w:i/>
                          <w:szCs w:val="24"/>
                          <w:lang w:eastAsia="lt-LT"/>
                        </w:rPr>
                        <w:t>Fitch Ratings</w:t>
                      </w:r>
                      <w:r>
                        <w:rPr>
                          <w:rFonts w:eastAsia="Calibri"/>
                          <w:szCs w:val="24"/>
                          <w:lang w:eastAsia="lt-LT"/>
                        </w:rPr>
                        <w:t>;</w:t>
                      </w:r>
                    </w:p>
                  </w:sdtContent>
                </w:sdt>
                <w:sdt>
                  <w:sdtPr>
                    <w:alias w:val="8 str. 1 d. 2 p."/>
                    <w:tag w:val="part_0d4bd019f7cd4149afb4137ba4c1f77d"/>
                    <w:lock w:val="sdtLocked"/>
                    <w:richText/>
                  </w:sdtPr>
                  <w:sdtContent>
                    <w:p>
                      <w:pPr>
                        <w:tabs>
                          <w:tab w:val="left" w:pos="1077"/>
                        </w:tabs>
                        <w:spacing w:line="360" w:lineRule="auto"/>
                        <w:ind w:firstLine="720"/>
                        <w:jc w:val="both"/>
                        <w:rPr>
                          <w:rFonts w:eastAsia="Calibri"/>
                          <w:szCs w:val="24"/>
                          <w:lang w:eastAsia="lt-LT"/>
                        </w:rPr>
                      </w:pPr>
                      <w:sdt>
                        <w:sdtPr>
                          <w:alias w:val="Numeris"/>
                          <w:tag w:val="nr_0d4bd019f7cd4149afb4137ba4c1f77d"/>
                          <w:lock w:val="sdtLocked"/>
                          <w:richText/>
                        </w:sdtPr>
                        <w:sdtContent>
                          <w:r>
                            <w:rPr>
                              <w:rFonts w:eastAsia="Calibri"/>
                              <w:szCs w:val="24"/>
                              <w:lang w:eastAsia="lt-LT"/>
                            </w:rPr>
                            <w:t>2</w:t>
                          </w:r>
                        </w:sdtContent>
                      </w:sdt>
                      <w:r>
                        <w:rPr>
                          <w:rFonts w:eastAsia="Calibri"/>
                          <w:szCs w:val="24"/>
                          <w:lang w:eastAsia="lt-LT"/>
                        </w:rPr>
                        <w:t>) dėl tarptautinių finansų institucijų teikiamų paskolų valstybės investicijų projektams finansuoti. Bendra tokių įsipareigojimų, prisiimtų 2016 ir ankstesniais metais, suma vienu metu negali viršyti 84 051 tūkst. eurų;</w:t>
                      </w:r>
                    </w:p>
                  </w:sdtContent>
                </w:sdt>
                <w:sdt>
                  <w:sdtPr>
                    <w:alias w:val="8 str. 1 d. 3 p."/>
                    <w:tag w:val="part_19807ca19c2d433a8ce7e804306911ba"/>
                    <w:lock w:val="sdtLocked"/>
                    <w:richText/>
                  </w:sdtPr>
                  <w:sdtContent>
                    <w:p>
                      <w:pPr>
                        <w:tabs>
                          <w:tab w:val="left" w:pos="1077"/>
                        </w:tabs>
                        <w:spacing w:line="360" w:lineRule="auto"/>
                        <w:ind w:firstLine="720"/>
                        <w:jc w:val="both"/>
                        <w:rPr>
                          <w:rFonts w:eastAsia="Calibri"/>
                          <w:szCs w:val="24"/>
                          <w:lang w:eastAsia="lt-LT"/>
                        </w:rPr>
                      </w:pPr>
                      <w:sdt>
                        <w:sdtPr>
                          <w:alias w:val="Numeris"/>
                          <w:tag w:val="nr_19807ca19c2d433a8ce7e804306911ba"/>
                          <w:lock w:val="sdtLocked"/>
                          <w:richText/>
                        </w:sdtPr>
                        <w:sdtContent>
                          <w:r>
                            <w:rPr>
                              <w:rFonts w:eastAsia="Calibri"/>
                              <w:szCs w:val="24"/>
                              <w:lang w:eastAsia="lt-LT"/>
                            </w:rPr>
                            <w:t>3</w:t>
                          </w:r>
                        </w:sdtContent>
                      </w:sdt>
                      <w:r>
                        <w:rPr>
                          <w:rFonts w:eastAsia="Calibri"/>
                          <w:szCs w:val="24"/>
                          <w:lang w:eastAsia="lt-LT"/>
                        </w:rPr>
                        <w:t>) dėl Mokslo ir studijų įstatyme nurodytų valstybės remiamų paskolų. Bendra tokių įsipareigojimų, prisiimtų 2016 ir ankstesniais metais, suma vienu metu negali viršyti 75 000 tūkst. eurų, iš jų per 2016 metus prisiimtų naujų įsipareigojimų suma negali viršyti 20 000 tūkst. eurų.</w:t>
                      </w:r>
                    </w:p>
                    <w:p>
                      <w:pPr>
                        <w:spacing w:line="360" w:lineRule="auto"/>
                        <w:ind w:firstLine="720"/>
                        <w:jc w:val="both"/>
                        <w:rPr>
                          <w:rFonts w:eastAsia="Calibri"/>
                          <w:szCs w:val="24"/>
                        </w:rPr>
                      </w:pPr>
                    </w:p>
                  </w:sdtContent>
                </w:sdt>
              </w:sdtContent>
            </w:sdt>
          </w:sdtContent>
        </w:sdt>
        <w:sdt>
          <w:sdtPr>
            <w:alias w:val="9 str."/>
            <w:tag w:val="part_32e5ca0b4e234a678f82558ec8024db8"/>
            <w:lock w:val="sdtLocked"/>
            <w:richText/>
          </w:sdtPr>
          <w:sdtContent>
            <w:p>
              <w:pPr>
                <w:spacing w:line="360" w:lineRule="auto"/>
                <w:ind w:firstLine="720"/>
                <w:jc w:val="both"/>
                <w:rPr>
                  <w:b/>
                </w:rPr>
              </w:pPr>
              <w:sdt>
                <w:sdtPr>
                  <w:alias w:val="Numeris"/>
                  <w:tag w:val="nr_32e5ca0b4e234a678f82558ec8024db8"/>
                  <w:lock w:val="sdtLocked"/>
                  <w:richText/>
                </w:sdtPr>
                <w:sdtContent>
                  <w:r>
                    <w:rPr>
                      <w:b/>
                    </w:rPr>
                    <w:t>9</w:t>
                  </w:r>
                </w:sdtContent>
              </w:sdt>
              <w:r>
                <w:rPr>
                  <w:b/>
                </w:rPr>
                <w:t xml:space="preserve"> straipsnis. </w:t>
              </w:r>
              <w:sdt>
                <w:sdtPr>
                  <w:alias w:val="Pavadinimas"/>
                  <w:tag w:val="title_32e5ca0b4e234a678f82558ec8024db8"/>
                  <w:lock w:val="sdtLocked"/>
                  <w:richText/>
                </w:sdtPr>
                <w:sdtContent>
                  <w:r>
                    <w:rPr>
                      <w:b/>
                    </w:rPr>
                    <w:t>Vyriausybės grynojo skolinių įsipareigojimų pokyčio limitas</w:t>
                  </w:r>
                </w:sdtContent>
              </w:sdt>
            </w:p>
            <w:sdt>
              <w:sdtPr>
                <w:alias w:val="9 str. 1 d."/>
                <w:tag w:val="part_4570e7f53be149068e8870e713dddcde"/>
                <w:lock w:val="sdtLocked"/>
                <w:richText/>
              </w:sdtPr>
              <w:sdtContent>
                <w:p>
                  <w:pPr>
                    <w:spacing w:line="360" w:lineRule="auto"/>
                    <w:ind w:firstLine="720"/>
                    <w:jc w:val="both"/>
                  </w:pPr>
                  <w:r>
                    <w:t>2016 metų Vyriausybės grynojo skolinių įsipareigojimų pokyčio limitas – 465 786 tūkst. eurų.</w:t>
                  </w:r>
                </w:p>
                <w:p>
                  <w:pPr>
                    <w:spacing w:line="360" w:lineRule="auto"/>
                    <w:ind w:firstLine="720"/>
                    <w:jc w:val="both"/>
                    <w:rPr>
                      <w:b/>
                    </w:rPr>
                  </w:pPr>
                </w:p>
              </w:sdtContent>
            </w:sdt>
          </w:sdtContent>
        </w:sdt>
        <w:sdt>
          <w:sdtPr>
            <w:alias w:val="10 str."/>
            <w:tag w:val="part_118306482b884e86900208ccd3ebc19f"/>
            <w:lock w:val="sdtLocked"/>
            <w:richText/>
          </w:sdtPr>
          <w:sdtContent>
            <w:p>
              <w:pPr>
                <w:spacing w:line="360" w:lineRule="auto"/>
                <w:ind w:left="2410" w:hanging="1690"/>
                <w:jc w:val="both"/>
                <w:rPr>
                  <w:b/>
                </w:rPr>
              </w:pPr>
              <w:sdt>
                <w:sdtPr>
                  <w:alias w:val="Numeris"/>
                  <w:tag w:val="nr_118306482b884e86900208ccd3ebc19f"/>
                  <w:lock w:val="sdtLocked"/>
                  <w:richText/>
                </w:sdtPr>
                <w:sdtContent>
                  <w:r>
                    <w:rPr>
                      <w:b/>
                    </w:rPr>
                    <w:t>10</w:t>
                  </w:r>
                </w:sdtContent>
              </w:sdt>
              <w:r>
                <w:rPr>
                  <w:b/>
                </w:rPr>
                <w:t xml:space="preserve"> straipsnis. </w:t>
              </w:r>
              <w:sdt>
                <w:sdtPr>
                  <w:alias w:val="Pavadinimas"/>
                  <w:tag w:val="title_118306482b884e86900208ccd3ebc19f"/>
                  <w:lock w:val="sdtLocked"/>
                  <w:richText/>
                </w:sdtPr>
                <w:sdtContent>
                  <w:r>
                    <w:rPr>
                      <w:b/>
                    </w:rPr>
                    <w:t>Valstybinių aukštųjų mokyklų ir valstybinių profesinio mokymo įstaigų skolinimosi limitai</w:t>
                  </w:r>
                </w:sdtContent>
              </w:sdt>
            </w:p>
            <w:sdt>
              <w:sdtPr>
                <w:alias w:val="10 str. 1 d."/>
                <w:tag w:val="part_41a9b983dcd942668d13bae82b75f0bb"/>
                <w:lock w:val="sdtLocked"/>
                <w:richText/>
              </w:sdtPr>
              <w:sdtContent>
                <w:p>
                  <w:pPr>
                    <w:spacing w:line="360" w:lineRule="auto"/>
                    <w:ind w:firstLine="720"/>
                    <w:jc w:val="both"/>
                    <w:rPr>
                      <w:rFonts w:eastAsia="Calibri"/>
                      <w:szCs w:val="24"/>
                    </w:rPr>
                  </w:pPr>
                  <w:r>
                    <w:rPr>
                      <w:rFonts w:eastAsia="Calibri"/>
                      <w:szCs w:val="24"/>
                    </w:rPr>
                    <w:t>2016 metais valstybinės aukštosios mokyklos ir valstybinės profesinio mokymo įstaigos gali pasirašyti paskolų sutartis ir kitus įsipareigojamuosius skolos dokumentus, suteikiančius teisę skolintis ne daugiau kaip 3 000 tūkst. eurų, kurie būtų skirti valstybinių aukštųjų mokyklų ir valstybinių profesinio mokymo įstaigų bendrabučių atnaujinimui pagal patvirtintas programas ir kitoms reikmėms finansuoti. 2016 metais valstybinių aukštųjų mokyklų ir valstybinių profesinio mokymo įstaigų pasiskolintų (išimtų) lėšų pagal 2016 ir ankstesniais metais pasirašytas paskolų sutartis ir kitus įsipareigojamuosius skolos dokumentus limitas – 3 000 tūkst. eurų. Švietimo ir mokslo ministerija paskirsto šiame straipsnyje nurodytus skolinimosi limitus valstybinėms aukštosioms mokykloms ir valstybinėms profesinio mokymo įstaigoms jos nustatyta tvarka. Valstybinės aukštosios mokyklos ir valstybinės profesinio mokymo įstaigos už prisiimtus skolinius įsipareigojimus atsiskaito Švietimo ir mokslo ministerijai jos nustatyta tvarka.</w:t>
                  </w:r>
                </w:p>
                <w:p>
                  <w:pPr>
                    <w:spacing w:line="360" w:lineRule="auto"/>
                    <w:ind w:firstLine="720"/>
                    <w:jc w:val="both"/>
                    <w:rPr>
                      <w:rFonts w:eastAsia="Calibri"/>
                      <w:szCs w:val="24"/>
                    </w:rPr>
                  </w:pPr>
                </w:p>
              </w:sdtContent>
            </w:sdt>
          </w:sdtContent>
        </w:sdt>
        <w:sdt>
          <w:sdtPr>
            <w:alias w:val="11 str."/>
            <w:tag w:val="part_d78a5ee2cbf740848dcd7f77921c6b5e"/>
            <w:lock w:val="sdtLocked"/>
            <w:richText/>
          </w:sdtPr>
          <w:sdtContent>
            <w:p>
              <w:pPr>
                <w:spacing w:line="360" w:lineRule="auto"/>
                <w:ind w:left="2268" w:hanging="1548"/>
                <w:jc w:val="both"/>
                <w:rPr>
                  <w:b/>
                </w:rPr>
              </w:pPr>
              <w:sdt>
                <w:sdtPr>
                  <w:alias w:val="Numeris"/>
                  <w:tag w:val="nr_d78a5ee2cbf740848dcd7f77921c6b5e"/>
                  <w:lock w:val="sdtLocked"/>
                  <w:richText/>
                </w:sdtPr>
                <w:sdtContent>
                  <w:r>
                    <w:rPr>
                      <w:b/>
                    </w:rPr>
                    <w:t>11</w:t>
                  </w:r>
                </w:sdtContent>
              </w:sdt>
              <w:r>
                <w:rPr>
                  <w:b/>
                </w:rPr>
                <w:t xml:space="preserve"> straipsnis. </w:t>
              </w:r>
              <w:sdt>
                <w:sdtPr>
                  <w:alias w:val="Pavadinimas"/>
                  <w:tag w:val="title_d78a5ee2cbf740848dcd7f77921c6b5e"/>
                  <w:lock w:val="sdtLocked"/>
                  <w:richText/>
                </w:sdtPr>
                <w:sdtContent>
                  <w:r>
                    <w:rPr>
                      <w:b/>
                    </w:rPr>
                    <w:t>Savivaldybių skolos, skolinimosi ir garantijų limitai ir įsiskolinimų padengimas</w:t>
                  </w:r>
                </w:sdtContent>
              </w:sdt>
            </w:p>
            <w:sdt>
              <w:sdtPr>
                <w:alias w:val="11 str. 1 d."/>
                <w:tag w:val="part_cfa3cdd6a24d4dbdb2632c0d0c153e2e"/>
                <w:lock w:val="sdtLocked"/>
                <w:richText/>
              </w:sdtPr>
              <w:sdtContent>
                <w:p>
                  <w:pPr>
                    <w:spacing w:line="360" w:lineRule="auto"/>
                    <w:ind w:firstLine="720"/>
                    <w:jc w:val="both"/>
                  </w:pPr>
                  <w:sdt>
                    <w:sdtPr>
                      <w:alias w:val="Numeris"/>
                      <w:tag w:val="nr_cfa3cdd6a24d4dbdb2632c0d0c153e2e"/>
                      <w:lock w:val="sdtLocked"/>
                      <w:richText/>
                    </w:sdtPr>
                    <w:sdtContent>
                      <w:r>
                        <w:rPr>
                          <w14:scene3d>
                            <w14:camera w14:prst="orthographicFront"/>
                            <w14:lightRig w14:rig="threePt" w14:dir="t">
                              <w14:rot w14:lat="0" w14:lon="0" w14:rev="0"/>
                            </w14:lightRig>
                          </w14:scene3d>
                        </w:rPr>
                        <w:t>1</w:t>
                      </w:r>
                    </w:sdtContent>
                  </w:sdt>
                  <w:r>
                    <w:rPr>
                      <w14:scene3d>
                        <w14:camera w14:prst="orthographicFront"/>
                        <w14:lightRig w14:rig="threePt" w14:dir="t">
                          <w14:rot w14:lat="0" w14:lon="0" w14:rev="0"/>
                        </w14:lightRig>
                      </w14:scene3d>
                    </w:rPr>
                    <w:t xml:space="preserve">. </w:t>
                  </w:r>
                  <w:r>
                    <w:t>Savivaldybių skolos, skolinimosi ir garantijų limitai:</w:t>
                  </w:r>
                </w:p>
                <w:sdt>
                  <w:sdtPr>
                    <w:alias w:val="11 str. 1 d. 1 p."/>
                    <w:tag w:val="part_e6d62c8da0e445a79afdaf731108b824"/>
                    <w:lock w:val="sdtLocked"/>
                    <w:richText/>
                  </w:sdtPr>
                  <w:sdtContent>
                    <w:p>
                      <w:pPr>
                        <w:tabs>
                          <w:tab w:val="left" w:pos="1077"/>
                        </w:tabs>
                        <w:spacing w:line="360" w:lineRule="auto"/>
                        <w:ind w:firstLine="720"/>
                        <w:jc w:val="both"/>
                        <w:rPr>
                          <w:rFonts w:eastAsia="Calibri"/>
                          <w:szCs w:val="24"/>
                        </w:rPr>
                      </w:pPr>
                      <w:sdt>
                        <w:sdtPr>
                          <w:alias w:val="Numeris"/>
                          <w:tag w:val="nr_e6d62c8da0e445a79afdaf731108b824"/>
                          <w:lock w:val="sdtLocked"/>
                          <w:richText/>
                        </w:sdtPr>
                        <w:sdtContent>
                          <w:r>
                            <w:rPr>
                              <w:rFonts w:eastAsia="Calibri"/>
                              <w:szCs w:val="24"/>
                            </w:rPr>
                            <w:t>1</w:t>
                          </w:r>
                        </w:sdtContent>
                      </w:sdt>
                      <w:r>
                        <w:rPr>
                          <w:rFonts w:eastAsia="Calibri"/>
                          <w:szCs w:val="24"/>
                        </w:rPr>
                        <w:t>) savivaldybės skola (pagal įsipareigojamuosius skolos dokumentus, įskaitant, bet neapsiribojant paskolos, finansinės nuomos (lizingo) sutartis) negali viršyti 70 procentų (Vilniaus miesto savivaldybės – 135 procentų) šio įstatymo 7 priede nurodytų prognozuojamų savivaldybės biudžeto pajamų ir šio įstatymo 6 priede nurodytų valstybės biudžeto bendrosios dotacijos kompensacijų savivaldybės biudžetui sumos;</w:t>
                      </w:r>
                    </w:p>
                  </w:sdtContent>
                </w:sdt>
                <w:sdt>
                  <w:sdtPr>
                    <w:alias w:val="11 str. 1 d. 2 p."/>
                    <w:tag w:val="part_4d20a289954f4156b908b8c5c5279286"/>
                    <w:lock w:val="sdtLocked"/>
                    <w:richText/>
                  </w:sdtPr>
                  <w:sdtContent>
                    <w:p>
                      <w:pPr>
                        <w:tabs>
                          <w:tab w:val="left" w:pos="1077"/>
                        </w:tabs>
                        <w:spacing w:line="360" w:lineRule="auto"/>
                        <w:ind w:firstLine="720"/>
                        <w:jc w:val="both"/>
                        <w:rPr>
                          <w:rFonts w:eastAsia="Calibri"/>
                          <w:szCs w:val="24"/>
                        </w:rPr>
                      </w:pPr>
                      <w:sdt>
                        <w:sdtPr>
                          <w:alias w:val="Numeris"/>
                          <w:tag w:val="nr_4d20a289954f4156b908b8c5c5279286"/>
                          <w:lock w:val="sdtLocked"/>
                          <w:richText/>
                        </w:sdtPr>
                        <w:sdtContent>
                          <w:r>
                            <w:rPr>
                              <w:rFonts w:eastAsia="Calibri"/>
                              <w:szCs w:val="24"/>
                            </w:rPr>
                            <w:t>2</w:t>
                          </w:r>
                        </w:sdtContent>
                      </w:sdt>
                      <w:r>
                        <w:rPr>
                          <w:rFonts w:eastAsia="Calibri"/>
                          <w:szCs w:val="24"/>
                        </w:rPr>
                        <w:t>) savivaldybė, kurios biudžeto planuojami asignavimai viršija 0,3 procento praėjusių metų BVP to meto kainomis, metinio grynojo skolinimosi suma negali viršyti 15 procentų šio įstatymo 7 priede nurodytų prognozuojamų savivaldybės biudžeto pajamų ir šio įstatymo 6 priede nurodytų valstybės biudžeto bendrosios dotacijos kompensacijų savivaldybės biudžetui sumos;</w:t>
                      </w:r>
                    </w:p>
                  </w:sdtContent>
                </w:sdt>
                <w:sdt>
                  <w:sdtPr>
                    <w:alias w:val="11 str. 1 d. 3 p."/>
                    <w:tag w:val="part_3feb3c6c8cdf4da888721da018b8e527"/>
                    <w:lock w:val="sdtLocked"/>
                    <w:richText/>
                  </w:sdtPr>
                  <w:sdtContent>
                    <w:p>
                      <w:pPr>
                        <w:tabs>
                          <w:tab w:val="left" w:pos="1077"/>
                        </w:tabs>
                        <w:spacing w:line="360" w:lineRule="auto"/>
                        <w:ind w:firstLine="720"/>
                        <w:jc w:val="both"/>
                        <w:rPr>
                          <w:rFonts w:eastAsia="Calibri"/>
                          <w:szCs w:val="24"/>
                        </w:rPr>
                      </w:pPr>
                      <w:sdt>
                        <w:sdtPr>
                          <w:alias w:val="Numeris"/>
                          <w:tag w:val="nr_3feb3c6c8cdf4da888721da018b8e527"/>
                          <w:lock w:val="sdtLocked"/>
                          <w:richText/>
                        </w:sdtPr>
                        <w:sdtContent>
                          <w:r>
                            <w:rPr>
                              <w:rFonts w:eastAsia="Calibri"/>
                              <w:szCs w:val="24"/>
                            </w:rPr>
                            <w:t>3</w:t>
                          </w:r>
                        </w:sdtContent>
                      </w:sdt>
                      <w:r>
                        <w:rPr>
                          <w:rFonts w:eastAsia="Calibri"/>
                          <w:szCs w:val="24"/>
                        </w:rPr>
                        <w:t>) savivaldybė, kurios biudžeto planuojami asignavimai neviršija 0,3 procento praėjusių metų BVP to meto kainomis, metinio grynojo skolinimosi suma negali viršyti 1,5 procento biudžeto pajamų;</w:t>
                      </w:r>
                    </w:p>
                  </w:sdtContent>
                </w:sdt>
                <w:sdt>
                  <w:sdtPr>
                    <w:alias w:val="11 str. 1 d. 4 p."/>
                    <w:tag w:val="part_8b199bd4f0c74b039da911e5ca815ae0"/>
                    <w:lock w:val="sdtLocked"/>
                    <w:richText/>
                  </w:sdtPr>
                  <w:sdtContent>
                    <w:p>
                      <w:pPr>
                        <w:tabs>
                          <w:tab w:val="left" w:pos="1077"/>
                        </w:tabs>
                        <w:spacing w:line="360" w:lineRule="auto"/>
                        <w:ind w:firstLine="720"/>
                        <w:jc w:val="both"/>
                        <w:rPr>
                          <w:rFonts w:eastAsia="Calibri"/>
                          <w:szCs w:val="24"/>
                        </w:rPr>
                      </w:pPr>
                      <w:sdt>
                        <w:sdtPr>
                          <w:alias w:val="Numeris"/>
                          <w:tag w:val="nr_8b199bd4f0c74b039da911e5ca815ae0"/>
                          <w:lock w:val="sdtLocked"/>
                          <w:richText/>
                        </w:sdtPr>
                        <w:sdtContent>
                          <w:r>
                            <w:rPr>
                              <w:rFonts w:eastAsia="Calibri"/>
                              <w:szCs w:val="24"/>
                            </w:rPr>
                            <w:t>4</w:t>
                          </w:r>
                        </w:sdtContent>
                      </w:sdt>
                      <w:r>
                        <w:rPr>
                          <w:rFonts w:eastAsia="Calibri"/>
                          <w:szCs w:val="24"/>
                        </w:rPr>
                        <w:t>) savivaldybės prisiimti įsipareigojimai pagal garantijas dėl savivaldybės kontroliuojamų įmonių prisiimtų, bet dar neįvykdytų įsipareigojimų grąžinti kreditoriams lėšas pagal paskolų sutartis, finansinės nuomos (lizingo) sutartis, kitus įsipareigojamuosius skolos dokumentus įsipareigojimų negali viršyti 10 procentų šio įstatymo 7 priede nurodytų prognozuojamų savivaldybės biudžeto pajamų ir šio įstatymo 6 priede nurodytų valstybės biudžeto bendrosios dotacijos kompensacijų savivaldybės biudžetui sumos.</w:t>
                      </w:r>
                    </w:p>
                  </w:sdtContent>
                </w:sdt>
              </w:sdtContent>
            </w:sdt>
            <w:sdt>
              <w:sdtPr>
                <w:alias w:val="11 str. 2 d."/>
                <w:tag w:val="part_44f616ac9e8a49fa822b853d0d5ef627"/>
                <w:lock w:val="sdtLocked"/>
                <w:richText/>
              </w:sdtPr>
              <w:sdtContent>
                <w:p>
                  <w:pPr>
                    <w:tabs>
                      <w:tab w:val="left" w:pos="1077"/>
                    </w:tabs>
                    <w:spacing w:line="360" w:lineRule="auto"/>
                    <w:ind w:firstLine="720"/>
                    <w:jc w:val="both"/>
                    <w:rPr>
                      <w:rFonts w:eastAsia="Calibri"/>
                      <w:szCs w:val="24"/>
                    </w:rPr>
                  </w:pPr>
                  <w:sdt>
                    <w:sdtPr>
                      <w:alias w:val="Numeris"/>
                      <w:tag w:val="nr_44f616ac9e8a49fa822b853d0d5ef627"/>
                      <w:lock w:val="sdtLocked"/>
                      <w:richText/>
                    </w:sdtPr>
                    <w:sdtContent>
                      <w:r>
                        <w:rPr>
                          <w:rFonts w:eastAsia="Calibri"/>
                          <w:szCs w:val="24"/>
                          <w14:scene3d>
                            <w14:camera w14:prst="orthographicFront"/>
                            <w14:lightRig w14:rig="threePt" w14:dir="t">
                              <w14:rot w14:lat="0" w14:lon="0" w14:rev="0"/>
                            </w14:lightRig>
                          </w14:scene3d>
                        </w:rPr>
                        <w:t>2</w:t>
                      </w:r>
                    </w:sdtContent>
                  </w:sdt>
                  <w:r>
                    <w:rPr>
                      <w:rFonts w:eastAsia="Calibri"/>
                      <w:szCs w:val="24"/>
                      <w14:scene3d>
                        <w14:camera w14:prst="orthographicFront"/>
                        <w14:lightRig w14:rig="threePt" w14:dir="t">
                          <w14:rot w14:lat="0" w14:lon="0" w14:rev="0"/>
                        </w14:lightRig>
                      </w14:scene3d>
                    </w:rPr>
                    <w:t xml:space="preserve">. </w:t>
                  </w:r>
                  <w:r>
                    <w:rPr>
                      <w:rFonts w:eastAsia="Calibri"/>
                      <w:szCs w:val="24"/>
                    </w:rPr>
                    <w:t>Savivaldybės, kurių skola sudaro daugiau kaip 40 procentų (Kauno miesto savivaldybės – daugiau kaip 50 procentų) šio įstatymo 7 priede nurodytų prognozuojamų savivaldybės biudžeto pajamų ir šio įstatymo 6 priede nurodytų valstybės biudžeto bendrosios dotacijos kompensacijų savivaldybės biudžetui sumos, 2016 metais gali skolintis:</w:t>
                  </w:r>
                </w:p>
                <w:sdt>
                  <w:sdtPr>
                    <w:alias w:val="11 str. 2 d. 1 p."/>
                    <w:tag w:val="part_c47a2ca6279b48cc9de7680c661f8fa1"/>
                    <w:lock w:val="sdtLocked"/>
                    <w:richText/>
                  </w:sdtPr>
                  <w:sdtContent>
                    <w:p>
                      <w:pPr>
                        <w:tabs>
                          <w:tab w:val="left" w:pos="1077"/>
                        </w:tabs>
                        <w:spacing w:line="360" w:lineRule="auto"/>
                        <w:ind w:firstLine="720"/>
                        <w:jc w:val="both"/>
                        <w:rPr>
                          <w:rFonts w:eastAsia="Calibri"/>
                          <w:szCs w:val="24"/>
                        </w:rPr>
                      </w:pPr>
                      <w:sdt>
                        <w:sdtPr>
                          <w:alias w:val="Numeris"/>
                          <w:tag w:val="nr_c47a2ca6279b48cc9de7680c661f8fa1"/>
                          <w:lock w:val="sdtLocked"/>
                          <w:richText/>
                        </w:sdtPr>
                        <w:sdtContent>
                          <w:r>
                            <w:rPr>
                              <w:rFonts w:eastAsia="Calibri"/>
                              <w:szCs w:val="24"/>
                            </w:rPr>
                            <w:t>1</w:t>
                          </w:r>
                        </w:sdtContent>
                      </w:sdt>
                      <w:r>
                        <w:rPr>
                          <w:rFonts w:eastAsia="Calibri"/>
                          <w:szCs w:val="24"/>
                        </w:rPr>
                        <w:t>) projektams, finansuojamiems iš Europos Sąjungos ir kitos tarptautinės finansinės paramos, įgyvendinti;</w:t>
                      </w:r>
                    </w:p>
                  </w:sdtContent>
                </w:sdt>
                <w:sdt>
                  <w:sdtPr>
                    <w:alias w:val="11 str. 2 d. 2 p."/>
                    <w:tag w:val="part_e04b5666750a406299166b07f71b11d7"/>
                    <w:lock w:val="sdtLocked"/>
                    <w:richText/>
                  </w:sdtPr>
                  <w:sdtContent>
                    <w:p>
                      <w:pPr>
                        <w:tabs>
                          <w:tab w:val="left" w:pos="1077"/>
                        </w:tabs>
                        <w:spacing w:line="360" w:lineRule="auto"/>
                        <w:ind w:firstLine="720"/>
                        <w:jc w:val="both"/>
                        <w:rPr>
                          <w:rFonts w:eastAsia="Calibri"/>
                          <w:szCs w:val="24"/>
                        </w:rPr>
                      </w:pPr>
                      <w:sdt>
                        <w:sdtPr>
                          <w:alias w:val="Numeris"/>
                          <w:tag w:val="nr_e04b5666750a406299166b07f71b11d7"/>
                          <w:lock w:val="sdtLocked"/>
                          <w:richText/>
                        </w:sdtPr>
                        <w:sdtContent>
                          <w:r>
                            <w:rPr>
                              <w:rFonts w:eastAsia="Calibri"/>
                              <w:szCs w:val="24"/>
                            </w:rPr>
                            <w:t>2</w:t>
                          </w:r>
                        </w:sdtContent>
                      </w:sdt>
                      <w:r>
                        <w:rPr>
                          <w:rFonts w:eastAsia="Calibri"/>
                          <w:szCs w:val="24"/>
                        </w:rPr>
                        <w:t>) energijos vartojimo efektyvumo didinimo projektams, savivaldybių įgyvendinamiems pagal Vyriausybės patvirtintas programas;</w:t>
                      </w:r>
                    </w:p>
                  </w:sdtContent>
                </w:sdt>
                <w:sdt>
                  <w:sdtPr>
                    <w:alias w:val="11 str. 2 d. 3 p."/>
                    <w:tag w:val="part_99b88766af7a4dc0a7b5fd2c651e345c"/>
                    <w:lock w:val="sdtLocked"/>
                    <w:richText/>
                  </w:sdtPr>
                  <w:sdtContent>
                    <w:p>
                      <w:pPr>
                        <w:tabs>
                          <w:tab w:val="left" w:pos="1077"/>
                        </w:tabs>
                        <w:spacing w:line="360" w:lineRule="auto"/>
                        <w:ind w:firstLine="720"/>
                        <w:jc w:val="both"/>
                        <w:rPr>
                          <w:rFonts w:eastAsia="Calibri"/>
                          <w:szCs w:val="24"/>
                        </w:rPr>
                      </w:pPr>
                      <w:sdt>
                        <w:sdtPr>
                          <w:alias w:val="Numeris"/>
                          <w:tag w:val="nr_99b88766af7a4dc0a7b5fd2c651e345c"/>
                          <w:lock w:val="sdtLocked"/>
                          <w:richText/>
                        </w:sdtPr>
                        <w:sdtContent>
                          <w:r>
                            <w:rPr>
                              <w:rFonts w:eastAsia="Calibri"/>
                              <w:szCs w:val="24"/>
                            </w:rPr>
                            <w:t>3</w:t>
                          </w:r>
                        </w:sdtContent>
                      </w:sdt>
                      <w:r>
                        <w:rPr>
                          <w:rFonts w:eastAsia="Calibri"/>
                          <w:szCs w:val="24"/>
                        </w:rPr>
                        <w:t>) Valstybės investicijų 2016–2018 metų programoje 2016 metams numatytiems investicijų projektams įgyvendinti;</w:t>
                      </w:r>
                    </w:p>
                  </w:sdtContent>
                </w:sdt>
                <w:sdt>
                  <w:sdtPr>
                    <w:alias w:val="11 str. 2 d. 4 p."/>
                    <w:tag w:val="part_723b9e673fe94652a4b458baf72894a6"/>
                    <w:lock w:val="sdtLocked"/>
                    <w:richText/>
                  </w:sdtPr>
                  <w:sdtContent>
                    <w:p>
                      <w:pPr>
                        <w:tabs>
                          <w:tab w:val="left" w:pos="1077"/>
                        </w:tabs>
                        <w:spacing w:line="360" w:lineRule="auto"/>
                        <w:ind w:firstLine="720"/>
                        <w:jc w:val="both"/>
                        <w:rPr>
                          <w:rFonts w:eastAsia="Calibri"/>
                          <w:szCs w:val="24"/>
                        </w:rPr>
                      </w:pPr>
                      <w:sdt>
                        <w:sdtPr>
                          <w:alias w:val="Numeris"/>
                          <w:tag w:val="nr_723b9e673fe94652a4b458baf72894a6"/>
                          <w:lock w:val="sdtLocked"/>
                          <w:richText/>
                        </w:sdtPr>
                        <w:sdtContent>
                          <w:r>
                            <w:rPr>
                              <w:rFonts w:eastAsia="Calibri"/>
                              <w:szCs w:val="24"/>
                            </w:rPr>
                            <w:t>4</w:t>
                          </w:r>
                        </w:sdtContent>
                      </w:sdt>
                      <w:r>
                        <w:rPr>
                          <w:rFonts w:eastAsia="Calibri"/>
                          <w:szCs w:val="24"/>
                        </w:rPr>
                        <w:t>) paimtoms paskoloms grąžinti.</w:t>
                      </w:r>
                    </w:p>
                  </w:sdtContent>
                </w:sdt>
              </w:sdtContent>
            </w:sdt>
            <w:sdt>
              <w:sdtPr>
                <w:alias w:val="11 str. 3 d."/>
                <w:tag w:val="part_ee6bc3bfdb3c4feb9e5c408b14327471"/>
                <w:lock w:val="sdtLocked"/>
                <w:richText/>
              </w:sdtPr>
              <w:sdtContent>
                <w:p>
                  <w:pPr>
                    <w:tabs>
                      <w:tab w:val="left" w:pos="1077"/>
                    </w:tabs>
                    <w:spacing w:line="360" w:lineRule="auto"/>
                    <w:ind w:firstLine="720"/>
                    <w:jc w:val="both"/>
                    <w:rPr>
                      <w:rFonts w:eastAsia="Calibri"/>
                      <w:szCs w:val="24"/>
                    </w:rPr>
                  </w:pPr>
                  <w:sdt>
                    <w:sdtPr>
                      <w:alias w:val="Numeris"/>
                      <w:tag w:val="nr_ee6bc3bfdb3c4feb9e5c408b14327471"/>
                      <w:lock w:val="sdtLocked"/>
                      <w:richText/>
                    </w:sdtPr>
                    <w:sdtContent>
                      <w:r>
                        <w:rPr>
                          <w:rFonts w:eastAsia="Calibri"/>
                          <w:szCs w:val="24"/>
                          <w14:scene3d>
                            <w14:camera w14:prst="orthographicFront"/>
                            <w14:lightRig w14:rig="threePt" w14:dir="t">
                              <w14:rot w14:lat="0" w14:lon="0" w14:rev="0"/>
                            </w14:lightRig>
                          </w14:scene3d>
                        </w:rPr>
                        <w:t>3</w:t>
                      </w:r>
                    </w:sdtContent>
                  </w:sdt>
                  <w:r>
                    <w:rPr>
                      <w:rFonts w:eastAsia="Calibri"/>
                      <w:szCs w:val="24"/>
                      <w14:scene3d>
                        <w14:camera w14:prst="orthographicFront"/>
                        <w14:lightRig w14:rig="threePt" w14:dir="t">
                          <w14:rot w14:lat="0" w14:lon="0" w14:rev="0"/>
                        </w14:lightRig>
                      </w14:scene3d>
                    </w:rPr>
                    <w:t xml:space="preserve">. </w:t>
                  </w:r>
                  <w:r>
                    <w:rPr>
                      <w:rFonts w:eastAsia="Calibri"/>
                      <w:szCs w:val="24"/>
                    </w:rPr>
                    <w:t xml:space="preserve">Į skolinimosi ir skolos limitus neįskaitomos iš valstybės biudžeto suteiktos trumpalaikės paskolos laikinam pajamų trūkumui padengti ir trumpalaikės arba ilgalaikės paskolos, kai dėl kredito įstaigų veiklos apribojimo ir (arba) jų licencijų atšaukimo savivaldybės negali disponuoti savo lėšomis ir dėl to trūksta apyvartos lėšų. </w:t>
                  </w:r>
                  <w:r>
                    <w:rPr>
                      <w:rFonts w:eastAsia="Calibri"/>
                      <w:szCs w:val="24"/>
                      <w:lang w:eastAsia="lt-LT"/>
                    </w:rPr>
                    <w:t>Savivaldybėms 2011, 2013 metais iš valstybės biudžeto suteiktos paskolos laikinam pajamų trūkumui, susidariusiam dėl akcinės bendrovės banko „Snoras“, akcinės bendrovės „Ūkio bankas“ veiklos apribojimo ir banko licencijos atšaukimo, laikomos ilgalaikėmis paskolomis, kurios turi būti grąžintos iki 2020 m. gruodžio 31 d.</w:t>
                  </w:r>
                </w:p>
              </w:sdtContent>
            </w:sdt>
            <w:sdt>
              <w:sdtPr>
                <w:alias w:val="11 str. 4 d."/>
                <w:tag w:val="part_f23a8fd6b32240089068380ec76c85c3"/>
                <w:lock w:val="sdtLocked"/>
                <w:richText/>
              </w:sdtPr>
              <w:sdtContent>
                <w:p>
                  <w:pPr>
                    <w:tabs>
                      <w:tab w:val="left" w:pos="1077"/>
                    </w:tabs>
                    <w:spacing w:line="360" w:lineRule="auto"/>
                    <w:ind w:firstLine="720"/>
                    <w:jc w:val="both"/>
                    <w:rPr>
                      <w:rFonts w:eastAsia="Calibri"/>
                      <w:szCs w:val="24"/>
                    </w:rPr>
                  </w:pPr>
                  <w:sdt>
                    <w:sdtPr>
                      <w:alias w:val="Numeris"/>
                      <w:tag w:val="nr_f23a8fd6b32240089068380ec76c85c3"/>
                      <w:lock w:val="sdtLocked"/>
                      <w:richText/>
                    </w:sdtPr>
                    <w:sdtContent>
                      <w:r>
                        <w:rPr>
                          <w:rFonts w:eastAsia="Calibri"/>
                          <w:szCs w:val="24"/>
                          <w14:scene3d>
                            <w14:camera w14:prst="orthographicFront"/>
                            <w14:lightRig w14:rig="threePt" w14:dir="t">
                              <w14:rot w14:lat="0" w14:lon="0" w14:rev="0"/>
                            </w14:lightRig>
                          </w14:scene3d>
                        </w:rPr>
                        <w:t>4</w:t>
                      </w:r>
                    </w:sdtContent>
                  </w:sdt>
                  <w:r>
                    <w:rPr>
                      <w:rFonts w:eastAsia="Calibri"/>
                      <w:szCs w:val="24"/>
                      <w14:scene3d>
                        <w14:camera w14:prst="orthographicFront"/>
                        <w14:lightRig w14:rig="threePt" w14:dir="t">
                          <w14:rot w14:lat="0" w14:lon="0" w14:rev="0"/>
                        </w14:lightRig>
                      </w14:scene3d>
                    </w:rPr>
                    <w:t xml:space="preserve">. </w:t>
                  </w:r>
                  <w:r>
                    <w:rPr>
                      <w:rFonts w:eastAsia="Calibri"/>
                      <w:szCs w:val="24"/>
                    </w:rPr>
                    <w:t>Vilniaus miesto savivaldybės 2017 m. sausio 1 d. esantis įsiskolinimas (mokėtinos sumos, išskyrus sumas paskoloms grąžinti), palyginti su 2016 m. sausio 1 d. įsiskolinimu (mokėtinomis sumomis, išskyrus sumas paskoloms grąžinti), turi sumažėti 15 procentų šio įstatymo 7 priede nurodytų prognozuojamų savivaldybės biudžeto pajamų.</w:t>
                  </w:r>
                </w:p>
              </w:sdtContent>
            </w:sdt>
            <w:sdt>
              <w:sdtPr>
                <w:alias w:val="11 str. 5 d."/>
                <w:tag w:val="part_f5d5ceb13bb841b5a766784d64cdd86e"/>
                <w:lock w:val="sdtLocked"/>
                <w:richText/>
              </w:sdtPr>
              <w:sdtContent>
                <w:p>
                  <w:pPr>
                    <w:tabs>
                      <w:tab w:val="left" w:pos="1077"/>
                    </w:tabs>
                    <w:spacing w:line="360" w:lineRule="auto"/>
                    <w:ind w:firstLine="720"/>
                    <w:jc w:val="both"/>
                    <w:rPr>
                      <w:rFonts w:eastAsia="Calibri"/>
                      <w:szCs w:val="24"/>
                    </w:rPr>
                  </w:pPr>
                  <w:sdt>
                    <w:sdtPr>
                      <w:alias w:val="Numeris"/>
                      <w:tag w:val="nr_f5d5ceb13bb841b5a766784d64cdd86e"/>
                      <w:lock w:val="sdtLocked"/>
                      <w:richText/>
                    </w:sdtPr>
                    <w:sdtContent>
                      <w:r>
                        <w:rPr>
                          <w:rFonts w:eastAsia="Calibri"/>
                          <w:szCs w:val="24"/>
                          <w14:scene3d>
                            <w14:camera w14:prst="orthographicFront"/>
                            <w14:lightRig w14:rig="threePt" w14:dir="t">
                              <w14:rot w14:lat="0" w14:lon="0" w14:rev="0"/>
                            </w14:lightRig>
                          </w14:scene3d>
                        </w:rPr>
                        <w:t>5</w:t>
                      </w:r>
                    </w:sdtContent>
                  </w:sdt>
                  <w:r>
                    <w:rPr>
                      <w:rFonts w:eastAsia="Calibri"/>
                      <w:szCs w:val="24"/>
                      <w14:scene3d>
                        <w14:camera w14:prst="orthographicFront"/>
                        <w14:lightRig w14:rig="threePt" w14:dir="t">
                          <w14:rot w14:lat="0" w14:lon="0" w14:rev="0"/>
                        </w14:lightRig>
                      </w14:scene3d>
                    </w:rPr>
                    <w:t xml:space="preserve">. </w:t>
                  </w:r>
                  <w:r>
                    <w:rPr>
                      <w:rFonts w:eastAsia="Calibri"/>
                      <w:szCs w:val="24"/>
                    </w:rPr>
                    <w:t>Visų kitų savivaldybių 2017 m. sausio 1 d. esantis įsiskolinimas (mokėtinos sumos, išskyrus sumas paskoloms grąžinti) turi būti ne didesnis už 2016 m. sausio 1 d. įsiskolinimą (mokėtinas sumas, išskyrus sumas paskoloms grąžinti).</w:t>
                  </w:r>
                </w:p>
                <w:p>
                  <w:pPr>
                    <w:spacing w:line="360" w:lineRule="auto"/>
                    <w:ind w:firstLine="720"/>
                    <w:jc w:val="both"/>
                    <w:rPr>
                      <w:rFonts w:eastAsia="Calibri"/>
                      <w:szCs w:val="24"/>
                      <w:lang w:eastAsia="lt-LT"/>
                    </w:rPr>
                  </w:pPr>
                </w:p>
              </w:sdtContent>
            </w:sdt>
          </w:sdtContent>
        </w:sdt>
        <w:sdt>
          <w:sdtPr>
            <w:alias w:val="12 str."/>
            <w:tag w:val="part_78823ab78e354b71bdbe1172d1e396c4"/>
            <w:lock w:val="sdtLocked"/>
            <w:richText/>
          </w:sdtPr>
          <w:sdtContent>
            <w:p>
              <w:pPr>
                <w:spacing w:line="360" w:lineRule="auto"/>
                <w:ind w:firstLine="720"/>
                <w:jc w:val="both"/>
                <w:rPr>
                  <w:b/>
                </w:rPr>
              </w:pPr>
              <w:sdt>
                <w:sdtPr>
                  <w:alias w:val="Numeris"/>
                  <w:tag w:val="nr_78823ab78e354b71bdbe1172d1e396c4"/>
                  <w:lock w:val="sdtLocked"/>
                  <w:richText/>
                </w:sdtPr>
                <w:sdtContent>
                  <w:r>
                    <w:rPr>
                      <w:b/>
                    </w:rPr>
                    <w:t>12</w:t>
                  </w:r>
                </w:sdtContent>
              </w:sdt>
              <w:r>
                <w:rPr>
                  <w:b/>
                </w:rPr>
                <w:t xml:space="preserve"> straipsnis. </w:t>
              </w:r>
              <w:sdt>
                <w:sdtPr>
                  <w:alias w:val="Pavadinimas"/>
                  <w:tag w:val="title_78823ab78e354b71bdbe1172d1e396c4"/>
                  <w:lock w:val="sdtLocked"/>
                  <w:richText/>
                </w:sdtPr>
                <w:sdtContent>
                  <w:r>
                    <w:rPr>
                      <w:b/>
                    </w:rPr>
                    <w:t>Vyriausybės ir kitų institucijų teisės vykdant biudžetą</w:t>
                  </w:r>
                </w:sdtContent>
              </w:sdt>
            </w:p>
            <w:sdt>
              <w:sdtPr>
                <w:alias w:val="12 str. 1 d."/>
                <w:tag w:val="part_007050b1f844483389960fa9de574075"/>
                <w:lock w:val="sdtLocked"/>
                <w:richText/>
              </w:sdtPr>
              <w:sdtContent>
                <w:p>
                  <w:pPr>
                    <w:tabs>
                      <w:tab w:val="left" w:pos="1077"/>
                    </w:tabs>
                    <w:spacing w:line="360" w:lineRule="auto"/>
                    <w:ind w:firstLine="720"/>
                    <w:jc w:val="both"/>
                    <w:rPr>
                      <w:rFonts w:eastAsia="Calibri"/>
                      <w:szCs w:val="24"/>
                    </w:rPr>
                  </w:pPr>
                  <w:sdt>
                    <w:sdtPr>
                      <w:alias w:val="Numeris"/>
                      <w:tag w:val="nr_007050b1f844483389960fa9de574075"/>
                      <w:lock w:val="sdtLocked"/>
                      <w:richText/>
                    </w:sdtPr>
                    <w:sdtContent>
                      <w:r>
                        <w:rPr>
                          <w:rFonts w:eastAsia="Calibri"/>
                          <w:szCs w:val="24"/>
                          <w14:scene3d>
                            <w14:camera w14:prst="orthographicFront"/>
                            <w14:lightRig w14:rig="threePt" w14:dir="t">
                              <w14:rot w14:lat="0" w14:lon="0" w14:rev="0"/>
                            </w14:lightRig>
                          </w14:scene3d>
                        </w:rPr>
                        <w:t>1</w:t>
                      </w:r>
                    </w:sdtContent>
                  </w:sdt>
                  <w:r>
                    <w:rPr>
                      <w:rFonts w:eastAsia="Calibri"/>
                      <w:szCs w:val="24"/>
                      <w14:scene3d>
                        <w14:camera w14:prst="orthographicFront"/>
                        <w14:lightRig w14:rig="threePt" w14:dir="t">
                          <w14:rot w14:lat="0" w14:lon="0" w14:rev="0"/>
                        </w14:lightRig>
                      </w14:scene3d>
                    </w:rPr>
                    <w:t xml:space="preserve">. </w:t>
                  </w:r>
                  <w:r>
                    <w:rPr>
                      <w:rFonts w:eastAsia="Calibri"/>
                      <w:szCs w:val="24"/>
                    </w:rPr>
                    <w:t>Vyriausybei arba jos įgaliotai institucijai suteikiama teisė:</w:t>
                  </w:r>
                </w:p>
                <w:sdt>
                  <w:sdtPr>
                    <w:alias w:val="12 str. 1 d. 1 p."/>
                    <w:tag w:val="part_fe606b39554d4d1aa6944805cd699830"/>
                    <w:lock w:val="sdtLocked"/>
                    <w:richText/>
                  </w:sdtPr>
                  <w:sdtContent>
                    <w:p>
                      <w:pPr>
                        <w:tabs>
                          <w:tab w:val="left" w:pos="1077"/>
                        </w:tabs>
                        <w:spacing w:line="360" w:lineRule="auto"/>
                        <w:ind w:firstLine="720"/>
                        <w:jc w:val="both"/>
                        <w:rPr>
                          <w:rFonts w:eastAsia="Calibri"/>
                          <w:szCs w:val="24"/>
                        </w:rPr>
                      </w:pPr>
                      <w:sdt>
                        <w:sdtPr>
                          <w:alias w:val="Numeris"/>
                          <w:tag w:val="nr_fe606b39554d4d1aa6944805cd699830"/>
                          <w:lock w:val="sdtLocked"/>
                          <w:richText/>
                        </w:sdtPr>
                        <w:sdtContent>
                          <w:r>
                            <w:rPr>
                              <w:rFonts w:eastAsia="Calibri"/>
                              <w:szCs w:val="24"/>
                            </w:rPr>
                            <w:t>1</w:t>
                          </w:r>
                        </w:sdtContent>
                      </w:sdt>
                      <w:r>
                        <w:rPr>
                          <w:rFonts w:eastAsia="Calibri"/>
                          <w:szCs w:val="24"/>
                        </w:rPr>
                        <w:t>) paskirstyti tradicinių Lietuvos bažnyčių ir religinių organizacijų vadovybėms lėšas, numatytas Finansų ministerijos asignavimuose tradicinių Lietuvos religinių bendruomenių, bendrijų ir centrų maldos namams atstatyti ir kitoms reikmėms, atsižvelgiant į tradicinių Lietuvos bažnyčių ir religinių organizacijų kanonus ir statutus ir Lietuvos statistikos departamento paskelbtą tikinčiųjų skaičių;</w:t>
                      </w:r>
                    </w:p>
                  </w:sdtContent>
                </w:sdt>
                <w:sdt>
                  <w:sdtPr>
                    <w:alias w:val="12 str. 1 d. 2 p."/>
                    <w:tag w:val="part_45becfe8caa4473eab7a0419e421ec90"/>
                    <w:lock w:val="sdtLocked"/>
                    <w:richText/>
                  </w:sdtPr>
                  <w:sdtContent>
                    <w:p>
                      <w:pPr>
                        <w:tabs>
                          <w:tab w:val="left" w:pos="1077"/>
                        </w:tabs>
                        <w:spacing w:line="360" w:lineRule="auto"/>
                        <w:ind w:firstLine="720"/>
                        <w:jc w:val="both"/>
                        <w:rPr>
                          <w:rFonts w:eastAsia="Calibri"/>
                          <w:szCs w:val="24"/>
                        </w:rPr>
                      </w:pPr>
                      <w:sdt>
                        <w:sdtPr>
                          <w:alias w:val="Numeris"/>
                          <w:tag w:val="nr_45becfe8caa4473eab7a0419e421ec90"/>
                          <w:lock w:val="sdtLocked"/>
                          <w:richText/>
                        </w:sdtPr>
                        <w:sdtContent>
                          <w:r>
                            <w:rPr>
                              <w:rFonts w:eastAsia="Calibri"/>
                              <w:szCs w:val="24"/>
                            </w:rPr>
                            <w:t>2</w:t>
                          </w:r>
                        </w:sdtContent>
                      </w:sdt>
                      <w:r>
                        <w:rPr>
                          <w:rFonts w:eastAsia="Calibri"/>
                          <w:szCs w:val="24"/>
                        </w:rPr>
                        <w:t>) paskirstyti pagal asignavimų valdytojus ir investicijų projektus (investicijų projektų įgyvendinimo programas) Valstybės investicijų 2016–2018 metų programoje 2016 metams numatytas kapitalo investicijoms skirtas lėšas;</w:t>
                      </w:r>
                    </w:p>
                  </w:sdtContent>
                </w:sdt>
                <w:sdt>
                  <w:sdtPr>
                    <w:alias w:val="12 str. 1 d. 3 p."/>
                    <w:tag w:val="part_25ce1ad5bbb54b7c9bfe395d23fc2307"/>
                    <w:lock w:val="sdtLocked"/>
                    <w:richText/>
                  </w:sdtPr>
                  <w:sdtContent>
                    <w:p>
                      <w:pPr>
                        <w:tabs>
                          <w:tab w:val="left" w:pos="1077"/>
                        </w:tabs>
                        <w:spacing w:line="360" w:lineRule="auto"/>
                        <w:ind w:firstLine="720"/>
                        <w:jc w:val="both"/>
                        <w:rPr>
                          <w:rFonts w:eastAsia="Calibri"/>
                          <w:szCs w:val="24"/>
                        </w:rPr>
                      </w:pPr>
                      <w:sdt>
                        <w:sdtPr>
                          <w:alias w:val="Numeris"/>
                          <w:tag w:val="nr_25ce1ad5bbb54b7c9bfe395d23fc2307"/>
                          <w:lock w:val="sdtLocked"/>
                          <w:richText/>
                        </w:sdtPr>
                        <w:sdtContent>
                          <w:r>
                            <w:rPr>
                              <w:rFonts w:eastAsia="Calibri"/>
                              <w:szCs w:val="24"/>
                            </w:rPr>
                            <w:t>3</w:t>
                          </w:r>
                        </w:sdtContent>
                      </w:sdt>
                      <w:r>
                        <w:rPr>
                          <w:rFonts w:eastAsia="Calibri"/>
                          <w:szCs w:val="24"/>
                        </w:rPr>
                        <w:t>) paskirstyti savivaldybėms Finansų ministerijos asignavimuose numatytas lėšas 2015 metais savivaldybių negautoms pajamoms padengti;</w:t>
                      </w:r>
                    </w:p>
                  </w:sdtContent>
                </w:sdt>
                <w:sdt>
                  <w:sdtPr>
                    <w:alias w:val="12 str. 1 d. 4 p."/>
                    <w:tag w:val="part_22746f9bd72b40e097847fa52dca8cf1"/>
                    <w:lock w:val="sdtLocked"/>
                    <w:richText/>
                  </w:sdtPr>
                  <w:sdtContent>
                    <w:p>
                      <w:pPr>
                        <w:tabs>
                          <w:tab w:val="left" w:pos="1077"/>
                        </w:tabs>
                        <w:spacing w:line="360" w:lineRule="auto"/>
                        <w:ind w:firstLine="720"/>
                        <w:jc w:val="both"/>
                        <w:rPr>
                          <w:rFonts w:eastAsia="Calibri"/>
                          <w:szCs w:val="24"/>
                        </w:rPr>
                      </w:pPr>
                      <w:sdt>
                        <w:sdtPr>
                          <w:alias w:val="Numeris"/>
                          <w:tag w:val="nr_22746f9bd72b40e097847fa52dca8cf1"/>
                          <w:lock w:val="sdtLocked"/>
                          <w:richText/>
                        </w:sdtPr>
                        <w:sdtContent>
                          <w:r>
                            <w:rPr>
                              <w:rFonts w:eastAsia="Calibri"/>
                              <w:szCs w:val="24"/>
                            </w:rPr>
                            <w:t>4</w:t>
                          </w:r>
                        </w:sdtContent>
                      </w:sdt>
                      <w:r>
                        <w:rPr>
                          <w:rFonts w:eastAsia="Calibri"/>
                          <w:szCs w:val="24"/>
                        </w:rPr>
                        <w:t>) paskirstyti Europos Sąjungos ir kitos tarptautinės finansinės paramos programų ir projektų įgyvendinimo užtikrinimo programai skirtus asignavimus pagal valstybės biudžeto asignavimų valdytojus ir (arba) savivaldybes ir 2016 metais leisti juos naudoti iš Europos Sąjungos ir kitos tarptautinės finansinės paramos lėšų įgyvendinamiems ir (arba) numatomiems įgyvendinti projektams, programoms ir subsidijų schemoms finansuoti;</w:t>
                      </w:r>
                    </w:p>
                  </w:sdtContent>
                </w:sdt>
                <w:sdt>
                  <w:sdtPr>
                    <w:alias w:val="12 str. 1 d. 5 p."/>
                    <w:tag w:val="part_7ade9662c9b54aea91ea2a410ea1a886"/>
                    <w:lock w:val="sdtLocked"/>
                    <w:richText/>
                  </w:sdtPr>
                  <w:sdtContent>
                    <w:p>
                      <w:pPr>
                        <w:tabs>
                          <w:tab w:val="left" w:pos="1077"/>
                        </w:tabs>
                        <w:spacing w:line="360" w:lineRule="auto"/>
                        <w:ind w:firstLine="720"/>
                        <w:jc w:val="both"/>
                        <w:rPr>
                          <w:rFonts w:eastAsia="Calibri"/>
                          <w:szCs w:val="24"/>
                        </w:rPr>
                      </w:pPr>
                      <w:sdt>
                        <w:sdtPr>
                          <w:alias w:val="Numeris"/>
                          <w:tag w:val="nr_7ade9662c9b54aea91ea2a410ea1a886"/>
                          <w:lock w:val="sdtLocked"/>
                          <w:richText/>
                        </w:sdtPr>
                        <w:sdtContent>
                          <w:r>
                            <w:rPr>
                              <w:rFonts w:eastAsia="Calibri"/>
                              <w:szCs w:val="24"/>
                            </w:rPr>
                            <w:t>5</w:t>
                          </w:r>
                        </w:sdtContent>
                      </w:sdt>
                      <w:r>
                        <w:rPr>
                          <w:rFonts w:eastAsia="Calibri"/>
                          <w:szCs w:val="24"/>
                        </w:rPr>
                        <w:t>) perskirstyti Europos Sąjungos ir kitos tarptautinės finansinės paramos programoms (priemonėms), projektams ir subsidijų schemoms valstybės biudžete numatytus Europos Sąjungos ir kitos tarptautinės finansinės paramos ir bendrojo finansavimo asignavimus tarp asignavimų valdytojų, jų programų, investavimo sričių, valstybės funkcijų ir ekonominės klasifikacijos straipsnių, atsižvelgiant į programų, projektų ir subsidijų schemų įgyvendinimo duomenis;</w:t>
                      </w:r>
                    </w:p>
                  </w:sdtContent>
                </w:sdt>
                <w:sdt>
                  <w:sdtPr>
                    <w:alias w:val="12 str. 1 d. 6 p."/>
                    <w:tag w:val="part_cccfbc12a40743f2a923463bbdd06aaf"/>
                    <w:lock w:val="sdtLocked"/>
                    <w:richText/>
                  </w:sdtPr>
                  <w:sdtContent>
                    <w:p>
                      <w:pPr>
                        <w:tabs>
                          <w:tab w:val="left" w:pos="1077"/>
                        </w:tabs>
                        <w:spacing w:line="360" w:lineRule="auto"/>
                        <w:ind w:firstLine="720"/>
                        <w:jc w:val="both"/>
                        <w:rPr>
                          <w:rFonts w:eastAsia="Calibri"/>
                          <w:szCs w:val="24"/>
                        </w:rPr>
                      </w:pPr>
                      <w:sdt>
                        <w:sdtPr>
                          <w:alias w:val="Numeris"/>
                          <w:tag w:val="nr_cccfbc12a40743f2a923463bbdd06aaf"/>
                          <w:lock w:val="sdtLocked"/>
                          <w:richText/>
                        </w:sdtPr>
                        <w:sdtContent>
                          <w:r>
                            <w:rPr>
                              <w:rFonts w:eastAsia="Calibri"/>
                              <w:szCs w:val="24"/>
                            </w:rPr>
                            <w:t>6</w:t>
                          </w:r>
                        </w:sdtContent>
                      </w:sdt>
                      <w:r>
                        <w:rPr>
                          <w:rFonts w:eastAsia="Calibri"/>
                          <w:szCs w:val="24"/>
                        </w:rPr>
                        <w:t>) perskirstyti Europos Sąjungos struktūrinių fondų lėšomis finansuotų finansų inžinerijos priemonių arba finansinių instrumentų grįžusias lėšas, grąžintas asignavimų valdytojams pagal sudarytas finansų inžinerijos priemonių arba finansinių instrumentų finansavimo sutartis, tarp asignavimų valdytojų tiems patiems tikslams finansuoti, atsižvelgiant į Europos Sąjungos teisės aktus, reglamentuojančius Europos Sąjungos struktūrinių fondų lėšų administravimą;</w:t>
                      </w:r>
                    </w:p>
                  </w:sdtContent>
                </w:sdt>
                <w:sdt>
                  <w:sdtPr>
                    <w:alias w:val="12 str. 1 d. 7 p."/>
                    <w:tag w:val="part_ef858b8e2b3b42e09b721634f3eac3e9"/>
                    <w:lock w:val="sdtLocked"/>
                    <w:richText/>
                  </w:sdtPr>
                  <w:sdtContent>
                    <w:p>
                      <w:pPr>
                        <w:tabs>
                          <w:tab w:val="left" w:pos="1077"/>
                        </w:tabs>
                        <w:spacing w:line="360" w:lineRule="auto"/>
                        <w:ind w:firstLine="720"/>
                        <w:jc w:val="both"/>
                        <w:rPr>
                          <w:rFonts w:eastAsia="Calibri"/>
                          <w:szCs w:val="24"/>
                        </w:rPr>
                      </w:pPr>
                      <w:sdt>
                        <w:sdtPr>
                          <w:alias w:val="Numeris"/>
                          <w:tag w:val="nr_ef858b8e2b3b42e09b721634f3eac3e9"/>
                          <w:lock w:val="sdtLocked"/>
                          <w:richText/>
                        </w:sdtPr>
                        <w:sdtContent>
                          <w:r>
                            <w:rPr>
                              <w:rFonts w:eastAsia="Calibri"/>
                              <w:szCs w:val="24"/>
                            </w:rPr>
                            <w:t>7</w:t>
                          </w:r>
                        </w:sdtContent>
                      </w:sdt>
                      <w:r>
                        <w:rPr>
                          <w:rFonts w:eastAsia="Calibri"/>
                          <w:szCs w:val="24"/>
                        </w:rPr>
                        <w:t>) perskirstyti valstybės biudžeto asignavimus tarp asignavimų valdytojų, jų programų, investavimo sričių, valstybės funkcijų ir ekonominės klasifikacijos straipsnių pagal priimtus teisės aktus dėl biudžetinių įstaigų pertvarkymo, reorganizavimo, likvidavimo, funkcijų perdavimo arba biudžetinės įstaigos savininko teisių ir pareigų perdavimo, taip pat tarp valstybės biudžeto asignavimų valdytojų ir savivaldybių;</w:t>
                      </w:r>
                    </w:p>
                  </w:sdtContent>
                </w:sdt>
                <w:sdt>
                  <w:sdtPr>
                    <w:alias w:val="12 str. 1 d. 8 p."/>
                    <w:tag w:val="part_d9d20291b1744f328fe2bd21ca83a6a3"/>
                    <w:lock w:val="sdtLocked"/>
                    <w:richText/>
                  </w:sdtPr>
                  <w:sdtContent>
                    <w:p>
                      <w:pPr>
                        <w:tabs>
                          <w:tab w:val="left" w:pos="1077"/>
                        </w:tabs>
                        <w:spacing w:line="360" w:lineRule="auto"/>
                        <w:ind w:firstLine="720"/>
                        <w:jc w:val="both"/>
                        <w:rPr>
                          <w:rFonts w:eastAsia="Calibri"/>
                          <w:szCs w:val="24"/>
                        </w:rPr>
                      </w:pPr>
                      <w:sdt>
                        <w:sdtPr>
                          <w:alias w:val="Numeris"/>
                          <w:tag w:val="nr_d9d20291b1744f328fe2bd21ca83a6a3"/>
                          <w:lock w:val="sdtLocked"/>
                          <w:richText/>
                        </w:sdtPr>
                        <w:sdtContent>
                          <w:r>
                            <w:rPr>
                              <w:rFonts w:eastAsia="Calibri"/>
                              <w:szCs w:val="24"/>
                            </w:rPr>
                            <w:t>8</w:t>
                          </w:r>
                        </w:sdtContent>
                      </w:sdt>
                      <w:r>
                        <w:rPr>
                          <w:rFonts w:eastAsia="Calibri"/>
                          <w:szCs w:val="24"/>
                        </w:rPr>
                        <w:t>) Teisėjų tarybos teikimu ne dažniau kaip kartą per ketvirtį perskirstyti valstybės biudžeto asignavimus, numatytus šio įstatymo 3 priede, tarp teismų, atsižvelgiant į teismų programų įgyvendinimo duomenis;</w:t>
                      </w:r>
                    </w:p>
                  </w:sdtContent>
                </w:sdt>
                <w:sdt>
                  <w:sdtPr>
                    <w:alias w:val="12 str. 1 d. 9 p."/>
                    <w:tag w:val="part_034fce3d199b4cbd81f66d853d9f7910"/>
                    <w:lock w:val="sdtLocked"/>
                    <w:richText/>
                  </w:sdtPr>
                  <w:sdtContent>
                    <w:p>
                      <w:pPr>
                        <w:tabs>
                          <w:tab w:val="left" w:pos="1077"/>
                        </w:tabs>
                        <w:spacing w:line="360" w:lineRule="auto"/>
                        <w:ind w:firstLine="720"/>
                        <w:jc w:val="both"/>
                        <w:rPr>
                          <w:rFonts w:eastAsia="Calibri"/>
                          <w:szCs w:val="24"/>
                        </w:rPr>
                      </w:pPr>
                      <w:sdt>
                        <w:sdtPr>
                          <w:alias w:val="Numeris"/>
                          <w:tag w:val="nr_034fce3d199b4cbd81f66d853d9f7910"/>
                          <w:lock w:val="sdtLocked"/>
                          <w:richText/>
                        </w:sdtPr>
                        <w:sdtContent>
                          <w:r>
                            <w:rPr>
                              <w:rFonts w:eastAsia="Calibri"/>
                              <w:szCs w:val="24"/>
                            </w:rPr>
                            <w:t>9</w:t>
                          </w:r>
                        </w:sdtContent>
                      </w:sdt>
                      <w:r>
                        <w:rPr>
                          <w:rFonts w:eastAsia="Calibri"/>
                          <w:szCs w:val="24"/>
                        </w:rPr>
                        <w:t>) paskirstyti asignavimų valdytojams Finansų ministerijos šio straipsnio 4 dalies 1 punkte nustatytiems tikslams pasiskolintas lėšas;</w:t>
                      </w:r>
                    </w:p>
                  </w:sdtContent>
                </w:sdt>
                <w:sdt>
                  <w:sdtPr>
                    <w:alias w:val="12 str. 1 d. 10 p."/>
                    <w:tag w:val="part_7efc380fa50f42e095482955506b7dff"/>
                    <w:lock w:val="sdtLocked"/>
                    <w:richText/>
                  </w:sdtPr>
                  <w:sdtContent>
                    <w:p>
                      <w:pPr>
                        <w:tabs>
                          <w:tab w:val="left" w:pos="1077"/>
                        </w:tabs>
                        <w:spacing w:line="360" w:lineRule="auto"/>
                        <w:ind w:firstLine="720"/>
                        <w:jc w:val="both"/>
                        <w:rPr>
                          <w:rFonts w:eastAsia="Calibri"/>
                          <w:szCs w:val="24"/>
                        </w:rPr>
                      </w:pPr>
                      <w:sdt>
                        <w:sdtPr>
                          <w:alias w:val="Numeris"/>
                          <w:tag w:val="nr_7efc380fa50f42e095482955506b7dff"/>
                          <w:lock w:val="sdtLocked"/>
                          <w:richText/>
                        </w:sdtPr>
                        <w:sdtContent>
                          <w:r>
                            <w:rPr>
                              <w:rFonts w:eastAsia="Calibri"/>
                              <w:szCs w:val="24"/>
                            </w:rPr>
                            <w:t>10</w:t>
                          </w:r>
                        </w:sdtContent>
                      </w:sdt>
                      <w:r>
                        <w:rPr>
                          <w:rFonts w:eastAsia="Calibri"/>
                          <w:szCs w:val="24"/>
                        </w:rPr>
                        <w:t xml:space="preserve">)  perskirstyti Lietuvos Respublikos krašto apsaugos ministerijos (toliau – Krašto apsaugos ministerija) asignavimus turtui, įskaitant ginklus, karinę įrangą ir karines atsargas, įsigyti, išskyrus asignavimus investicijų projektams, ir juos naudoti išlaidoms, jeigu tai būtina nacionaliniam saugumui užtikrinti ar tarptautiniams įsipareigojimams vykdyti teikiant reikiamas prekes, paslaugas ar darbus pajėgoms, kurios atvyksta dalyvauti tarptautinėse operacijose, tarptautinėse karinėse pratybose ir kituose karinio bendradarbiavimo renginiuose arba vyksta tranzitu per Lietuvos Respublikos teritoriją (toliau – priimančiosios šalies parama);</w:t>
                      </w:r>
                    </w:p>
                  </w:sdtContent>
                </w:sdt>
                <w:sdt>
                  <w:sdtPr>
                    <w:alias w:val="12 str. 1 d. 11 p."/>
                    <w:tag w:val="part_fb2202f85faa44219cc9ff7d6811ed82"/>
                    <w:lock w:val="sdtLocked"/>
                    <w:richText/>
                  </w:sdtPr>
                  <w:sdtContent>
                    <w:p>
                      <w:pPr>
                        <w:tabs>
                          <w:tab w:val="left" w:pos="1077"/>
                        </w:tabs>
                        <w:spacing w:line="360" w:lineRule="auto"/>
                        <w:ind w:firstLine="720"/>
                        <w:jc w:val="both"/>
                        <w:rPr>
                          <w:rFonts w:eastAsia="Calibri"/>
                          <w:szCs w:val="24"/>
                        </w:rPr>
                      </w:pPr>
                      <w:sdt>
                        <w:sdtPr>
                          <w:alias w:val="Numeris"/>
                          <w:tag w:val="nr_fb2202f85faa44219cc9ff7d6811ed82"/>
                          <w:lock w:val="sdtLocked"/>
                          <w:richText/>
                        </w:sdtPr>
                        <w:sdtContent>
                          <w:r>
                            <w:rPr>
                              <w:rFonts w:eastAsia="Calibri"/>
                              <w:szCs w:val="24"/>
                            </w:rPr>
                            <w:t>11</w:t>
                          </w:r>
                        </w:sdtContent>
                      </w:sdt>
                      <w:r>
                        <w:rPr>
                          <w:rFonts w:eastAsia="Calibri"/>
                          <w:szCs w:val="24"/>
                        </w:rPr>
                        <w:t xml:space="preserve">) paskirstyti asignavimų valdytojams ir savivaldybėms Finansų ministerijos asignavimuose numatytas lėšas </w:t>
                      </w:r>
                      <w:r>
                        <w:rPr>
                          <w:rFonts w:eastAsia="Calibri"/>
                          <w:szCs w:val="24"/>
                          <w:lang w:eastAsia="lt-LT"/>
                        </w:rPr>
                        <w:t xml:space="preserve">minimaliajai mėnesinei algai padidinti, </w:t>
                      </w:r>
                      <w:r>
                        <w:rPr>
                          <w:rFonts w:eastAsia="Calibri"/>
                          <w:szCs w:val="24"/>
                        </w:rPr>
                        <w:t>Lietuvos Respublikos valstybės tarnybos įstatymui įgyvendinti ir grąžintinai neišmokėto darbo užmokesčio daliai sumokėti (</w:t>
                      </w:r>
                      <w:r>
                        <w:rPr>
                          <w:szCs w:val="24"/>
                          <w:lang w:eastAsia="lt-LT"/>
                        </w:rPr>
                        <w:t>institucijoms ir įstaigoms, perėmusioms likviduotų ar reorganizuotų biudžetinių įstaigų teises ir pareigas)</w:t>
                      </w:r>
                      <w:r>
                        <w:rPr>
                          <w:rFonts w:eastAsia="Calibri"/>
                          <w:szCs w:val="24"/>
                        </w:rPr>
                        <w:t>.</w:t>
                      </w:r>
                    </w:p>
                  </w:sdtContent>
                </w:sdt>
              </w:sdtContent>
            </w:sdt>
            <w:sdt>
              <w:sdtPr>
                <w:alias w:val="12 str. 2 d."/>
                <w:tag w:val="part_f2f2f3e1b4b44d67821bf0a53f760661"/>
                <w:lock w:val="sdtLocked"/>
                <w:richText/>
              </w:sdtPr>
              <w:sdtContent>
                <w:p>
                  <w:pPr>
                    <w:tabs>
                      <w:tab w:val="left" w:pos="1077"/>
                    </w:tabs>
                    <w:spacing w:line="360" w:lineRule="auto"/>
                    <w:ind w:firstLine="720"/>
                    <w:jc w:val="both"/>
                    <w:rPr>
                      <w:rFonts w:eastAsia="Calibri"/>
                      <w:szCs w:val="24"/>
                    </w:rPr>
                  </w:pPr>
                  <w:sdt>
                    <w:sdtPr>
                      <w:alias w:val="Numeris"/>
                      <w:tag w:val="nr_f2f2f3e1b4b44d67821bf0a53f760661"/>
                      <w:lock w:val="sdtLocked"/>
                      <w:richText/>
                    </w:sdtPr>
                    <w:sdtContent>
                      <w:r>
                        <w:rPr>
                          <w:rFonts w:eastAsia="Calibri"/>
                          <w:szCs w:val="24"/>
                          <w14:scene3d>
                            <w14:camera w14:prst="orthographicFront"/>
                            <w14:lightRig w14:rig="threePt" w14:dir="t">
                              <w14:rot w14:lat="0" w14:lon="0" w14:rev="0"/>
                            </w14:lightRig>
                          </w14:scene3d>
                        </w:rPr>
                        <w:t>2</w:t>
                      </w:r>
                    </w:sdtContent>
                  </w:sdt>
                  <w:r>
                    <w:rPr>
                      <w:rFonts w:eastAsia="Calibri"/>
                      <w:szCs w:val="24"/>
                      <w14:scene3d>
                        <w14:camera w14:prst="orthographicFront"/>
                        <w14:lightRig w14:rig="threePt" w14:dir="t">
                          <w14:rot w14:lat="0" w14:lon="0" w14:rev="0"/>
                        </w14:lightRig>
                      </w14:scene3d>
                    </w:rPr>
                    <w:t xml:space="preserve">. </w:t>
                  </w:r>
                  <w:r>
                    <w:rPr>
                      <w:rFonts w:eastAsia="Calibri"/>
                      <w:szCs w:val="24"/>
                    </w:rPr>
                    <w:t>Valstybės institucijoms ir įstaigoms, nurodytoms šio įstatymo 4 priede, suteikiama teisė perskirstyti specialias tikslines dotacijas tarp savivaldybių ir tarp specialių tikslinių dotacijų, nurodytų šio įstatymo 4 priede.</w:t>
                  </w:r>
                </w:p>
              </w:sdtContent>
            </w:sdt>
            <w:sdt>
              <w:sdtPr>
                <w:alias w:val="12 str. 3 d."/>
                <w:tag w:val="part_0a91a1756fe44af483dec52da70beeb4"/>
                <w:lock w:val="sdtLocked"/>
                <w:richText/>
              </w:sdtPr>
              <w:sdtContent>
                <w:p>
                  <w:pPr>
                    <w:tabs>
                      <w:tab w:val="left" w:pos="1077"/>
                    </w:tabs>
                    <w:spacing w:line="360" w:lineRule="auto"/>
                    <w:ind w:firstLine="720"/>
                    <w:jc w:val="both"/>
                    <w:rPr>
                      <w:rFonts w:eastAsia="Calibri"/>
                      <w:szCs w:val="24"/>
                    </w:rPr>
                  </w:pPr>
                  <w:sdt>
                    <w:sdtPr>
                      <w:alias w:val="Numeris"/>
                      <w:tag w:val="nr_0a91a1756fe44af483dec52da70beeb4"/>
                      <w:lock w:val="sdtLocked"/>
                      <w:richText/>
                    </w:sdtPr>
                    <w:sdtContent>
                      <w:r>
                        <w:rPr>
                          <w:rFonts w:eastAsia="Calibri"/>
                          <w:szCs w:val="24"/>
                          <w14:scene3d>
                            <w14:camera w14:prst="orthographicFront"/>
                            <w14:lightRig w14:rig="threePt" w14:dir="t">
                              <w14:rot w14:lat="0" w14:lon="0" w14:rev="0"/>
                            </w14:lightRig>
                          </w14:scene3d>
                        </w:rPr>
                        <w:t>3</w:t>
                      </w:r>
                    </w:sdtContent>
                  </w:sdt>
                  <w:r>
                    <w:rPr>
                      <w:rFonts w:eastAsia="Calibri"/>
                      <w:szCs w:val="24"/>
                      <w14:scene3d>
                        <w14:camera w14:prst="orthographicFront"/>
                        <w14:lightRig w14:rig="threePt" w14:dir="t">
                          <w14:rot w14:lat="0" w14:lon="0" w14:rev="0"/>
                        </w14:lightRig>
                      </w14:scene3d>
                    </w:rPr>
                    <w:t xml:space="preserve">. </w:t>
                  </w:r>
                  <w:r>
                    <w:rPr>
                      <w:rFonts w:eastAsia="Calibri"/>
                      <w:szCs w:val="24"/>
                    </w:rPr>
                    <w:t>Valstybės institucijoms ir įstaigoms, nurodytoms šio įstatymo 5 priede, suteikiama teisė perskirstyti šio įstatymo 5 priede nurodytas prognozuojamas valstybės biudžeto specialias tikslines dotacijas tarp savivaldybių ir tarp dotacijų, o Vyriausybei arba šio įstatymo 5 priede nurodytoms valstybės institucijoms ir įstaigoms Valstybės investicijų 2016–2018 metų programoje numatytoms kapitalo investicijoms finansuoti – tarp savivaldybių ir tarp investicijų projektų.</w:t>
                  </w:r>
                </w:p>
              </w:sdtContent>
            </w:sdt>
            <w:sdt>
              <w:sdtPr>
                <w:alias w:val="12 str. 4 d."/>
                <w:tag w:val="part_2b2609a9617049188d0256832884f9df"/>
                <w:lock w:val="sdtLocked"/>
                <w:richText/>
              </w:sdtPr>
              <w:sdtContent>
                <w:p>
                  <w:pPr>
                    <w:tabs>
                      <w:tab w:val="left" w:pos="1077"/>
                    </w:tabs>
                    <w:spacing w:line="360" w:lineRule="auto"/>
                    <w:ind w:firstLine="720"/>
                    <w:jc w:val="both"/>
                    <w:rPr>
                      <w:rFonts w:eastAsia="Calibri"/>
                      <w:szCs w:val="24"/>
                    </w:rPr>
                  </w:pPr>
                  <w:sdt>
                    <w:sdtPr>
                      <w:alias w:val="Numeris"/>
                      <w:tag w:val="nr_2b2609a9617049188d0256832884f9df"/>
                      <w:lock w:val="sdtLocked"/>
                      <w:richText/>
                    </w:sdtPr>
                    <w:sdtContent>
                      <w:r>
                        <w:rPr>
                          <w:rFonts w:eastAsia="Calibri"/>
                          <w:szCs w:val="24"/>
                          <w14:scene3d>
                            <w14:camera w14:prst="orthographicFront"/>
                            <w14:lightRig w14:rig="threePt" w14:dir="t">
                              <w14:rot w14:lat="0" w14:lon="0" w14:rev="0"/>
                            </w14:lightRig>
                          </w14:scene3d>
                        </w:rPr>
                        <w:t>4</w:t>
                      </w:r>
                    </w:sdtContent>
                  </w:sdt>
                  <w:r>
                    <w:rPr>
                      <w:rFonts w:eastAsia="Calibri"/>
                      <w:szCs w:val="24"/>
                      <w14:scene3d>
                        <w14:camera w14:prst="orthographicFront"/>
                        <w14:lightRig w14:rig="threePt" w14:dir="t">
                          <w14:rot w14:lat="0" w14:lon="0" w14:rev="0"/>
                        </w14:lightRig>
                      </w14:scene3d>
                    </w:rPr>
                    <w:t xml:space="preserve">. </w:t>
                  </w:r>
                  <w:r>
                    <w:rPr>
                      <w:rFonts w:eastAsia="Calibri"/>
                      <w:szCs w:val="24"/>
                    </w:rPr>
                    <w:t>Finansų ministerijai suteikiama teisė:</w:t>
                  </w:r>
                </w:p>
                <w:sdt>
                  <w:sdtPr>
                    <w:alias w:val="12 str. 4 d. 1 p."/>
                    <w:tag w:val="part_3e70335e7abd4d6db0c533ad20300cb8"/>
                    <w:lock w:val="sdtLocked"/>
                    <w:richText/>
                  </w:sdtPr>
                  <w:sdtContent>
                    <w:p>
                      <w:pPr>
                        <w:tabs>
                          <w:tab w:val="left" w:pos="1077"/>
                        </w:tabs>
                        <w:spacing w:line="360" w:lineRule="auto"/>
                        <w:ind w:firstLine="720"/>
                        <w:jc w:val="both"/>
                        <w:rPr>
                          <w:rFonts w:eastAsia="Calibri"/>
                          <w:szCs w:val="24"/>
                        </w:rPr>
                      </w:pPr>
                      <w:sdt>
                        <w:sdtPr>
                          <w:alias w:val="Numeris"/>
                          <w:tag w:val="nr_3e70335e7abd4d6db0c533ad20300cb8"/>
                          <w:lock w:val="sdtLocked"/>
                          <w:richText/>
                        </w:sdtPr>
                        <w:sdtContent>
                          <w:r>
                            <w:rPr>
                              <w:rFonts w:eastAsia="Calibri"/>
                              <w:szCs w:val="24"/>
                            </w:rPr>
                            <w:t>1</w:t>
                          </w:r>
                        </w:sdtContent>
                      </w:sdt>
                      <w:r>
                        <w:rPr>
                          <w:rFonts w:eastAsia="Calibri"/>
                          <w:szCs w:val="24"/>
                        </w:rPr>
                        <w:t xml:space="preserve">) skolintis valstybės vardu esant poreikiui ir laikantis Vyriausybės grynojo skolinių įsipareigojimų pokyčio limito: su valstybės skola susijusioms išlaidoms apmokėti; su priemonių, finansuojamų iš Europos Sąjungos ir kitos tarptautinės finansinės paramos ir bendrojo finansavimo lėšų, įgyvendinimu susijusioms išlaidoms apmokėti; nenumatytoms įmokoms į Europos Sąjungos biudžetą; nenumatytoms išlaidoms dėl einamaisiais biudžetiniais metais paskelbto referendumo ir (arba) pirmalaikių rinkimų; </w:t>
                      </w:r>
                      <w:r>
                        <w:rPr>
                          <w:rFonts w:eastAsia="Calibri"/>
                          <w:szCs w:val="24"/>
                          <w:lang w:eastAsia="lt-LT"/>
                        </w:rPr>
                        <w:t>Lietuvos Respublikos įsipareigojimams, susijusiems su Europos Sąjungos politikos įgyvendinimu, vykdyti, įskaitant rezervinių lėšų sukaupimą ir (arba) paskolinimą, kaip tai numatyta Europos Sąjungos teisės aktuose, Europos Sąjungos institucijų ar organizacijų sprendimuose ir (arba) su tuo susijusiose sutartyse ar susitarimuose</w:t>
                      </w:r>
                      <w:r>
                        <w:rPr>
                          <w:rFonts w:eastAsia="Calibri"/>
                          <w:bCs/>
                          <w:color w:val="000000"/>
                          <w:szCs w:val="24"/>
                        </w:rPr>
                        <w:t>;</w:t>
                      </w:r>
                      <w:r>
                        <w:rPr>
                          <w:rFonts w:eastAsia="Calibri"/>
                          <w:szCs w:val="24"/>
                        </w:rPr>
                        <w:t xml:space="preserve"> nenumatytoms išlaidoms, susijusioms su užsieniečių perkėlimu į Lietuvos Respublikos teritoriją ir jų integracija; pereinamojo laikotarpio nacionalinei paramai Lietuvos žemės ūkio veiklos subjektams mokėti; valstybės paramai teikti įgyvendinant daugiabučių namų atnaujinimo (modernizavimo) projektus; išlaidoms, susijusioms su atstovavimu Lietuvos Respublikai (Vyriausybei) užsienio ginčų sprendimo institucijose, įskaitant, bet neapsiribojant, teisinių išvadų dėl jų sprendimų apskundimo parengimą, teisinių išvadų dėl sprendimų apskundimo gavimą ir atstovavimą Lietuvos Respublikai (Vyriausybei) atliekant kitus veiksmus, susijusius su Lietuvos Respublikos (Vyriausybės) interesų gynimu, apmokėti; arbitražų ar teismų sprendimams, kuriais priteistos sumos iš Lietuvos valstybės, vykdyti;</w:t>
                      </w:r>
                    </w:p>
                  </w:sdtContent>
                </w:sdt>
                <w:sdt>
                  <w:sdtPr>
                    <w:alias w:val="12 str. 4 d. 2 p."/>
                    <w:tag w:val="part_f8cd75ef28aa40588215fe430e7744b3"/>
                    <w:lock w:val="sdtLocked"/>
                    <w:richText/>
                  </w:sdtPr>
                  <w:sdtContent>
                    <w:p>
                      <w:pPr>
                        <w:tabs>
                          <w:tab w:val="left" w:pos="1077"/>
                        </w:tabs>
                        <w:spacing w:line="360" w:lineRule="auto"/>
                        <w:ind w:firstLine="720"/>
                        <w:jc w:val="both"/>
                        <w:rPr>
                          <w:rFonts w:eastAsia="Calibri"/>
                          <w:szCs w:val="24"/>
                        </w:rPr>
                      </w:pPr>
                      <w:sdt>
                        <w:sdtPr>
                          <w:alias w:val="Numeris"/>
                          <w:tag w:val="nr_f8cd75ef28aa40588215fe430e7744b3"/>
                          <w:lock w:val="sdtLocked"/>
                          <w:richText/>
                        </w:sdtPr>
                        <w:sdtContent>
                          <w:r>
                            <w:rPr>
                              <w:rFonts w:eastAsia="Calibri"/>
                              <w:szCs w:val="24"/>
                            </w:rPr>
                            <w:t>2</w:t>
                          </w:r>
                        </w:sdtContent>
                      </w:sdt>
                      <w:r>
                        <w:rPr>
                          <w:rFonts w:eastAsia="Calibri"/>
                          <w:szCs w:val="24"/>
                        </w:rPr>
                        <w:t>) leisti įmokėtų biudžetinių įstaigų pajamų, valstybės biudžeto pajamų iš mokesčių dalies ir kitų lėšų, įstatymais ir kitais teisės aktais skiriamų programoms finansuoti, gautos Europos Sąjungos ir kitos tarptautinės finansinės paramos laikinai laisvas lėšas grąžintinai naudoti valstybės biudžeto reikmėms ir valstybės skoliniams įsipareigojimams vykdyti užtikrinant, kad programų asignavimų dalis, kurią sudaro Europos Sąjungos ir kita tarptautinė finansinė parama, įmokėtos biudžetinių įstaigų pajamos, valstybės biudžeto pajamų iš mokesčių dalis ir kitos lėšos, įstatymais ir kitais teisės aktais skiriamos programoms finansuoti, iš valstybės biudžeto būtų finansuojamos laiku;</w:t>
                      </w:r>
                    </w:p>
                  </w:sdtContent>
                </w:sdt>
                <w:sdt>
                  <w:sdtPr>
                    <w:alias w:val="12 str. 4 d. 3 p."/>
                    <w:tag w:val="part_efbc1290907b4585bbf68e88bb6c4a3c"/>
                    <w:lock w:val="sdtLocked"/>
                    <w:richText/>
                  </w:sdtPr>
                  <w:sdtContent>
                    <w:p>
                      <w:pPr>
                        <w:tabs>
                          <w:tab w:val="left" w:pos="1077"/>
                        </w:tabs>
                        <w:spacing w:line="360" w:lineRule="auto"/>
                        <w:ind w:firstLine="720"/>
                        <w:jc w:val="both"/>
                        <w:rPr>
                          <w:rFonts w:eastAsia="Calibri"/>
                          <w:szCs w:val="24"/>
                        </w:rPr>
                      </w:pPr>
                      <w:sdt>
                        <w:sdtPr>
                          <w:alias w:val="Numeris"/>
                          <w:tag w:val="nr_efbc1290907b4585bbf68e88bb6c4a3c"/>
                          <w:lock w:val="sdtLocked"/>
                          <w:richText/>
                        </w:sdtPr>
                        <w:sdtContent>
                          <w:r>
                            <w:rPr>
                              <w:rFonts w:eastAsia="Calibri"/>
                              <w:szCs w:val="24"/>
                            </w:rPr>
                            <w:t>3</w:t>
                          </w:r>
                        </w:sdtContent>
                      </w:sdt>
                      <w:r>
                        <w:rPr>
                          <w:rFonts w:eastAsia="Calibri"/>
                          <w:szCs w:val="24"/>
                        </w:rPr>
                        <w:t>) kompensuoti nustatyta tvarka Lietuvos Respublikos atstovų kelionių į Europos Sąjungos Tarybos darbo organų susitikimus išlaidas iš šiam tikslui Finansų ministerijos asignavimuose numatytų lėšų ir įmokėtą, bet nepanaudotą Europos Sąjungos finansinės paramos lėšų dalį, skirtą šiam tikslui, naudoti viršijant Lietuvos Respublikos Seimo (toliau – Seimas) patvirtintas bendras asignavimų sumas;</w:t>
                      </w:r>
                    </w:p>
                  </w:sdtContent>
                </w:sdt>
                <w:sdt>
                  <w:sdtPr>
                    <w:alias w:val="12 str. 4 d. 4 p."/>
                    <w:tag w:val="part_280dd9a0683f4aaa86fff2d9d0aa6719"/>
                    <w:lock w:val="sdtLocked"/>
                    <w:richText/>
                  </w:sdtPr>
                  <w:sdtContent>
                    <w:p>
                      <w:pPr>
                        <w:tabs>
                          <w:tab w:val="left" w:pos="1077"/>
                        </w:tabs>
                        <w:spacing w:line="360" w:lineRule="auto"/>
                        <w:ind w:firstLine="720"/>
                        <w:jc w:val="both"/>
                        <w:rPr>
                          <w:rFonts w:eastAsia="Calibri"/>
                          <w:szCs w:val="24"/>
                        </w:rPr>
                      </w:pPr>
                      <w:sdt>
                        <w:sdtPr>
                          <w:alias w:val="Numeris"/>
                          <w:tag w:val="nr_280dd9a0683f4aaa86fff2d9d0aa6719"/>
                          <w:lock w:val="sdtLocked"/>
                          <w:richText/>
                        </w:sdtPr>
                        <w:sdtContent>
                          <w:r>
                            <w:rPr>
                              <w:rFonts w:eastAsia="Calibri"/>
                              <w:szCs w:val="24"/>
                            </w:rPr>
                            <w:t>4</w:t>
                          </w:r>
                        </w:sdtContent>
                      </w:sdt>
                      <w:r>
                        <w:rPr>
                          <w:rFonts w:eastAsia="Calibri"/>
                          <w:szCs w:val="24"/>
                        </w:rPr>
                        <w:t>) kompensuoti nustatyta tvarka 2009–2014 metų Europos ekonominės erdvės ir Norvegijos finansinių mechanizmų programų operatorių ir kitų susijusių institucijų atstovų komandiruočių į patirties mainų renginius, kurių organizavimą remia atsakingos šalių donorių institucijos, išlaidas iš šiam tikslui Finansų ministerijos asignavimuose numatytų lėšų.</w:t>
                      </w:r>
                    </w:p>
                  </w:sdtContent>
                </w:sdt>
              </w:sdtContent>
            </w:sdt>
            <w:sdt>
              <w:sdtPr>
                <w:alias w:val="12 str. 5 d."/>
                <w:tag w:val="part_4a061b71a7e84b608424570ae9aefeb5"/>
                <w:lock w:val="sdtLocked"/>
                <w:richText/>
              </w:sdtPr>
              <w:sdtContent>
                <w:p>
                  <w:pPr>
                    <w:spacing w:line="360" w:lineRule="auto"/>
                    <w:ind w:firstLine="720"/>
                    <w:jc w:val="both"/>
                  </w:pPr>
                  <w:sdt>
                    <w:sdtPr>
                      <w:alias w:val="Numeris"/>
                      <w:tag w:val="nr_4a061b71a7e84b608424570ae9aefeb5"/>
                      <w:lock w:val="sdtLocked"/>
                      <w:richText/>
                    </w:sdtPr>
                    <w:sdtContent>
                      <w:r>
                        <w:rPr>
                          <w14:scene3d>
                            <w14:camera w14:prst="orthographicFront"/>
                            <w14:lightRig w14:rig="threePt" w14:dir="t">
                              <w14:rot w14:lat="0" w14:lon="0" w14:rev="0"/>
                            </w14:lightRig>
                          </w14:scene3d>
                        </w:rPr>
                        <w:t>5</w:t>
                      </w:r>
                    </w:sdtContent>
                  </w:sdt>
                  <w:r>
                    <w:rPr>
                      <w14:scene3d>
                        <w14:camera w14:prst="orthographicFront"/>
                        <w14:lightRig w14:rig="threePt" w14:dir="t">
                          <w14:rot w14:lat="0" w14:lon="0" w14:rev="0"/>
                        </w14:lightRig>
                      </w14:scene3d>
                    </w:rPr>
                    <w:t xml:space="preserve">. </w:t>
                  </w:r>
                  <w:r>
                    <w:t>Švietimo ir mokslo ministerijai suteikiama teisė:</w:t>
                  </w:r>
                </w:p>
                <w:sdt>
                  <w:sdtPr>
                    <w:alias w:val="12 str. 5 d. 1 p."/>
                    <w:tag w:val="part_acde0a1bdb1b46ce97a472ebb50b1493"/>
                    <w:lock w:val="sdtLocked"/>
                    <w:richText/>
                  </w:sdtPr>
                  <w:sdtContent>
                    <w:p>
                      <w:pPr>
                        <w:tabs>
                          <w:tab w:val="left" w:pos="1077"/>
                        </w:tabs>
                        <w:spacing w:line="360" w:lineRule="auto"/>
                        <w:ind w:firstLine="720"/>
                        <w:jc w:val="both"/>
                        <w:rPr>
                          <w:rFonts w:eastAsia="Calibri"/>
                          <w:szCs w:val="24"/>
                        </w:rPr>
                      </w:pPr>
                      <w:sdt>
                        <w:sdtPr>
                          <w:alias w:val="Numeris"/>
                          <w:tag w:val="nr_acde0a1bdb1b46ce97a472ebb50b1493"/>
                          <w:lock w:val="sdtLocked"/>
                          <w:richText/>
                        </w:sdtPr>
                        <w:sdtContent>
                          <w:r>
                            <w:rPr>
                              <w:rFonts w:eastAsia="Calibri"/>
                              <w:szCs w:val="24"/>
                            </w:rPr>
                            <w:t>1</w:t>
                          </w:r>
                        </w:sdtContent>
                      </w:sdt>
                      <w:r>
                        <w:rPr>
                          <w:rFonts w:eastAsia="Calibri"/>
                          <w:szCs w:val="24"/>
                        </w:rPr>
                        <w:t>) paskirstyti pagal aukštąsias mokyklas Švietimo ir mokslo ministerijos asignavimuose numatytas lėšas, skirtas studentų, 2016 metais priimamų studijuoti pagal pirmosios pakopos, vientisųjų, antrosios pakopos ir laipsnio nesuteikiančių studijų programas, ir tiksliniu būdu valstybės finansuojamų studijų programų studentų studijų ir kitoms išlaidoms;</w:t>
                      </w:r>
                    </w:p>
                  </w:sdtContent>
                </w:sdt>
                <w:sdt>
                  <w:sdtPr>
                    <w:alias w:val="12 str. 5 d. 2 p."/>
                    <w:tag w:val="part_0849e68da6f944a7bc02be934a7a30a1"/>
                    <w:lock w:val="sdtLocked"/>
                    <w:richText/>
                  </w:sdtPr>
                  <w:sdtContent>
                    <w:p>
                      <w:pPr>
                        <w:tabs>
                          <w:tab w:val="left" w:pos="1077"/>
                        </w:tabs>
                        <w:spacing w:line="360" w:lineRule="auto"/>
                        <w:ind w:firstLine="720"/>
                        <w:jc w:val="both"/>
                        <w:rPr>
                          <w:rFonts w:eastAsia="Calibri"/>
                          <w:szCs w:val="24"/>
                        </w:rPr>
                      </w:pPr>
                      <w:sdt>
                        <w:sdtPr>
                          <w:alias w:val="Numeris"/>
                          <w:tag w:val="nr_0849e68da6f944a7bc02be934a7a30a1"/>
                          <w:lock w:val="sdtLocked"/>
                          <w:richText/>
                        </w:sdtPr>
                        <w:sdtContent>
                          <w:r>
                            <w:rPr>
                              <w:rFonts w:eastAsia="Calibri"/>
                              <w:szCs w:val="24"/>
                            </w:rPr>
                            <w:t>2</w:t>
                          </w:r>
                        </w:sdtContent>
                      </w:sdt>
                      <w:r>
                        <w:rPr>
                          <w:rFonts w:eastAsia="Calibri"/>
                          <w:szCs w:val="24"/>
                        </w:rPr>
                        <w:t>) Vyriausybės patvirtintoje metodikoje nustatyta tvarka perskirstyti specialią tikslinę dotaciją mokinio (klasės, grupės) krepšeliui finansuoti tarp savivaldybių, taip pat tarp savivaldybių ir Švietimo ir mokslo ministerijos ir atvirkščiai;</w:t>
                      </w:r>
                    </w:p>
                  </w:sdtContent>
                </w:sdt>
                <w:sdt>
                  <w:sdtPr>
                    <w:alias w:val="12 str. 5 d. 3 p."/>
                    <w:tag w:val="part_342f3a116d8148d795954a5c1950601a"/>
                    <w:lock w:val="sdtLocked"/>
                    <w:richText/>
                  </w:sdtPr>
                  <w:sdtContent>
                    <w:p>
                      <w:pPr>
                        <w:tabs>
                          <w:tab w:val="left" w:pos="1077"/>
                        </w:tabs>
                        <w:spacing w:line="360" w:lineRule="auto"/>
                        <w:ind w:firstLine="720"/>
                        <w:jc w:val="both"/>
                        <w:rPr>
                          <w:rFonts w:eastAsia="Calibri"/>
                          <w:szCs w:val="24"/>
                        </w:rPr>
                      </w:pPr>
                      <w:sdt>
                        <w:sdtPr>
                          <w:alias w:val="Numeris"/>
                          <w:tag w:val="nr_342f3a116d8148d795954a5c1950601a"/>
                          <w:lock w:val="sdtLocked"/>
                          <w:richText/>
                        </w:sdtPr>
                        <w:sdtContent>
                          <w:r>
                            <w:rPr>
                              <w:rFonts w:eastAsia="Calibri"/>
                              <w:szCs w:val="24"/>
                            </w:rPr>
                            <w:t>3</w:t>
                          </w:r>
                        </w:sdtContent>
                      </w:sdt>
                      <w:r>
                        <w:rPr>
                          <w:rFonts w:eastAsia="Calibri"/>
                          <w:szCs w:val="24"/>
                        </w:rPr>
                        <w:t xml:space="preserve">) Švietimo ir mokslo ministerijos nustatyta tvarka paskirstyti pagal savivaldybes ir valstybines bendrojo ugdymo mokyklas Švietimo ir mokslo ministerijos asignavimuose numatytas lėšas, skirtas išlaidoms, susijusioms su </w:t>
                      </w:r>
                      <w:r>
                        <w:rPr>
                          <w:rFonts w:eastAsia="Calibri"/>
                          <w:bCs/>
                          <w:color w:val="000000"/>
                          <w:szCs w:val="24"/>
                        </w:rPr>
                        <w:t>valstybinių ir savivaldybių mokyklų bendrojo ugdymo mokytojų</w:t>
                      </w:r>
                      <w:r>
                        <w:rPr>
                          <w:rFonts w:eastAsia="Calibri"/>
                          <w:color w:val="000000"/>
                          <w:szCs w:val="24"/>
                        </w:rPr>
                        <w:t xml:space="preserve"> skaičiaus optimizavimu</w:t>
                      </w:r>
                      <w:r>
                        <w:rPr>
                          <w:rFonts w:eastAsia="Calibri"/>
                          <w:szCs w:val="24"/>
                        </w:rPr>
                        <w:t>, apmokėti.</w:t>
                      </w:r>
                    </w:p>
                  </w:sdtContent>
                </w:sdt>
              </w:sdtContent>
            </w:sdt>
            <w:sdt>
              <w:sdtPr>
                <w:alias w:val="12 str. 6 d."/>
                <w:tag w:val="part_006427a5074b44ebaffd83336181d510"/>
                <w:lock w:val="sdtLocked"/>
                <w:richText/>
              </w:sdtPr>
              <w:sdtContent>
                <w:p>
                  <w:pPr>
                    <w:tabs>
                      <w:tab w:val="left" w:pos="1077"/>
                    </w:tabs>
                    <w:spacing w:line="360" w:lineRule="auto"/>
                    <w:ind w:firstLine="720"/>
                    <w:jc w:val="both"/>
                    <w:rPr>
                      <w:rFonts w:eastAsia="Calibri"/>
                      <w:szCs w:val="24"/>
                    </w:rPr>
                  </w:pPr>
                  <w:sdt>
                    <w:sdtPr>
                      <w:alias w:val="Numeris"/>
                      <w:tag w:val="nr_006427a5074b44ebaffd83336181d510"/>
                      <w:lock w:val="sdtLocked"/>
                      <w:richText/>
                    </w:sdtPr>
                    <w:sdtContent>
                      <w:r>
                        <w:rPr>
                          <w:rFonts w:eastAsia="Calibri"/>
                          <w:szCs w:val="24"/>
                          <w14:scene3d>
                            <w14:camera w14:prst="orthographicFront"/>
                            <w14:lightRig w14:rig="threePt" w14:dir="t">
                              <w14:rot w14:lat="0" w14:lon="0" w14:rev="0"/>
                            </w14:lightRig>
                          </w14:scene3d>
                        </w:rPr>
                        <w:t>6</w:t>
                      </w:r>
                    </w:sdtContent>
                  </w:sdt>
                  <w:r>
                    <w:rPr>
                      <w:rFonts w:eastAsia="Calibri"/>
                      <w:szCs w:val="24"/>
                      <w14:scene3d>
                        <w14:camera w14:prst="orthographicFront"/>
                        <w14:lightRig w14:rig="threePt" w14:dir="t">
                          <w14:rot w14:lat="0" w14:lon="0" w14:rev="0"/>
                        </w14:lightRig>
                      </w14:scene3d>
                    </w:rPr>
                    <w:t xml:space="preserve">. </w:t>
                  </w:r>
                  <w:r>
                    <w:rPr>
                      <w:rFonts w:eastAsia="Calibri"/>
                      <w:szCs w:val="24"/>
                    </w:rPr>
                    <w:t>Krašto apsaugos ministerijai, suderinus su Finansų ministerija, suteikiama teisė:</w:t>
                  </w:r>
                </w:p>
                <w:sdt>
                  <w:sdtPr>
                    <w:alias w:val="12 str. 6 d. 1 p."/>
                    <w:tag w:val="part_25f78c408b894675a394cb4843cff02e"/>
                    <w:lock w:val="sdtLocked"/>
                    <w:richText/>
                  </w:sdtPr>
                  <w:sdtContent>
                    <w:p>
                      <w:pPr>
                        <w:tabs>
                          <w:tab w:val="left" w:pos="1077"/>
                        </w:tabs>
                        <w:spacing w:line="360" w:lineRule="auto"/>
                        <w:ind w:firstLine="720"/>
                        <w:jc w:val="both"/>
                        <w:rPr>
                          <w:rFonts w:eastAsia="Calibri"/>
                          <w:szCs w:val="24"/>
                        </w:rPr>
                      </w:pPr>
                      <w:sdt>
                        <w:sdtPr>
                          <w:alias w:val="Numeris"/>
                          <w:tag w:val="nr_25f78c408b894675a394cb4843cff02e"/>
                          <w:lock w:val="sdtLocked"/>
                          <w:richText/>
                        </w:sdtPr>
                        <w:sdtContent>
                          <w:r>
                            <w:rPr>
                              <w:rFonts w:eastAsia="Calibri"/>
                              <w:szCs w:val="24"/>
                            </w:rPr>
                            <w:t>1</w:t>
                          </w:r>
                        </w:sdtContent>
                      </w:sdt>
                      <w:r>
                        <w:rPr>
                          <w:rFonts w:eastAsia="Calibri"/>
                          <w:szCs w:val="24"/>
                        </w:rPr>
                        <w:t>) perskirstyti asignavimus išlaidoms ir juos naudoti turtui, įskaitant ginklus, karinę įrangą ir karines atsargas, įsigyti ir investicijų projektams, jeigu tai būtina nacionaliniam saugumui užtikrinti ar tarptautiniams įsipareigojimams vykdyti teikiant priimančiosios šalies paramą;</w:t>
                      </w:r>
                    </w:p>
                  </w:sdtContent>
                </w:sdt>
                <w:sdt>
                  <w:sdtPr>
                    <w:alias w:val="12 str. 6 d. 2 p."/>
                    <w:tag w:val="part_264e0ac25261453986a3ef0765bd36cc"/>
                    <w:lock w:val="sdtLocked"/>
                    <w:richText/>
                  </w:sdtPr>
                  <w:sdtContent>
                    <w:p>
                      <w:pPr>
                        <w:tabs>
                          <w:tab w:val="left" w:pos="1077"/>
                        </w:tabs>
                        <w:spacing w:line="360" w:lineRule="auto"/>
                        <w:ind w:firstLine="720"/>
                        <w:jc w:val="both"/>
                        <w:rPr>
                          <w:rFonts w:eastAsia="Calibri"/>
                          <w:szCs w:val="24"/>
                        </w:rPr>
                      </w:pPr>
                      <w:sdt>
                        <w:sdtPr>
                          <w:alias w:val="Numeris"/>
                          <w:tag w:val="nr_264e0ac25261453986a3ef0765bd36cc"/>
                          <w:lock w:val="sdtLocked"/>
                          <w:richText/>
                        </w:sdtPr>
                        <w:sdtContent>
                          <w:r>
                            <w:rPr>
                              <w:rFonts w:eastAsia="Calibri"/>
                              <w:szCs w:val="24"/>
                            </w:rPr>
                            <w:t>2</w:t>
                          </w:r>
                        </w:sdtContent>
                      </w:sdt>
                      <w:r>
                        <w:rPr>
                          <w:rFonts w:eastAsia="Calibri"/>
                          <w:szCs w:val="24"/>
                        </w:rPr>
                        <w:t>) perskirstyti asignavimus turtui įsigyti ir juos naudoti investicijų projektams, jeigu tai būtina nacionaliniam saugumui užtikrinti ar tarptautiniams įsipareigojimams vykdyti teikiant priimančiosios šalies paramą;</w:t>
                      </w:r>
                    </w:p>
                  </w:sdtContent>
                </w:sdt>
                <w:sdt>
                  <w:sdtPr>
                    <w:alias w:val="12 str. 6 d. 3 p."/>
                    <w:tag w:val="part_6293c11b286b4f8cabbcc8db396382c6"/>
                    <w:lock w:val="sdtLocked"/>
                    <w:richText/>
                  </w:sdtPr>
                  <w:sdtContent>
                    <w:p>
                      <w:pPr>
                        <w:tabs>
                          <w:tab w:val="left" w:pos="1077"/>
                        </w:tabs>
                        <w:spacing w:line="360" w:lineRule="auto"/>
                        <w:ind w:firstLine="720"/>
                        <w:jc w:val="both"/>
                        <w:rPr>
                          <w:rFonts w:eastAsia="Calibri"/>
                          <w:szCs w:val="24"/>
                        </w:rPr>
                      </w:pPr>
                      <w:sdt>
                        <w:sdtPr>
                          <w:alias w:val="Numeris"/>
                          <w:tag w:val="nr_6293c11b286b4f8cabbcc8db396382c6"/>
                          <w:lock w:val="sdtLocked"/>
                          <w:richText/>
                        </w:sdtPr>
                        <w:sdtContent>
                          <w:r>
                            <w:rPr>
                              <w:rFonts w:eastAsia="Calibri"/>
                              <w:szCs w:val="24"/>
                            </w:rPr>
                            <w:t>3</w:t>
                          </w:r>
                        </w:sdtContent>
                      </w:sdt>
                      <w:r>
                        <w:rPr>
                          <w:rFonts w:eastAsia="Calibri"/>
                          <w:szCs w:val="24"/>
                        </w:rPr>
                        <w:t>) naudoti paliekamus 3 mėnesių išlaidų dydžio pereinamuosius 2015 metų lėšų likučius, esančius tarptautinių operacijų karinio vieneto, dislokuoto užsienio valstybėje, sąskaitose užsienio kredito įstaigose ar pas atskaitingus asmenis, viršijant Seimo patvirtintas bendras asignavimų sumas;</w:t>
                      </w:r>
                    </w:p>
                  </w:sdtContent>
                </w:sdt>
                <w:sdt>
                  <w:sdtPr>
                    <w:alias w:val="12 str. 6 d. 4 p."/>
                    <w:tag w:val="part_6f50e7544dc74096b45c0b715240d23d"/>
                    <w:lock w:val="sdtLocked"/>
                    <w:richText/>
                  </w:sdtPr>
                  <w:sdtContent>
                    <w:p>
                      <w:pPr>
                        <w:tabs>
                          <w:tab w:val="left" w:pos="1077"/>
                        </w:tabs>
                        <w:spacing w:line="360" w:lineRule="auto"/>
                        <w:ind w:firstLine="720"/>
                        <w:jc w:val="both"/>
                        <w:rPr>
                          <w:rFonts w:eastAsia="Calibri"/>
                          <w:szCs w:val="24"/>
                        </w:rPr>
                      </w:pPr>
                      <w:sdt>
                        <w:sdtPr>
                          <w:alias w:val="Numeris"/>
                          <w:tag w:val="nr_6f50e7544dc74096b45c0b715240d23d"/>
                          <w:lock w:val="sdtLocked"/>
                          <w:richText/>
                        </w:sdtPr>
                        <w:sdtContent>
                          <w:r>
                            <w:rPr>
                              <w:rFonts w:eastAsia="Calibri"/>
                              <w:szCs w:val="24"/>
                            </w:rPr>
                            <w:t>4</w:t>
                          </w:r>
                        </w:sdtContent>
                      </w:sdt>
                      <w:r>
                        <w:rPr>
                          <w:rFonts w:eastAsia="Calibri"/>
                          <w:szCs w:val="24"/>
                        </w:rPr>
                        <w:t>) naudoti 2015 metais planuotas, bet nepanaudotas valstybės biudžeto asignavimų sumas pagal su užsienio tiekėjais sudarytas sutartis dėl investicijų projektų, ginklų ir karinės įrangos ir karinių atsargų įsigijimo, viršijant Seimo patvirtintas bendras asignavimų sumas toms sutartims vykdyti.</w:t>
                      </w:r>
                    </w:p>
                  </w:sdtContent>
                </w:sdt>
              </w:sdtContent>
            </w:sdt>
            <w:sdt>
              <w:sdtPr>
                <w:alias w:val="12 str. 7 d."/>
                <w:tag w:val="part_11666ba9854844b68cd4037b8bba0071"/>
                <w:lock w:val="sdtLocked"/>
                <w:richText/>
              </w:sdtPr>
              <w:sdtContent>
                <w:p>
                  <w:pPr>
                    <w:tabs>
                      <w:tab w:val="left" w:pos="1077"/>
                    </w:tabs>
                    <w:spacing w:line="360" w:lineRule="auto"/>
                    <w:ind w:firstLine="720"/>
                    <w:jc w:val="both"/>
                    <w:rPr>
                      <w:rFonts w:eastAsia="Calibri"/>
                      <w:szCs w:val="24"/>
                    </w:rPr>
                  </w:pPr>
                  <w:sdt>
                    <w:sdtPr>
                      <w:alias w:val="Numeris"/>
                      <w:tag w:val="nr_11666ba9854844b68cd4037b8bba0071"/>
                      <w:lock w:val="sdtLocked"/>
                      <w:richText/>
                    </w:sdtPr>
                    <w:sdtContent>
                      <w:r>
                        <w:rPr>
                          <w:rFonts w:eastAsia="Calibri"/>
                          <w:szCs w:val="24"/>
                          <w14:scene3d>
                            <w14:camera w14:prst="orthographicFront"/>
                            <w14:lightRig w14:rig="threePt" w14:dir="t">
                              <w14:rot w14:lat="0" w14:lon="0" w14:rev="0"/>
                            </w14:lightRig>
                          </w14:scene3d>
                        </w:rPr>
                        <w:t>7</w:t>
                      </w:r>
                    </w:sdtContent>
                  </w:sdt>
                  <w:r>
                    <w:rPr>
                      <w:rFonts w:eastAsia="Calibri"/>
                      <w:szCs w:val="24"/>
                      <w14:scene3d>
                        <w14:camera w14:prst="orthographicFront"/>
                        <w14:lightRig w14:rig="threePt" w14:dir="t">
                          <w14:rot w14:lat="0" w14:lon="0" w14:rev="0"/>
                        </w14:lightRig>
                      </w14:scene3d>
                    </w:rPr>
                    <w:t xml:space="preserve">. </w:t>
                  </w:r>
                  <w:r>
                    <w:rPr>
                      <w:rFonts w:eastAsia="Calibri"/>
                      <w:szCs w:val="24"/>
                    </w:rPr>
                    <w:t>Lietuvos Respublikos aplinkos ministerijai (toliau – Aplinkos ministerija) suteikiama teisė įgalioti Lietuvos Respublikos aplinkos ministerijos Aplinkos projektų valdymo agentūrą vykdyti lėšų susigrąžinimą pagal įgyvendintas asignavimų valdytojo programas, kuriose buvo numatytos lėšos 2000–2006 metų Sanglaudos fondo projektams.</w:t>
                  </w:r>
                </w:p>
              </w:sdtContent>
            </w:sdt>
            <w:sdt>
              <w:sdtPr>
                <w:alias w:val="12 str. 8 d."/>
                <w:tag w:val="part_9823a4d3b7564665a80b3f6ca66ada85"/>
                <w:lock w:val="sdtLocked"/>
                <w:richText/>
              </w:sdtPr>
              <w:sdtContent>
                <w:p>
                  <w:pPr>
                    <w:tabs>
                      <w:tab w:val="left" w:pos="1077"/>
                    </w:tabs>
                    <w:spacing w:line="360" w:lineRule="auto"/>
                    <w:ind w:firstLine="720"/>
                    <w:jc w:val="both"/>
                    <w:rPr>
                      <w:rFonts w:eastAsia="Calibri"/>
                      <w:szCs w:val="24"/>
                    </w:rPr>
                  </w:pPr>
                  <w:sdt>
                    <w:sdtPr>
                      <w:alias w:val="Numeris"/>
                      <w:tag w:val="nr_9823a4d3b7564665a80b3f6ca66ada85"/>
                      <w:lock w:val="sdtLocked"/>
                      <w:richText/>
                    </w:sdtPr>
                    <w:sdtContent>
                      <w:r>
                        <w:rPr>
                          <w:rFonts w:eastAsia="Calibri"/>
                          <w:szCs w:val="24"/>
                          <w14:scene3d>
                            <w14:camera w14:prst="orthographicFront"/>
                            <w14:lightRig w14:rig="threePt" w14:dir="t">
                              <w14:rot w14:lat="0" w14:lon="0" w14:rev="0"/>
                            </w14:lightRig>
                          </w14:scene3d>
                        </w:rPr>
                        <w:t>8</w:t>
                      </w:r>
                    </w:sdtContent>
                  </w:sdt>
                  <w:r>
                    <w:rPr>
                      <w:rFonts w:eastAsia="Calibri"/>
                      <w:szCs w:val="24"/>
                      <w14:scene3d>
                        <w14:camera w14:prst="orthographicFront"/>
                        <w14:lightRig w14:rig="threePt" w14:dir="t">
                          <w14:rot w14:lat="0" w14:lon="0" w14:rev="0"/>
                        </w14:lightRig>
                      </w14:scene3d>
                    </w:rPr>
                    <w:t xml:space="preserve">. </w:t>
                  </w:r>
                  <w:r>
                    <w:rPr>
                      <w:rFonts w:eastAsia="Calibri"/>
                      <w:szCs w:val="24"/>
                    </w:rPr>
                    <w:t>Lietuvos Respublikos susisiekimo ministerijai (toliau – Susisiekimo ministerija) suteikiama teisė:</w:t>
                  </w:r>
                </w:p>
                <w:sdt>
                  <w:sdtPr>
                    <w:alias w:val="12 str. 8 d. 1 p."/>
                    <w:tag w:val="part_e822e3f9197240ab9b7020a43672ee00"/>
                    <w:lock w:val="sdtLocked"/>
                    <w:richText/>
                  </w:sdtPr>
                  <w:sdtContent>
                    <w:p>
                      <w:pPr>
                        <w:tabs>
                          <w:tab w:val="left" w:pos="1077"/>
                        </w:tabs>
                        <w:spacing w:line="360" w:lineRule="auto"/>
                        <w:ind w:firstLine="720"/>
                        <w:jc w:val="both"/>
                        <w:rPr>
                          <w:rFonts w:eastAsia="Calibri"/>
                          <w:szCs w:val="24"/>
                        </w:rPr>
                      </w:pPr>
                      <w:sdt>
                        <w:sdtPr>
                          <w:alias w:val="Numeris"/>
                          <w:tag w:val="nr_e822e3f9197240ab9b7020a43672ee00"/>
                          <w:lock w:val="sdtLocked"/>
                          <w:richText/>
                        </w:sdtPr>
                        <w:sdtContent>
                          <w:r>
                            <w:rPr>
                              <w:rFonts w:eastAsia="Calibri"/>
                              <w:szCs w:val="24"/>
                            </w:rPr>
                            <w:t>1</w:t>
                          </w:r>
                        </w:sdtContent>
                      </w:sdt>
                      <w:r>
                        <w:rPr>
                          <w:rFonts w:eastAsia="Calibri"/>
                          <w:szCs w:val="24"/>
                        </w:rPr>
                        <w:t>) įgalioti Transporto investicijų direkciją vykdyti lėšų susigrąžinimą pagal įgyvendintas asignavimų valdytojo programas, kuriose buvo numatytos lėšos 2000–2006 metų Sanglaudos fondo projektams;</w:t>
                      </w:r>
                    </w:p>
                  </w:sdtContent>
                </w:sdt>
                <w:sdt>
                  <w:sdtPr>
                    <w:alias w:val="12 str. 8 d. 2 p."/>
                    <w:tag w:val="part_cf3d8375071b4dfe8b4e2b6e2b38c5b2"/>
                    <w:lock w:val="sdtLocked"/>
                    <w:richText/>
                  </w:sdtPr>
                  <w:sdtContent>
                    <w:p>
                      <w:pPr>
                        <w:tabs>
                          <w:tab w:val="left" w:pos="1077"/>
                        </w:tabs>
                        <w:spacing w:line="360" w:lineRule="auto"/>
                        <w:ind w:firstLine="720"/>
                        <w:jc w:val="both"/>
                        <w:rPr>
                          <w:rFonts w:eastAsia="Calibri"/>
                          <w:szCs w:val="24"/>
                        </w:rPr>
                      </w:pPr>
                      <w:sdt>
                        <w:sdtPr>
                          <w:alias w:val="Numeris"/>
                          <w:tag w:val="nr_cf3d8375071b4dfe8b4e2b6e2b38c5b2"/>
                          <w:lock w:val="sdtLocked"/>
                          <w:richText/>
                        </w:sdtPr>
                        <w:sdtContent>
                          <w:r>
                            <w:rPr>
                              <w:rFonts w:eastAsia="Calibri"/>
                              <w:szCs w:val="24"/>
                            </w:rPr>
                            <w:t>2</w:t>
                          </w:r>
                        </w:sdtContent>
                      </w:sdt>
                      <w:r>
                        <w:rPr>
                          <w:rFonts w:eastAsia="Calibri"/>
                          <w:szCs w:val="24"/>
                        </w:rPr>
                        <w:t>) įgalioti Informacinės visuomenės plėtros komitetą prie Susisiekimo ministerijos priimti sprendimus dėl projektų finansavimo, vykdyti lėšų mokėjimą ir susigrąžinimą įgyvendinant Susisiekimo ministerijos programas, kuriose numatytos lėšos iš Europos Sąjungos fondų lėšų bendrai finansuojamiems</w:t>
                      </w:r>
                      <w:r>
                        <w:rPr>
                          <w:rFonts w:eastAsia="Calibri"/>
                          <w:b/>
                          <w:szCs w:val="24"/>
                        </w:rPr>
                        <w:t xml:space="preserve"> </w:t>
                      </w:r>
                      <w:r>
                        <w:rPr>
                          <w:rFonts w:eastAsia="Calibri"/>
                          <w:szCs w:val="24"/>
                        </w:rPr>
                        <w:t>projektams, įgyvendinamiems pagal Ekonomikos augimo veiksmų programos 3 prioritetą „Informacinė visuomenė visiems“, ir vykdyti pagal Lietuvos 2004–2006 metų bendrojo programavimo dokumento 3.3 priemonę „Informacinių technologijų paslaugų ir infrastruktūros plėtra“ įgyvendintų projektų lėšų susigrąžinimą;</w:t>
                      </w:r>
                    </w:p>
                  </w:sdtContent>
                </w:sdt>
                <w:sdt>
                  <w:sdtPr>
                    <w:alias w:val="12 str. 8 d. 3 p."/>
                    <w:tag w:val="part_09edc9150dcd4921935a6457aad33d26"/>
                    <w:lock w:val="sdtLocked"/>
                    <w:richText/>
                  </w:sdtPr>
                  <w:sdtContent>
                    <w:p>
                      <w:pPr>
                        <w:tabs>
                          <w:tab w:val="left" w:pos="1077"/>
                        </w:tabs>
                        <w:spacing w:line="360" w:lineRule="auto"/>
                        <w:ind w:firstLine="720"/>
                        <w:jc w:val="both"/>
                        <w:rPr>
                          <w:rFonts w:eastAsia="Calibri"/>
                          <w:szCs w:val="24"/>
                        </w:rPr>
                      </w:pPr>
                      <w:sdt>
                        <w:sdtPr>
                          <w:alias w:val="Numeris"/>
                          <w:tag w:val="nr_09edc9150dcd4921935a6457aad33d26"/>
                          <w:lock w:val="sdtLocked"/>
                          <w:richText/>
                        </w:sdtPr>
                        <w:sdtContent>
                          <w:r>
                            <w:rPr>
                              <w:rFonts w:eastAsia="Calibri"/>
                              <w:szCs w:val="24"/>
                            </w:rPr>
                            <w:t>3</w:t>
                          </w:r>
                        </w:sdtContent>
                      </w:sdt>
                      <w:r>
                        <w:rPr>
                          <w:rFonts w:eastAsia="Calibri"/>
                          <w:szCs w:val="24"/>
                        </w:rPr>
                        <w:t xml:space="preserve">) </w:t>
                      </w:r>
                      <w:r>
                        <w:rPr>
                          <w:rFonts w:eastAsia="Calibri"/>
                          <w:szCs w:val="24"/>
                          <w:lang w:eastAsia="lt-LT"/>
                        </w:rPr>
                        <w:t>skirti iš Kelių priežiūros ir plėtros programos lėšų 70 000 tūkst. eurų „Valstybinės reikšmės žvyrkelių asfaltavimo kelių atkarpoms, jungiančioms asfaltuotus kelių ruožus“ programai ir 6 955 tūkst. eurų su projekto „Rail Baltica“ įgyvendinimu susijusiems vietinės reikšmės susisiekimo infrastruktūros objektams finansuoti, netaikant Lietuvos Respublikos kelių priežiūros ir plėtros programos finansavimo įstatymo 9 straipsnio 3 ir 4 dalyse nustatytų procentinių dydžių</w:t>
                      </w:r>
                      <w:r>
                        <w:rPr>
                          <w:rFonts w:eastAsia="Calibri"/>
                          <w:szCs w:val="24"/>
                        </w:rPr>
                        <w:t>.</w:t>
                      </w:r>
                    </w:p>
                  </w:sdtContent>
                </w:sdt>
              </w:sdtContent>
            </w:sdt>
            <w:sdt>
              <w:sdtPr>
                <w:alias w:val="12 str. 9 d."/>
                <w:tag w:val="part_0b66e9d2f4fe4844bf1633bb4185dace"/>
                <w:lock w:val="sdtLocked"/>
                <w:richText/>
              </w:sdtPr>
              <w:sdtContent>
                <w:p>
                  <w:pPr>
                    <w:tabs>
                      <w:tab w:val="left" w:pos="1077"/>
                    </w:tabs>
                    <w:spacing w:line="360" w:lineRule="auto"/>
                    <w:ind w:firstLine="720"/>
                    <w:jc w:val="both"/>
                    <w:rPr>
                      <w:rFonts w:eastAsia="Calibri"/>
                      <w:szCs w:val="24"/>
                    </w:rPr>
                  </w:pPr>
                  <w:sdt>
                    <w:sdtPr>
                      <w:alias w:val="Numeris"/>
                      <w:tag w:val="nr_0b66e9d2f4fe4844bf1633bb4185dace"/>
                      <w:lock w:val="sdtLocked"/>
                      <w:richText/>
                    </w:sdtPr>
                    <w:sdtContent>
                      <w:r>
                        <w:rPr>
                          <w:rFonts w:eastAsia="Calibri"/>
                          <w:szCs w:val="24"/>
                          <w14:scene3d>
                            <w14:camera w14:prst="orthographicFront"/>
                            <w14:lightRig w14:rig="threePt" w14:dir="t">
                              <w14:rot w14:lat="0" w14:lon="0" w14:rev="0"/>
                            </w14:lightRig>
                          </w14:scene3d>
                        </w:rPr>
                        <w:t>9</w:t>
                      </w:r>
                    </w:sdtContent>
                  </w:sdt>
                  <w:r>
                    <w:rPr>
                      <w:rFonts w:eastAsia="Calibri"/>
                      <w:szCs w:val="24"/>
                      <w14:scene3d>
                        <w14:camera w14:prst="orthographicFront"/>
                        <w14:lightRig w14:rig="threePt" w14:dir="t">
                          <w14:rot w14:lat="0" w14:lon="0" w14:rev="0"/>
                        </w14:lightRig>
                      </w14:scene3d>
                    </w:rPr>
                    <w:t xml:space="preserve">. </w:t>
                  </w:r>
                  <w:r>
                    <w:rPr>
                      <w:rFonts w:eastAsia="Calibri"/>
                      <w:szCs w:val="24"/>
                    </w:rPr>
                    <w:t>Lietuvos Respublikos kultūros ministerijai (toliau – Kultūros ministerija), Švietimo ir mokslo ministerijai ir Lietuvos Respublikos užsienio reikalų ministerijai (toliau – Užsienio reikalų ministerija) suteikiama teisė teikti dotacijas užsienio subjektams užsienio lietuvių, jų bendruomenių, organizacijų ir įstaigų kultūros, švietimo veiklai finansuoti, tautiniam tapatumui išsaugoti, lietuvių kultūrai puoselėti ir pristatyti pasauliui, bendruomeniškumui stiprinti, prisidėti užtikrinant lietuvių kultūrai reikšmingo paveldo užsienyje priežiūrą, įsitraukimo į Lietuvos politinį, visuomeninį, ekonominį, kultūrinį gyvenimą ir kitai veiklai finansuoti iš Kultūros ministerijos, Švietimo ir mokslo ministerijos ir Užsienio reikalų ministerijos asignavimuose numatytų lėšų.</w:t>
                  </w:r>
                </w:p>
              </w:sdtContent>
            </w:sdt>
            <w:sdt>
              <w:sdtPr>
                <w:alias w:val="12 str. 10 d."/>
                <w:tag w:val="part_43d5e827341a4efab0fb6b3e9612aba9"/>
                <w:lock w:val="sdtLocked"/>
                <w:richText/>
              </w:sdtPr>
              <w:sdtContent>
                <w:p>
                  <w:pPr>
                    <w:tabs>
                      <w:tab w:val="left" w:pos="1077"/>
                    </w:tabs>
                    <w:spacing w:line="360" w:lineRule="auto"/>
                    <w:ind w:firstLine="720"/>
                    <w:jc w:val="both"/>
                    <w:rPr>
                      <w:rFonts w:eastAsia="Calibri"/>
                      <w:szCs w:val="24"/>
                    </w:rPr>
                  </w:pPr>
                  <w:sdt>
                    <w:sdtPr>
                      <w:alias w:val="Numeris"/>
                      <w:tag w:val="nr_43d5e827341a4efab0fb6b3e9612aba9"/>
                      <w:lock w:val="sdtLocked"/>
                      <w:richText/>
                    </w:sdtPr>
                    <w:sdtContent>
                      <w:r>
                        <w:rPr>
                          <w:rFonts w:eastAsia="Calibri"/>
                          <w:szCs w:val="24"/>
                          <w14:scene3d>
                            <w14:camera w14:prst="orthographicFront"/>
                            <w14:lightRig w14:rig="threePt" w14:dir="t">
                              <w14:rot w14:lat="0" w14:lon="0" w14:rev="0"/>
                            </w14:lightRig>
                          </w14:scene3d>
                        </w:rPr>
                        <w:t>10</w:t>
                      </w:r>
                    </w:sdtContent>
                  </w:sdt>
                  <w:r>
                    <w:rPr>
                      <w:rFonts w:eastAsia="Calibri"/>
                      <w:szCs w:val="24"/>
                      <w14:scene3d>
                        <w14:camera w14:prst="orthographicFront"/>
                        <w14:lightRig w14:rig="threePt" w14:dir="t">
                          <w14:rot w14:lat="0" w14:lon="0" w14:rev="0"/>
                        </w14:lightRig>
                      </w14:scene3d>
                    </w:rPr>
                    <w:t xml:space="preserve">. </w:t>
                  </w:r>
                  <w:r>
                    <w:rPr>
                      <w:rFonts w:eastAsia="Calibri"/>
                      <w:szCs w:val="24"/>
                    </w:rPr>
                    <w:t>Lietuvos Respublikos ūkio ministerijai (toliau – Ūkio ministerija) suteikiama teisė skirti lėšas investuotojams, vykdant įsipareigojimus, nustatytus investicijų sutartyse, sudarytose vadovaujantis Lietuvos Respublikos investicijų įstatymo 13 straipsnio 1 dalies 6 punktu, iš Ūkio ministerijos asignavimuose tam tikslui numatytų lėšų.</w:t>
                  </w:r>
                </w:p>
              </w:sdtContent>
            </w:sdt>
            <w:sdt>
              <w:sdtPr>
                <w:alias w:val="12 str. 11 d."/>
                <w:tag w:val="part_492cd24b6f714e11ade416517d78f70d"/>
                <w:lock w:val="sdtLocked"/>
                <w:richText/>
              </w:sdtPr>
              <w:sdtContent>
                <w:p>
                  <w:pPr>
                    <w:tabs>
                      <w:tab w:val="left" w:pos="1077"/>
                    </w:tabs>
                    <w:spacing w:line="360" w:lineRule="auto"/>
                    <w:ind w:firstLine="720"/>
                    <w:jc w:val="both"/>
                    <w:rPr>
                      <w:rFonts w:eastAsia="Calibri"/>
                      <w:szCs w:val="24"/>
                    </w:rPr>
                  </w:pPr>
                  <w:sdt>
                    <w:sdtPr>
                      <w:alias w:val="Numeris"/>
                      <w:tag w:val="nr_492cd24b6f714e11ade416517d78f70d"/>
                      <w:lock w:val="sdtLocked"/>
                      <w:richText/>
                    </w:sdtPr>
                    <w:sdtContent>
                      <w:r>
                        <w:rPr>
                          <w:rFonts w:eastAsia="Calibri"/>
                          <w:szCs w:val="24"/>
                          <w14:scene3d>
                            <w14:camera w14:prst="orthographicFront"/>
                            <w14:lightRig w14:rig="threePt" w14:dir="t">
                              <w14:rot w14:lat="0" w14:lon="0" w14:rev="0"/>
                            </w14:lightRig>
                          </w14:scene3d>
                        </w:rPr>
                        <w:t>11</w:t>
                      </w:r>
                    </w:sdtContent>
                  </w:sdt>
                  <w:r>
                    <w:rPr>
                      <w:rFonts w:eastAsia="Calibri"/>
                      <w:szCs w:val="24"/>
                      <w14:scene3d>
                        <w14:camera w14:prst="orthographicFront"/>
                        <w14:lightRig w14:rig="threePt" w14:dir="t">
                          <w14:rot w14:lat="0" w14:lon="0" w14:rev="0"/>
                        </w14:lightRig>
                      </w14:scene3d>
                    </w:rPr>
                    <w:t xml:space="preserve">. </w:t>
                  </w:r>
                  <w:r>
                    <w:rPr>
                      <w:rFonts w:eastAsia="Calibri"/>
                      <w:bCs/>
                      <w:color w:val="000000"/>
                      <w:szCs w:val="24"/>
                    </w:rPr>
                    <w:t xml:space="preserve">Užsienio reikalų ministerijai, suderinus su Finansų ministerija </w:t>
                  </w:r>
                  <w:r>
                    <w:rPr>
                      <w:rFonts w:eastAsia="Calibri"/>
                      <w:szCs w:val="24"/>
                    </w:rPr>
                    <w:t>ir kai dėl to nėra pažeidžiamos šio įstatymo 19 straipsnio nuostatos</w:t>
                  </w:r>
                  <w:r>
                    <w:rPr>
                      <w:rFonts w:eastAsia="Calibri"/>
                      <w:bCs/>
                      <w:color w:val="000000"/>
                      <w:szCs w:val="24"/>
                    </w:rPr>
                    <w:t>, suteikiama teisė naudoti paliekamus vieno mėnesio išlaidų dydžio pereinamuosius 2015 metų lėšų likučius, esančius Lietuvos Respublikos diplomatinių atstovybių, konsulinių įstaigų, atstovybių prie tarptautinių organizacijų, specialiųjų misijų sąskaitose užsienio kredito įstaigose ar pas atskaitingus asmenis, viršijant Seimo patvirtintas bendras asignavimų sumas.</w:t>
                  </w:r>
                </w:p>
              </w:sdtContent>
            </w:sdt>
            <w:sdt>
              <w:sdtPr>
                <w:alias w:val="12 str. 12 d."/>
                <w:tag w:val="part_0061260ac3094f0e9d021f023e96c203"/>
                <w:lock w:val="sdtLocked"/>
                <w:richText/>
              </w:sdtPr>
              <w:sdtContent>
                <w:p>
                  <w:pPr>
                    <w:tabs>
                      <w:tab w:val="left" w:pos="1077"/>
                    </w:tabs>
                    <w:spacing w:line="360" w:lineRule="auto"/>
                    <w:ind w:firstLine="720"/>
                    <w:jc w:val="both"/>
                    <w:rPr>
                      <w:rFonts w:eastAsia="Calibri"/>
                      <w:szCs w:val="24"/>
                    </w:rPr>
                  </w:pPr>
                  <w:sdt>
                    <w:sdtPr>
                      <w:alias w:val="Numeris"/>
                      <w:tag w:val="nr_0061260ac3094f0e9d021f023e96c203"/>
                      <w:lock w:val="sdtLocked"/>
                      <w:richText/>
                    </w:sdtPr>
                    <w:sdtContent>
                      <w:r>
                        <w:rPr>
                          <w:rFonts w:eastAsia="Calibri"/>
                          <w:szCs w:val="24"/>
                          <w14:scene3d>
                            <w14:camera w14:prst="orthographicFront"/>
                            <w14:lightRig w14:rig="threePt" w14:dir="t">
                              <w14:rot w14:lat="0" w14:lon="0" w14:rev="0"/>
                            </w14:lightRig>
                          </w14:scene3d>
                        </w:rPr>
                        <w:t>12</w:t>
                      </w:r>
                    </w:sdtContent>
                  </w:sdt>
                  <w:r>
                    <w:rPr>
                      <w:rFonts w:eastAsia="Calibri"/>
                      <w:szCs w:val="24"/>
                      <w14:scene3d>
                        <w14:camera w14:prst="orthographicFront"/>
                        <w14:lightRig w14:rig="threePt" w14:dir="t">
                          <w14:rot w14:lat="0" w14:lon="0" w14:rev="0"/>
                        </w14:lightRig>
                      </w14:scene3d>
                    </w:rPr>
                    <w:t xml:space="preserve">. </w:t>
                  </w:r>
                  <w:r>
                    <w:rPr>
                      <w:rFonts w:eastAsia="Calibri"/>
                      <w:szCs w:val="24"/>
                    </w:rPr>
                    <w:t xml:space="preserve">Asignavimų valdytojams, suderinus su Finansų ministerija, suteikiama teisė </w:t>
                  </w:r>
                  <w:r>
                    <w:rPr>
                      <w:rFonts w:eastAsia="Calibri"/>
                      <w:szCs w:val="24"/>
                      <w:lang w:eastAsia="lt-LT"/>
                    </w:rPr>
                    <w:t>Europos Sąjungos ir kitos tarptautinės finansinės paramos lėšų viršplanines įmokas į biudžetą</w:t>
                  </w:r>
                  <w:r>
                    <w:rPr>
                      <w:rFonts w:eastAsia="Calibri"/>
                      <w:szCs w:val="24"/>
                    </w:rPr>
                    <w:t xml:space="preserve"> naudoti viršijant Seimo patvirtintas bendras asignavimų sumas.</w:t>
                  </w:r>
                </w:p>
                <w:p>
                  <w:pPr>
                    <w:spacing w:line="360" w:lineRule="auto"/>
                    <w:ind w:firstLine="720"/>
                    <w:jc w:val="both"/>
                  </w:pPr>
                </w:p>
              </w:sdtContent>
            </w:sdt>
          </w:sdtContent>
        </w:sdt>
        <w:sdt>
          <w:sdtPr>
            <w:alias w:val="13 str."/>
            <w:tag w:val="part_65814d6d1a1e49d7b1022ca5940c8dda"/>
            <w:lock w:val="sdtLocked"/>
            <w:richText/>
          </w:sdtPr>
          <w:sdtContent>
            <w:p>
              <w:pPr>
                <w:spacing w:line="360" w:lineRule="auto"/>
                <w:ind w:firstLine="720"/>
                <w:jc w:val="both"/>
                <w:rPr>
                  <w:b/>
                </w:rPr>
              </w:pPr>
              <w:sdt>
                <w:sdtPr>
                  <w:alias w:val="Numeris"/>
                  <w:tag w:val="nr_65814d6d1a1e49d7b1022ca5940c8dda"/>
                  <w:lock w:val="sdtLocked"/>
                  <w:richText/>
                </w:sdtPr>
                <w:sdtContent>
                  <w:r>
                    <w:rPr>
                      <w:b/>
                    </w:rPr>
                    <w:t>13</w:t>
                  </w:r>
                </w:sdtContent>
              </w:sdt>
              <w:r>
                <w:rPr>
                  <w:b/>
                </w:rPr>
                <w:t xml:space="preserve"> straipsnis. </w:t>
              </w:r>
              <w:sdt>
                <w:sdtPr>
                  <w:alias w:val="Pavadinimas"/>
                  <w:tag w:val="title_65814d6d1a1e49d7b1022ca5940c8dda"/>
                  <w:lock w:val="sdtLocked"/>
                  <w:richText/>
                </w:sdtPr>
                <w:sdtContent>
                  <w:r>
                    <w:rPr>
                      <w:b/>
                    </w:rPr>
                    <w:t>Biudžetinių įstaigų skolų padengimas ir skolinimasis</w:t>
                  </w:r>
                </w:sdtContent>
              </w:sdt>
            </w:p>
            <w:sdt>
              <w:sdtPr>
                <w:alias w:val="13 str. 1 d."/>
                <w:tag w:val="part_1b13db827e3c468ebbf02b06406a5c02"/>
                <w:lock w:val="sdtLocked"/>
                <w:richText/>
              </w:sdtPr>
              <w:sdtContent>
                <w:p>
                  <w:pPr>
                    <w:tabs>
                      <w:tab w:val="left" w:pos="1077"/>
                    </w:tabs>
                    <w:spacing w:line="360" w:lineRule="auto"/>
                    <w:ind w:firstLine="720"/>
                    <w:jc w:val="both"/>
                    <w:rPr>
                      <w:rFonts w:eastAsia="Calibri"/>
                      <w:szCs w:val="24"/>
                    </w:rPr>
                  </w:pPr>
                  <w:sdt>
                    <w:sdtPr>
                      <w:alias w:val="Numeris"/>
                      <w:tag w:val="nr_1b13db827e3c468ebbf02b06406a5c02"/>
                      <w:lock w:val="sdtLocked"/>
                      <w:richText/>
                    </w:sdtPr>
                    <w:sdtContent>
                      <w:r>
                        <w:rPr>
                          <w:rFonts w:eastAsia="Calibri"/>
                          <w:szCs w:val="24"/>
                          <w14:scene3d>
                            <w14:camera w14:prst="orthographicFront"/>
                            <w14:lightRig w14:rig="threePt" w14:dir="t">
                              <w14:rot w14:lat="0" w14:lon="0" w14:rev="0"/>
                            </w14:lightRig>
                          </w14:scene3d>
                        </w:rPr>
                        <w:t>1</w:t>
                      </w:r>
                    </w:sdtContent>
                  </w:sdt>
                  <w:r>
                    <w:rPr>
                      <w:rFonts w:eastAsia="Calibri"/>
                      <w:szCs w:val="24"/>
                      <w14:scene3d>
                        <w14:camera w14:prst="orthographicFront"/>
                        <w14:lightRig w14:rig="threePt" w14:dir="t">
                          <w14:rot w14:lat="0" w14:lon="0" w14:rev="0"/>
                        </w14:lightRig>
                      </w14:scene3d>
                    </w:rPr>
                    <w:t xml:space="preserve">. </w:t>
                  </w:r>
                  <w:r>
                    <w:rPr>
                      <w:rFonts w:eastAsia="Calibri"/>
                      <w:szCs w:val="24"/>
                    </w:rPr>
                    <w:t>Valstybės biudžeto asignavimų valdytojai, biudžetinių įstaigų vadovai ir savivaldybių institucijos išanalizuoja įsiskolinimo (mokėtinų sumų) priežastis ir imasi priemonių įsiskolinimui sumažinti bei, sudarydami ir tvirtindami 2016 metų išlaidų sąmatas, numato reikiamų asignavimų dalį 2016 m. sausio 1 d. esančiam įsiskolinimui padengti.</w:t>
                  </w:r>
                </w:p>
              </w:sdtContent>
            </w:sdt>
            <w:sdt>
              <w:sdtPr>
                <w:alias w:val="13 str. 2 d."/>
                <w:tag w:val="part_88e643aa27fc40b8bdb2192a061ecee6"/>
                <w:lock w:val="sdtLocked"/>
                <w:richText/>
              </w:sdtPr>
              <w:sdtContent>
                <w:p>
                  <w:pPr>
                    <w:tabs>
                      <w:tab w:val="left" w:pos="1077"/>
                    </w:tabs>
                    <w:spacing w:line="360" w:lineRule="auto"/>
                    <w:ind w:firstLine="720"/>
                    <w:jc w:val="both"/>
                    <w:rPr>
                      <w:rFonts w:eastAsia="Calibri"/>
                      <w:szCs w:val="24"/>
                    </w:rPr>
                  </w:pPr>
                  <w:sdt>
                    <w:sdtPr>
                      <w:alias w:val="Numeris"/>
                      <w:tag w:val="nr_88e643aa27fc40b8bdb2192a061ecee6"/>
                      <w:lock w:val="sdtLocked"/>
                      <w:richText/>
                    </w:sdtPr>
                    <w:sdtContent>
                      <w:r>
                        <w:rPr>
                          <w:rFonts w:eastAsia="Calibri"/>
                          <w:szCs w:val="24"/>
                          <w14:scene3d>
                            <w14:camera w14:prst="orthographicFront"/>
                            <w14:lightRig w14:rig="threePt" w14:dir="t">
                              <w14:rot w14:lat="0" w14:lon="0" w14:rev="0"/>
                            </w14:lightRig>
                          </w14:scene3d>
                        </w:rPr>
                        <w:t>2</w:t>
                      </w:r>
                    </w:sdtContent>
                  </w:sdt>
                  <w:r>
                    <w:rPr>
                      <w:rFonts w:eastAsia="Calibri"/>
                      <w:szCs w:val="24"/>
                      <w14:scene3d>
                        <w14:camera w14:prst="orthographicFront"/>
                        <w14:lightRig w14:rig="threePt" w14:dir="t">
                          <w14:rot w14:lat="0" w14:lon="0" w14:rev="0"/>
                        </w14:lightRig>
                      </w14:scene3d>
                    </w:rPr>
                    <w:t xml:space="preserve">. </w:t>
                  </w:r>
                  <w:r>
                    <w:rPr>
                      <w:rFonts w:eastAsia="Calibri"/>
                      <w:szCs w:val="24"/>
                    </w:rPr>
                    <w:t>Iš sutaupytų asignavimų išlaidoms pirmiausia turi būti dengiamas įsiskolinimas (mokėtinos sumos).</w:t>
                  </w:r>
                </w:p>
              </w:sdtContent>
            </w:sdt>
            <w:sdt>
              <w:sdtPr>
                <w:alias w:val="13 str. 3 d."/>
                <w:tag w:val="part_86802048099648df8cc5962634de5871"/>
                <w:lock w:val="sdtLocked"/>
                <w:richText/>
              </w:sdtPr>
              <w:sdtContent>
                <w:p>
                  <w:pPr>
                    <w:tabs>
                      <w:tab w:val="left" w:pos="1077"/>
                    </w:tabs>
                    <w:spacing w:line="360" w:lineRule="auto"/>
                    <w:ind w:firstLine="720"/>
                    <w:jc w:val="both"/>
                    <w:rPr>
                      <w:rFonts w:eastAsia="Calibri"/>
                      <w:szCs w:val="24"/>
                    </w:rPr>
                  </w:pPr>
                  <w:sdt>
                    <w:sdtPr>
                      <w:alias w:val="Numeris"/>
                      <w:tag w:val="nr_86802048099648df8cc5962634de5871"/>
                      <w:lock w:val="sdtLocked"/>
                      <w:richText/>
                    </w:sdtPr>
                    <w:sdtContent>
                      <w:r>
                        <w:rPr>
                          <w:rFonts w:eastAsia="Calibri"/>
                          <w:szCs w:val="24"/>
                          <w14:scene3d>
                            <w14:camera w14:prst="orthographicFront"/>
                            <w14:lightRig w14:rig="threePt" w14:dir="t">
                              <w14:rot w14:lat="0" w14:lon="0" w14:rev="0"/>
                            </w14:lightRig>
                          </w14:scene3d>
                        </w:rPr>
                        <w:t>3</w:t>
                      </w:r>
                    </w:sdtContent>
                  </w:sdt>
                  <w:r>
                    <w:rPr>
                      <w:rFonts w:eastAsia="Calibri"/>
                      <w:szCs w:val="24"/>
                      <w14:scene3d>
                        <w14:camera w14:prst="orthographicFront"/>
                        <w14:lightRig w14:rig="threePt" w14:dir="t">
                          <w14:rot w14:lat="0" w14:lon="0" w14:rev="0"/>
                        </w14:lightRig>
                      </w14:scene3d>
                    </w:rPr>
                    <w:t xml:space="preserve">. </w:t>
                  </w:r>
                  <w:r>
                    <w:rPr>
                      <w:rFonts w:eastAsia="Calibri"/>
                      <w:szCs w:val="24"/>
                    </w:rPr>
                    <w:t>Biudžetinės įstaigos savo vardu negali prisiimti jokių skolinių įsipareigojimų pagal įsipareigojamuosius skolos dokumentus, įskaitant, bet neapsiribojant, paskolos, finansinės nuomos (lizingo) sutartis.</w:t>
                  </w:r>
                </w:p>
                <w:p>
                  <w:pPr>
                    <w:spacing w:line="360" w:lineRule="auto"/>
                    <w:ind w:firstLine="720"/>
                    <w:jc w:val="both"/>
                    <w:rPr>
                      <w:rFonts w:eastAsia="Calibri"/>
                      <w:szCs w:val="24"/>
                    </w:rPr>
                  </w:pPr>
                </w:p>
              </w:sdtContent>
            </w:sdt>
          </w:sdtContent>
        </w:sdt>
        <w:sdt>
          <w:sdtPr>
            <w:alias w:val="14 str."/>
            <w:tag w:val="part_0f48ef38113940289cee58d7a1eb0465"/>
            <w:lock w:val="sdtLocked"/>
            <w:richText/>
          </w:sdtPr>
          <w:sdtContent>
            <w:p>
              <w:pPr>
                <w:spacing w:line="360" w:lineRule="auto"/>
                <w:ind w:left="2268" w:hanging="1548"/>
                <w:jc w:val="both"/>
                <w:rPr>
                  <w:b/>
                </w:rPr>
              </w:pPr>
              <w:sdt>
                <w:sdtPr>
                  <w:alias w:val="Numeris"/>
                  <w:tag w:val="nr_0f48ef38113940289cee58d7a1eb0465"/>
                  <w:lock w:val="sdtLocked"/>
                  <w:richText/>
                </w:sdtPr>
                <w:sdtContent>
                  <w:r>
                    <w:rPr>
                      <w:b/>
                    </w:rPr>
                    <w:t>14</w:t>
                  </w:r>
                </w:sdtContent>
              </w:sdt>
              <w:r>
                <w:rPr>
                  <w:b/>
                </w:rPr>
                <w:t xml:space="preserve"> straipsnis. </w:t>
              </w:r>
              <w:sdt>
                <w:sdtPr>
                  <w:alias w:val="Pavadinimas"/>
                  <w:tag w:val="title_0f48ef38113940289cee58d7a1eb0465"/>
                  <w:lock w:val="sdtLocked"/>
                  <w:richText/>
                </w:sdtPr>
                <w:sdtContent>
                  <w:r>
                    <w:rPr>
                      <w:b/>
                    </w:rPr>
                    <w:t>Asignavimų valdytojo teisė prisiimti įsipareigojimus naudoti biudžeto lėšas</w:t>
                  </w:r>
                </w:sdtContent>
              </w:sdt>
            </w:p>
            <w:sdt>
              <w:sdtPr>
                <w:alias w:val="14 str. 1 d."/>
                <w:tag w:val="part_235f3ec30f6f4849bb5c13416e9de7e4"/>
                <w:lock w:val="sdtLocked"/>
                <w:richText/>
              </w:sdtPr>
              <w:sdtContent>
                <w:p>
                  <w:pPr>
                    <w:tabs>
                      <w:tab w:val="left" w:pos="1077"/>
                    </w:tabs>
                    <w:spacing w:line="360" w:lineRule="auto"/>
                    <w:ind w:firstLine="720"/>
                    <w:jc w:val="both"/>
                    <w:rPr>
                      <w:rFonts w:eastAsia="Calibri"/>
                      <w:szCs w:val="24"/>
                    </w:rPr>
                  </w:pPr>
                  <w:sdt>
                    <w:sdtPr>
                      <w:alias w:val="Numeris"/>
                      <w:tag w:val="nr_235f3ec30f6f4849bb5c13416e9de7e4"/>
                      <w:lock w:val="sdtLocked"/>
                      <w:richText/>
                    </w:sdtPr>
                    <w:sdtContent>
                      <w:r>
                        <w:rPr>
                          <w:rFonts w:eastAsia="Calibri"/>
                          <w:szCs w:val="24"/>
                          <w14:scene3d>
                            <w14:camera w14:prst="orthographicFront"/>
                            <w14:lightRig w14:rig="threePt" w14:dir="t">
                              <w14:rot w14:lat="0" w14:lon="0" w14:rev="0"/>
                            </w14:lightRig>
                          </w14:scene3d>
                        </w:rPr>
                        <w:t>1</w:t>
                      </w:r>
                    </w:sdtContent>
                  </w:sdt>
                  <w:r>
                    <w:rPr>
                      <w:rFonts w:eastAsia="Calibri"/>
                      <w:szCs w:val="24"/>
                      <w14:scene3d>
                        <w14:camera w14:prst="orthographicFront"/>
                        <w14:lightRig w14:rig="threePt" w14:dir="t">
                          <w14:rot w14:lat="0" w14:lon="0" w14:rev="0"/>
                        </w14:lightRig>
                      </w14:scene3d>
                    </w:rPr>
                    <w:t xml:space="preserve">. </w:t>
                  </w:r>
                  <w:r>
                    <w:rPr>
                      <w:rFonts w:eastAsia="Calibri"/>
                      <w:szCs w:val="24"/>
                      <w:lang w:eastAsia="lt-LT"/>
                    </w:rPr>
                    <w:t>Aplinkos ministerija 2016 metų mokėjimams iš Klimato kaitos specialiosios programos iš 2016 metais ir (arba) ankstesniais metais įmokėtų lėšų bendros sumos gali naudoti ne daugiau kaip 29 000 tūkst. eurų.</w:t>
                  </w:r>
                </w:p>
              </w:sdtContent>
            </w:sdt>
            <w:sdt>
              <w:sdtPr>
                <w:alias w:val="14 str. 2 d."/>
                <w:tag w:val="part_a4c940560a4944849ac35efe9489849e"/>
                <w:lock w:val="sdtLocked"/>
                <w:richText/>
              </w:sdtPr>
              <w:sdtContent>
                <w:p>
                  <w:pPr>
                    <w:tabs>
                      <w:tab w:val="left" w:pos="1077"/>
                    </w:tabs>
                    <w:spacing w:line="360" w:lineRule="auto"/>
                    <w:ind w:firstLine="720"/>
                    <w:jc w:val="both"/>
                    <w:rPr>
                      <w:rFonts w:eastAsia="Calibri"/>
                      <w:szCs w:val="24"/>
                    </w:rPr>
                  </w:pPr>
                  <w:sdt>
                    <w:sdtPr>
                      <w:alias w:val="Numeris"/>
                      <w:tag w:val="nr_a4c940560a4944849ac35efe9489849e"/>
                      <w:lock w:val="sdtLocked"/>
                      <w:richText/>
                    </w:sdtPr>
                    <w:sdtContent>
                      <w:r>
                        <w:rPr>
                          <w:rFonts w:eastAsia="Calibri"/>
                          <w:szCs w:val="24"/>
                          <w14:scene3d>
                            <w14:camera w14:prst="orthographicFront"/>
                            <w14:lightRig w14:rig="threePt" w14:dir="t">
                              <w14:rot w14:lat="0" w14:lon="0" w14:rev="0"/>
                            </w14:lightRig>
                          </w14:scene3d>
                        </w:rPr>
                        <w:t>2</w:t>
                      </w:r>
                    </w:sdtContent>
                  </w:sdt>
                  <w:r>
                    <w:rPr>
                      <w:rFonts w:eastAsia="Calibri"/>
                      <w:szCs w:val="24"/>
                      <w14:scene3d>
                        <w14:camera w14:prst="orthographicFront"/>
                        <w14:lightRig w14:rig="threePt" w14:dir="t">
                          <w14:rot w14:lat="0" w14:lon="0" w14:rev="0"/>
                        </w14:lightRig>
                      </w14:scene3d>
                    </w:rPr>
                    <w:t xml:space="preserve">. </w:t>
                  </w:r>
                  <w:r>
                    <w:rPr>
                      <w:rFonts w:eastAsia="Calibri"/>
                      <w:szCs w:val="24"/>
                      <w:lang w:eastAsia="lt-LT"/>
                    </w:rPr>
                    <w:t>Klimato kaitos specialiosios programos lėšas, viršijančias šio straipsnio 1 dalyje numatytą sumą, Aplinkos ministerija gali naudoti papildomai suderinusi su Finansų</w:t>
                  </w:r>
                  <w:r>
                    <w:rPr>
                      <w:rFonts w:eastAsia="Calibri"/>
                      <w:szCs w:val="24"/>
                    </w:rPr>
                    <w:t xml:space="preserve"> ministerija ir kai dėl to nėra pažeidžiamos šio įstatymo 9 ir 19 straipsnių nuostatos.</w:t>
                  </w:r>
                </w:p>
                <w:p>
                  <w:pPr>
                    <w:spacing w:line="360" w:lineRule="auto"/>
                    <w:ind w:firstLine="720"/>
                    <w:jc w:val="both"/>
                    <w:rPr>
                      <w:rFonts w:eastAsia="Calibri"/>
                      <w:szCs w:val="24"/>
                    </w:rPr>
                  </w:pPr>
                </w:p>
              </w:sdtContent>
            </w:sdt>
          </w:sdtContent>
        </w:sdt>
        <w:sdt>
          <w:sdtPr>
            <w:alias w:val="15 str."/>
            <w:tag w:val="part_b1500fd5ce5f41c1b7891b5baf15ed2e"/>
            <w:lock w:val="sdtLocked"/>
            <w:richText/>
          </w:sdtPr>
          <w:sdtContent>
            <w:p>
              <w:pPr>
                <w:spacing w:line="360" w:lineRule="auto"/>
                <w:ind w:firstLine="720"/>
                <w:jc w:val="both"/>
                <w:rPr>
                  <w:b/>
                </w:rPr>
              </w:pPr>
              <w:sdt>
                <w:sdtPr>
                  <w:alias w:val="Numeris"/>
                  <w:tag w:val="nr_b1500fd5ce5f41c1b7891b5baf15ed2e"/>
                  <w:lock w:val="sdtLocked"/>
                  <w:richText/>
                </w:sdtPr>
                <w:sdtContent>
                  <w:r>
                    <w:rPr>
                      <w:b/>
                    </w:rPr>
                    <w:t>15</w:t>
                  </w:r>
                </w:sdtContent>
              </w:sdt>
              <w:r>
                <w:rPr>
                  <w:b/>
                </w:rPr>
                <w:t xml:space="preserve"> straipsnis. </w:t>
              </w:r>
              <w:sdt>
                <w:sdtPr>
                  <w:alias w:val="Pavadinimas"/>
                  <w:tag w:val="title_b1500fd5ce5f41c1b7891b5baf15ed2e"/>
                  <w:lock w:val="sdtLocked"/>
                  <w:richText/>
                </w:sdtPr>
                <w:sdtContent>
                  <w:r>
                    <w:rPr>
                      <w:b/>
                    </w:rPr>
                    <w:t>Valstybės investicijų 2016–2018 metų programos patvirtinimas</w:t>
                  </w:r>
                </w:sdtContent>
              </w:sdt>
            </w:p>
            <w:sdt>
              <w:sdtPr>
                <w:alias w:val="15 str. 1 d."/>
                <w:tag w:val="part_b915b3e9108e4d7496821bc1f655d400"/>
                <w:lock w:val="sdtLocked"/>
                <w:richText/>
              </w:sdtPr>
              <w:sdtContent>
                <w:p>
                  <w:pPr>
                    <w:spacing w:line="360" w:lineRule="auto"/>
                    <w:ind w:firstLine="720"/>
                    <w:jc w:val="both"/>
                  </w:pPr>
                  <w:r>
                    <w:t>Šiuo įstatymu patvirtinama Valstybės investicijų 2016–2018 metų programa (8 priedas).</w:t>
                  </w:r>
                </w:p>
                <w:p>
                  <w:pPr>
                    <w:spacing w:line="360" w:lineRule="auto"/>
                    <w:ind w:firstLine="720"/>
                    <w:jc w:val="both"/>
                  </w:pPr>
                </w:p>
              </w:sdtContent>
            </w:sdt>
          </w:sdtContent>
        </w:sdt>
        <w:sdt>
          <w:sdtPr>
            <w:alias w:val="16 str."/>
            <w:tag w:val="part_048d2e8157144aac97a7fe4290e73e54"/>
            <w:lock w:val="sdtLocked"/>
            <w:richText/>
          </w:sdtPr>
          <w:sdtContent>
            <w:p>
              <w:pPr>
                <w:spacing w:line="360" w:lineRule="auto"/>
                <w:ind w:firstLine="720"/>
                <w:jc w:val="both"/>
                <w:rPr>
                  <w:b/>
                </w:rPr>
              </w:pPr>
              <w:sdt>
                <w:sdtPr>
                  <w:alias w:val="Numeris"/>
                  <w:tag w:val="nr_048d2e8157144aac97a7fe4290e73e54"/>
                  <w:lock w:val="sdtLocked"/>
                  <w:richText/>
                </w:sdtPr>
                <w:sdtContent>
                  <w:r>
                    <w:rPr>
                      <w:b/>
                    </w:rPr>
                    <w:t>16</w:t>
                  </w:r>
                </w:sdtContent>
              </w:sdt>
              <w:r>
                <w:rPr>
                  <w:b/>
                </w:rPr>
                <w:t xml:space="preserve"> straipsnis. </w:t>
              </w:r>
              <w:sdt>
                <w:sdtPr>
                  <w:alias w:val="Pavadinimas"/>
                  <w:tag w:val="title_048d2e8157144aac97a7fe4290e73e54"/>
                  <w:lock w:val="sdtLocked"/>
                  <w:richText/>
                </w:sdtPr>
                <w:sdtContent>
                  <w:r>
                    <w:rPr>
                      <w:b/>
                    </w:rPr>
                    <w:t>Rezervinio (stabilizavimo) fondo lėšų sąmatos patvirtinimas</w:t>
                  </w:r>
                </w:sdtContent>
              </w:sdt>
            </w:p>
            <w:sdt>
              <w:sdtPr>
                <w:alias w:val="16 str. 1 d."/>
                <w:tag w:val="part_527bc4c8f8c7457c87a0c04c0b602b22"/>
                <w:lock w:val="sdtLocked"/>
                <w:richText/>
              </w:sdtPr>
              <w:sdtContent>
                <w:p>
                  <w:pPr>
                    <w:spacing w:line="360" w:lineRule="auto"/>
                    <w:ind w:firstLine="720"/>
                    <w:jc w:val="both"/>
                  </w:pPr>
                  <w:r>
                    <w:t>Šiuo įstatymu patvirtinama 2016 metų Rezervinio (stabilizavimo) fondo lėšų sąmata (9 priedas).</w:t>
                  </w:r>
                </w:p>
                <w:p>
                  <w:pPr>
                    <w:spacing w:line="360" w:lineRule="auto"/>
                    <w:ind w:firstLine="720"/>
                    <w:jc w:val="both"/>
                  </w:pPr>
                </w:p>
                <w:p>
                  <w:pPr>
                    <w:spacing w:line="360" w:lineRule="auto"/>
                    <w:ind w:firstLine="720"/>
                    <w:jc w:val="both"/>
                  </w:pPr>
                </w:p>
              </w:sdtContent>
            </w:sdt>
          </w:sdtContent>
        </w:sdt>
        <w:sdt>
          <w:sdtPr>
            <w:alias w:val="17 str."/>
            <w:tag w:val="part_eba976adf0904faaae1d913b2533695c"/>
            <w:lock w:val="sdtLocked"/>
            <w:richText/>
          </w:sdtPr>
          <w:sdtContent>
            <w:p>
              <w:pPr>
                <w:spacing w:line="360" w:lineRule="auto"/>
                <w:ind w:left="2410" w:hanging="1690"/>
                <w:jc w:val="both"/>
                <w:rPr>
                  <w:b/>
                </w:rPr>
              </w:pPr>
              <w:sdt>
                <w:sdtPr>
                  <w:alias w:val="Numeris"/>
                  <w:tag w:val="nr_eba976adf0904faaae1d913b2533695c"/>
                  <w:lock w:val="sdtLocked"/>
                  <w:richText/>
                </w:sdtPr>
                <w:sdtContent>
                  <w:r>
                    <w:rPr>
                      <w:b/>
                    </w:rPr>
                    <w:t>17</w:t>
                  </w:r>
                </w:sdtContent>
              </w:sdt>
              <w:r>
                <w:rPr>
                  <w:b/>
                </w:rPr>
                <w:t xml:space="preserve"> straipsnis. </w:t>
              </w:r>
              <w:sdt>
                <w:sdtPr>
                  <w:alias w:val="Pavadinimas"/>
                  <w:tag w:val="title_eba976adf0904faaae1d913b2533695c"/>
                  <w:lock w:val="sdtLocked"/>
                  <w:richText/>
                </w:sdtPr>
                <w:sdtContent>
                  <w:r>
                    <w:rPr>
                      <w:b/>
                    </w:rPr>
                    <w:t>Valstybės įmonės Ignalinos atominės elektrinės eksploatavimo nutraukimo fondo lėšų sąmatos patvirtinimas</w:t>
                  </w:r>
                </w:sdtContent>
              </w:sdt>
            </w:p>
            <w:sdt>
              <w:sdtPr>
                <w:alias w:val="17 str. 1 d."/>
                <w:tag w:val="part_a510d7c29999428e98700388d37d8494"/>
                <w:lock w:val="sdtLocked"/>
                <w:richText/>
              </w:sdtPr>
              <w:sdtContent>
                <w:p>
                  <w:pPr>
                    <w:spacing w:line="360" w:lineRule="auto"/>
                    <w:ind w:firstLine="720"/>
                    <w:jc w:val="both"/>
                  </w:pPr>
                  <w:r>
                    <w:t>Šiuo įstatymu patvirtinama 2016 metų Valstybės įmonės Ignalinos atominės elektrinės eksploatavimo nutraukimo fondo lėšų sąmata (10 priedas).</w:t>
                  </w:r>
                </w:p>
                <w:p>
                  <w:pPr>
                    <w:spacing w:line="360" w:lineRule="auto"/>
                    <w:ind w:firstLine="720"/>
                    <w:jc w:val="both"/>
                  </w:pPr>
                </w:p>
                <w:p>
                  <w:pPr>
                    <w:spacing w:line="360" w:lineRule="auto"/>
                    <w:ind w:firstLine="720"/>
                    <w:jc w:val="both"/>
                  </w:pPr>
                </w:p>
              </w:sdtContent>
            </w:sdt>
          </w:sdtContent>
        </w:sdt>
        <w:sdt>
          <w:sdtPr>
            <w:alias w:val="18 str."/>
            <w:tag w:val="part_3294ad2521894f6d97989936f5ab2081"/>
            <w:lock w:val="sdtLocked"/>
            <w:richText/>
          </w:sdtPr>
          <w:sdtContent>
            <w:p>
              <w:pPr>
                <w:spacing w:line="360" w:lineRule="auto"/>
                <w:ind w:firstLine="720"/>
                <w:jc w:val="both"/>
                <w:rPr>
                  <w:b/>
                </w:rPr>
              </w:pPr>
              <w:sdt>
                <w:sdtPr>
                  <w:alias w:val="Numeris"/>
                  <w:tag w:val="nr_3294ad2521894f6d97989936f5ab2081"/>
                  <w:lock w:val="sdtLocked"/>
                  <w:richText/>
                </w:sdtPr>
                <w:sdtContent>
                  <w:r>
                    <w:rPr>
                      <w:b/>
                    </w:rPr>
                    <w:t>18</w:t>
                  </w:r>
                </w:sdtContent>
              </w:sdt>
              <w:r>
                <w:rPr>
                  <w:b/>
                </w:rPr>
                <w:t xml:space="preserve"> straipsnis. </w:t>
              </w:r>
              <w:sdt>
                <w:sdtPr>
                  <w:alias w:val="Pavadinimas"/>
                  <w:tag w:val="title_3294ad2521894f6d97989936f5ab2081"/>
                  <w:lock w:val="sdtLocked"/>
                  <w:richText/>
                </w:sdtPr>
                <w:sdtContent>
                  <w:r>
                    <w:rPr>
                      <w:b/>
                    </w:rPr>
                    <w:t>Garantinio fondo lėšų sąmatos patvirtinimas</w:t>
                  </w:r>
                </w:sdtContent>
              </w:sdt>
            </w:p>
            <w:sdt>
              <w:sdtPr>
                <w:alias w:val="18 str. 1 d."/>
                <w:tag w:val="part_f1d63bbc59af4956ba9303d716270c12"/>
                <w:lock w:val="sdtLocked"/>
                <w:richText/>
              </w:sdtPr>
              <w:sdtContent>
                <w:p>
                  <w:pPr>
                    <w:spacing w:line="360" w:lineRule="auto"/>
                    <w:ind w:firstLine="720"/>
                    <w:jc w:val="both"/>
                  </w:pPr>
                  <w:r>
                    <w:t>Šiuo įstatymu patvirtinama 2016 metų Garantinio fondo lėšų sąmata (11 priedas).</w:t>
                  </w:r>
                </w:p>
                <w:p>
                  <w:pPr>
                    <w:spacing w:line="360" w:lineRule="auto"/>
                    <w:ind w:firstLine="720"/>
                    <w:jc w:val="both"/>
                  </w:pPr>
                </w:p>
                <w:p>
                  <w:pPr>
                    <w:spacing w:line="360" w:lineRule="auto"/>
                    <w:ind w:firstLine="720"/>
                    <w:jc w:val="both"/>
                  </w:pPr>
                </w:p>
              </w:sdtContent>
            </w:sdt>
          </w:sdtContent>
        </w:sdt>
        <w:sdt>
          <w:sdtPr>
            <w:alias w:val="19 str."/>
            <w:tag w:val="part_194de043f6cb4e4192aaff7e92f3978f"/>
            <w:lock w:val="sdtLocked"/>
            <w:richText/>
          </w:sdtPr>
          <w:sdtContent>
            <w:p>
              <w:pPr>
                <w:spacing w:line="360" w:lineRule="auto"/>
                <w:ind w:firstLine="720"/>
                <w:jc w:val="both"/>
                <w:rPr>
                  <w:b/>
                </w:rPr>
              </w:pPr>
              <w:sdt>
                <w:sdtPr>
                  <w:alias w:val="Numeris"/>
                  <w:tag w:val="nr_194de043f6cb4e4192aaff7e92f3978f"/>
                  <w:lock w:val="sdtLocked"/>
                  <w:richText/>
                </w:sdtPr>
                <w:sdtContent>
                  <w:r>
                    <w:rPr>
                      <w:b/>
                    </w:rPr>
                    <w:t>19</w:t>
                  </w:r>
                </w:sdtContent>
              </w:sdt>
              <w:r>
                <w:rPr>
                  <w:b/>
                </w:rPr>
                <w:t xml:space="preserve"> straipsnis. </w:t>
              </w:r>
              <w:sdt>
                <w:sdtPr>
                  <w:alias w:val="Pavadinimas"/>
                  <w:tag w:val="title_194de043f6cb4e4192aaff7e92f3978f"/>
                  <w:lock w:val="sdtLocked"/>
                  <w:richText/>
                </w:sdtPr>
                <w:sdtContent>
                  <w:r>
                    <w:rPr>
                      <w:b/>
                    </w:rPr>
                    <w:t>Vidutinio laikotarpio valdžios sektoriaus balanso rodiklio užduotys</w:t>
                  </w:r>
                </w:sdtContent>
              </w:sdt>
            </w:p>
            <w:sdt>
              <w:sdtPr>
                <w:alias w:val="19 str. 1 d."/>
                <w:tag w:val="part_ce745862461a4fa4a560064def6d0908"/>
                <w:lock w:val="sdtLocked"/>
                <w:richText/>
              </w:sdtPr>
              <w:sdtContent>
                <w:p>
                  <w:pPr>
                    <w:spacing w:line="360" w:lineRule="auto"/>
                    <w:ind w:firstLine="720"/>
                    <w:jc w:val="both"/>
                  </w:pPr>
                  <w:r>
                    <w:t>Vidutiniu laikotarpiu siekiant perteklinio valdžios sektoriaus, šiuo įstatymu nustatomas ne blogesnis negu -1,2 procento BVP 2016 metų valdžios sektoriaus balanso rodiklis.</w:t>
                  </w:r>
                </w:p>
                <w:p>
                  <w:pPr>
                    <w:spacing w:line="360" w:lineRule="auto"/>
                    <w:ind w:firstLine="720"/>
                    <w:jc w:val="both"/>
                  </w:pPr>
                </w:p>
                <w:p>
                  <w:pPr>
                    <w:spacing w:line="360" w:lineRule="auto"/>
                    <w:ind w:firstLine="720"/>
                    <w:jc w:val="both"/>
                  </w:pPr>
                </w:p>
              </w:sdtContent>
            </w:sdt>
          </w:sdtContent>
        </w:sdt>
        <w:sdt>
          <w:sdtPr>
            <w:alias w:val="20 str."/>
            <w:tag w:val="part_8a6c838d5bbf47899fd7774ef57ae642"/>
            <w:lock w:val="sdtLocked"/>
            <w:richText/>
          </w:sdtPr>
          <w:sdtContent>
            <w:p>
              <w:pPr>
                <w:spacing w:line="360" w:lineRule="auto"/>
                <w:ind w:left="2410" w:hanging="1690"/>
                <w:jc w:val="both"/>
                <w:rPr>
                  <w:b/>
                </w:rPr>
              </w:pPr>
              <w:sdt>
                <w:sdtPr>
                  <w:alias w:val="Numeris"/>
                  <w:tag w:val="nr_8a6c838d5bbf47899fd7774ef57ae642"/>
                  <w:lock w:val="sdtLocked"/>
                  <w:richText/>
                </w:sdtPr>
                <w:sdtContent>
                  <w:r>
                    <w:rPr>
                      <w:b/>
                    </w:rPr>
                    <w:t>20</w:t>
                  </w:r>
                </w:sdtContent>
              </w:sdt>
              <w:r>
                <w:rPr>
                  <w:b/>
                </w:rPr>
                <w:t xml:space="preserve"> straipsnis. </w:t>
              </w:r>
              <w:sdt>
                <w:sdtPr>
                  <w:alias w:val="Pavadinimas"/>
                  <w:tag w:val="title_8a6c838d5bbf47899fd7774ef57ae642"/>
                  <w:lock w:val="sdtLocked"/>
                  <w:richText/>
                </w:sdtPr>
                <w:sdtContent>
                  <w:r>
                    <w:rPr>
                      <w:b/>
                    </w:rPr>
                    <w:t>Informacijos apie savivaldybių prisiimamus įsipareigojimus teikimas</w:t>
                  </w:r>
                </w:sdtContent>
              </w:sdt>
            </w:p>
            <w:sdt>
              <w:sdtPr>
                <w:alias w:val="20 str. 1 d."/>
                <w:tag w:val="part_5994703944b04e5c94e4f13da05438a6"/>
                <w:lock w:val="sdtLocked"/>
                <w:richText/>
              </w:sdtPr>
              <w:sdtContent>
                <w:p>
                  <w:pPr>
                    <w:tabs>
                      <w:tab w:val="left" w:pos="1077"/>
                    </w:tabs>
                    <w:spacing w:line="360" w:lineRule="auto"/>
                    <w:ind w:firstLine="720"/>
                    <w:jc w:val="both"/>
                    <w:rPr>
                      <w:rFonts w:eastAsia="Calibri"/>
                      <w:szCs w:val="24"/>
                    </w:rPr>
                  </w:pPr>
                  <w:sdt>
                    <w:sdtPr>
                      <w:alias w:val="Numeris"/>
                      <w:tag w:val="nr_5994703944b04e5c94e4f13da05438a6"/>
                      <w:lock w:val="sdtLocked"/>
                      <w:richText/>
                    </w:sdtPr>
                    <w:sdtContent>
                      <w:r>
                        <w:rPr>
                          <w:rFonts w:eastAsia="Calibri"/>
                          <w:szCs w:val="24"/>
                          <w14:scene3d>
                            <w14:camera w14:prst="orthographicFront"/>
                            <w14:lightRig w14:rig="threePt" w14:dir="t">
                              <w14:rot w14:lat="0" w14:lon="0" w14:rev="0"/>
                            </w14:lightRig>
                          </w14:scene3d>
                        </w:rPr>
                        <w:t>1</w:t>
                      </w:r>
                    </w:sdtContent>
                  </w:sdt>
                  <w:r>
                    <w:rPr>
                      <w:rFonts w:eastAsia="Calibri"/>
                      <w:szCs w:val="24"/>
                      <w14:scene3d>
                        <w14:camera w14:prst="orthographicFront"/>
                        <w14:lightRig w14:rig="threePt" w14:dir="t">
                          <w14:rot w14:lat="0" w14:lon="0" w14:rev="0"/>
                        </w14:lightRig>
                      </w14:scene3d>
                    </w:rPr>
                    <w:t xml:space="preserve">. </w:t>
                  </w:r>
                  <w:r>
                    <w:rPr>
                      <w:rFonts w:eastAsia="Calibri"/>
                      <w:szCs w:val="24"/>
                    </w:rPr>
                    <w:t>Visi naujai prisiimami savivaldybės įsipareigojimai pagal paskolų sutartis, finansinės nuomos (lizingo) sutartis ir kitus įsipareigojamuosius skolos dokumentus turi būti skelbiami savivaldybės interneto svetainėje, nurodant panaudojimo paskirtį.</w:t>
                  </w:r>
                </w:p>
              </w:sdtContent>
            </w:sdt>
            <w:sdt>
              <w:sdtPr>
                <w:alias w:val="20 str. 2 d."/>
                <w:tag w:val="part_2aad6907c78746c684b13426dc6d61e7"/>
                <w:lock w:val="sdtLocked"/>
                <w:richText/>
              </w:sdtPr>
              <w:sdtContent>
                <w:p>
                  <w:pPr>
                    <w:tabs>
                      <w:tab w:val="left" w:pos="1077"/>
                    </w:tabs>
                    <w:spacing w:line="360" w:lineRule="auto"/>
                    <w:ind w:firstLine="720"/>
                    <w:jc w:val="both"/>
                    <w:rPr>
                      <w:rFonts w:eastAsia="Calibri"/>
                      <w:szCs w:val="24"/>
                    </w:rPr>
                  </w:pPr>
                  <w:sdt>
                    <w:sdtPr>
                      <w:alias w:val="Numeris"/>
                      <w:tag w:val="nr_2aad6907c78746c684b13426dc6d61e7"/>
                      <w:lock w:val="sdtLocked"/>
                      <w:richText/>
                    </w:sdtPr>
                    <w:sdtContent>
                      <w:r>
                        <w:rPr>
                          <w:rFonts w:eastAsia="Calibri"/>
                          <w:szCs w:val="24"/>
                          <w14:scene3d>
                            <w14:camera w14:prst="orthographicFront"/>
                            <w14:lightRig w14:rig="threePt" w14:dir="t">
                              <w14:rot w14:lat="0" w14:lon="0" w14:rev="0"/>
                            </w14:lightRig>
                          </w14:scene3d>
                        </w:rPr>
                        <w:t>2</w:t>
                      </w:r>
                    </w:sdtContent>
                  </w:sdt>
                  <w:r>
                    <w:rPr>
                      <w:rFonts w:eastAsia="Calibri"/>
                      <w:szCs w:val="24"/>
                      <w14:scene3d>
                        <w14:camera w14:prst="orthographicFront"/>
                        <w14:lightRig w14:rig="threePt" w14:dir="t">
                          <w14:rot w14:lat="0" w14:lon="0" w14:rev="0"/>
                        </w14:lightRig>
                      </w14:scene3d>
                    </w:rPr>
                    <w:t xml:space="preserve">. </w:t>
                  </w:r>
                  <w:r>
                    <w:rPr>
                      <w:rFonts w:eastAsia="Calibri"/>
                      <w:szCs w:val="24"/>
                    </w:rPr>
                    <w:t>Savivaldybės, kurių prognozuojamos pajamos 2016 metais (pagal 7 priedą) sudaro 0,05 procento BVP ir daugiau, 2016 metais per 30 darbo dienų metų ketvirčiui pasibaigus Vyriausybės nustatyta tvarka teikia Finansų ministerijai, vykdančiai fiskalinių užduočių įgyvendinimo stebėseną, prognozinę savivaldybės biudžeto vykdymo informaciją ketvirčiais, taip pat prognozinę įsiskolinimų už suteiktas paslaugas, atliktus darbus ir įsigytas prekes pokyčio informaciją ir kitą Vyriausybės nustatytą ir valdžios sektoriaus balanso rodiklio prognozavimui aktualią informaciją.</w:t>
                  </w:r>
                </w:p>
              </w:sdtContent>
            </w:sdt>
            <w:sdt>
              <w:sdtPr>
                <w:alias w:val="20 str. 3 d."/>
                <w:tag w:val="part_6bca42353dbf46a4b26cf2f6ee9c24d6"/>
                <w:lock w:val="sdtLocked"/>
                <w:richText/>
              </w:sdtPr>
              <w:sdtContent>
                <w:p>
                  <w:pPr>
                    <w:spacing w:line="360" w:lineRule="auto"/>
                    <w:ind w:firstLine="720"/>
                    <w:jc w:val="both"/>
                  </w:pPr>
                  <w:sdt>
                    <w:sdtPr>
                      <w:alias w:val="Numeris"/>
                      <w:tag w:val="nr_6bca42353dbf46a4b26cf2f6ee9c24d6"/>
                      <w:lock w:val="sdtLocked"/>
                      <w:richText/>
                    </w:sdtPr>
                    <w:sdtContent>
                      <w:r>
                        <w:rPr>
                          <w14:scene3d>
                            <w14:camera w14:prst="orthographicFront"/>
                            <w14:lightRig w14:rig="threePt" w14:dir="t">
                              <w14:rot w14:lat="0" w14:lon="0" w14:rev="0"/>
                            </w14:lightRig>
                          </w14:scene3d>
                        </w:rPr>
                        <w:t>3</w:t>
                      </w:r>
                    </w:sdtContent>
                  </w:sdt>
                  <w:r>
                    <w:rPr>
                      <w14:scene3d>
                        <w14:camera w14:prst="orthographicFront"/>
                        <w14:lightRig w14:rig="threePt" w14:dir="t">
                          <w14:rot w14:lat="0" w14:lon="0" w14:rev="0"/>
                        </w14:lightRig>
                      </w14:scene3d>
                    </w:rPr>
                    <w:t xml:space="preserve">. </w:t>
                  </w:r>
                  <w:r>
                    <w:t>Vyriausybė turi teisę atidėti valstybės biudžeto dotacijų pervedimus savivaldybėms, kurios per nustatytą terminą nepateikia šio straipsnio 2 dalyje nustatytos informacijos.</w:t>
                  </w:r>
                </w:p>
                <w:p/>
              </w:sdtContent>
            </w:sdt>
          </w:sdtContent>
        </w:sdt>
        <w:sdt>
          <w:sdtPr>
            <w:alias w:val="signatura"/>
            <w:tag w:val="part_ce2a9576fa65465db169903c6b148df4"/>
            <w:lock w:val="sdtLocked"/>
            <w:richText/>
          </w:sdtPr>
          <w:sdtContent>
            <w:p>
              <w:pPr>
                <w:spacing w:line="360" w:lineRule="auto"/>
                <w:ind w:firstLine="720"/>
                <w:jc w:val="both"/>
                <w:rPr>
                  <w:i/>
                  <w:szCs w:val="24"/>
                </w:rPr>
              </w:pPr>
              <w:r>
                <w:rPr>
                  <w:i/>
                  <w:szCs w:val="24"/>
                </w:rPr>
                <w:t>Skelbiu šį Lietuvos Respublikos Seimo priimtą įstatymą.</w:t>
              </w:r>
            </w:p>
            <w:p>
              <w:pPr>
                <w:spacing w:line="360" w:lineRule="auto"/>
                <w:rPr>
                  <w:i/>
                  <w:szCs w:val="24"/>
                </w:rPr>
              </w:pPr>
            </w:p>
            <w:p>
              <w:pPr>
                <w:spacing w:line="360" w:lineRule="auto"/>
                <w:rPr>
                  <w:i/>
                  <w:szCs w:val="24"/>
                </w:rPr>
              </w:pPr>
            </w:p>
            <w:p>
              <w:pPr>
                <w:spacing w:line="360" w:lineRule="auto"/>
              </w:pPr>
            </w:p>
            <w:p>
              <w:pPr>
                <w:tabs>
                  <w:tab w:val="right" w:pos="9356"/>
                </w:tabs>
              </w:pPr>
              <w:r>
                <w:t>Respublikos Prezidentė</w:t>
              </w:r>
              <w:r>
                <w:rPr>
                  <w:caps/>
                </w:rPr>
                <w:t xml:space="preserve"> </w:t>
                <w:tab/>
              </w:r>
              <w:r>
                <w:t>Dalia Grybauskaitė</w:t>
              </w:r>
            </w:p>
            <w:p/>
            <w:p>
              <w:pPr>
                <w:sectPr>
                  <w:headerReference w:type="even" r:id="rId8"/>
                  <w:headerReference w:type="default" r:id="rId9"/>
                  <w:footerReference w:type="even" r:id="rId10"/>
                  <w:footerReference w:type="default" r:id="rId11"/>
                  <w:headerReference w:type="first" r:id="rId12"/>
                  <w:footerReference w:type="first" r:id="rId13"/>
                  <w:pgSz w:w="11906" w:h="16838" w:code="9"/>
                  <w:pgMar w:top="1134" w:right="849" w:bottom="1134" w:left="1701" w:header="567" w:footer="567" w:gutter="0"/>
                  <w:pgNumType w:start="1"/>
                  <w:cols w:space="1296"/>
                  <w:titlePg/>
                  <w:docGrid w:linePitch="360"/>
                </w:sectPr>
              </w:pPr>
            </w:p>
            <w:p>
              <w:pPr>
                <w:tabs>
                  <w:tab w:val="center" w:pos="4153"/>
                  <w:tab w:val="right" w:pos="8306"/>
                </w:tabs>
                <w:rPr>
                  <w:rFonts w:ascii="TimesLT" w:hAnsi="TimesLT"/>
                  <w:lang w:val="en-US"/>
                </w:rPr>
              </w:pPr>
            </w:p>
          </w:sdtContent>
        </w:sdt>
      </w:sdtContent>
    </w:sdt>
    <w:sdt>
      <w:sdtPr>
        <w:alias w:val="1 pr."/>
        <w:tag w:val="part_c07ab9eaa5d04707a9561aa12963546b"/>
        <w:lock w:val="sdtLocked"/>
        <w:richText/>
      </w:sdtPr>
      <w:sdtContent>
        <w:p>
          <w:pPr>
            <w:ind w:firstLine="5670"/>
          </w:pPr>
          <w:r>
            <w:t>Lietuvos Respublikos</w:t>
          </w:r>
        </w:p>
        <w:p>
          <w:pPr>
            <w:ind w:firstLine="5670"/>
          </w:pPr>
          <w:r>
            <w:t>2016 metų valstybės biudžeto ir</w:t>
          </w:r>
        </w:p>
        <w:p>
          <w:pPr>
            <w:ind w:firstLine="5670"/>
          </w:pPr>
          <w:r>
            <w:t>savivaldybių biudžetų finansinių</w:t>
          </w:r>
        </w:p>
        <w:p>
          <w:pPr>
            <w:ind w:firstLine="5670"/>
          </w:pPr>
          <w:r>
            <w:t>rodiklių patvirtinimo įstatymo</w:t>
          </w:r>
        </w:p>
        <w:p>
          <w:pPr>
            <w:ind w:firstLine="5670"/>
          </w:pPr>
          <w:sdt>
            <w:sdtPr>
              <w:alias w:val="Numeris"/>
              <w:tag w:val="nr_c07ab9eaa5d04707a9561aa12963546b"/>
              <w:lock w:val="sdtLocked"/>
              <w:richText/>
            </w:sdtPr>
            <w:sdtContent>
              <w:r>
                <w:t>1</w:t>
              </w:r>
            </w:sdtContent>
          </w:sdt>
          <w:r>
            <w:t xml:space="preserve"> priedas</w:t>
          </w:r>
        </w:p>
        <w:p/>
        <w:sdt>
          <w:sdtPr>
            <w:alias w:val="Pavadinimas"/>
            <w:tag w:val="title_c07ab9eaa5d04707a9561aa12963546b"/>
            <w:lock w:val="sdtLocked"/>
            <w:richText/>
          </w:sdtPr>
          <w:sdtContent>
            <w:p>
              <w:pPr>
                <w:spacing w:line="360" w:lineRule="auto"/>
                <w:jc w:val="center"/>
                <w:rPr>
                  <w:b/>
                </w:rPr>
              </w:pPr>
              <w:r>
                <w:rPr>
                  <w:b/>
                </w:rPr>
                <w:t>LIETUVOS RESPUBLIKOS</w:t>
              </w:r>
            </w:p>
            <w:p>
              <w:pPr>
                <w:spacing w:line="360" w:lineRule="auto"/>
                <w:jc w:val="center"/>
                <w:rPr>
                  <w:b/>
                </w:rPr>
              </w:pPr>
              <w:r>
                <w:rPr>
                  <w:b/>
                </w:rPr>
                <w:t>2016 METŲ VALSTYBĖS BIUDŽETAS</w:t>
              </w:r>
            </w:p>
          </w:sdtContent>
        </w:sdt>
        <w:p/>
        <w:tbl>
          <w:tblPr>
            <w:tblW w:w="8775" w:type="dxa"/>
            <w:jc w:val="center"/>
            <w:tblInd w:w="-295" w:type="dxa"/>
            <w:tblLook w:val="04A0" w:firstRow="1" w:lastRow="0" w:firstColumn="1" w:lastColumn="0" w:noHBand="0" w:noVBand="1"/>
          </w:tblPr>
          <w:tblGrid>
            <w:gridCol w:w="7275"/>
            <w:gridCol w:w="1500"/>
          </w:tblGrid>
          <w:tr>
            <w:trPr>
              <w:trHeight w:val="315"/>
              <w:tblHeader/>
              <w:jc w:val="center"/>
            </w:trPr>
            <w:tc>
              <w:tcPr>
                <w:tcW w:w="7275" w:type="dxa"/>
                <w:tcBorders>
                  <w:top w:val="nil"/>
                  <w:left w:val="nil"/>
                  <w:bottom w:val="nil"/>
                  <w:right w:val="nil"/>
                </w:tcBorders>
                <w:shd w:val="clear" w:color="auto" w:fill="auto"/>
                <w:vAlign w:val="bottom"/>
                <w:hideMark/>
              </w:tcPr>
              <w:p/>
            </w:tc>
            <w:tc>
              <w:tcPr>
                <w:tcW w:w="1500" w:type="dxa"/>
                <w:tcBorders>
                  <w:top w:val="nil"/>
                  <w:left w:val="nil"/>
                  <w:bottom w:val="nil"/>
                  <w:right w:val="nil"/>
                </w:tcBorders>
                <w:shd w:val="clear" w:color="auto" w:fill="auto"/>
                <w:vAlign w:val="bottom"/>
                <w:hideMark/>
              </w:tcPr>
              <w:p>
                <w:pPr>
                  <w:jc w:val="right"/>
                </w:pPr>
                <w:r>
                  <w:t>Tūkst. Eur</w:t>
                </w:r>
              </w:p>
            </w:tc>
          </w:tr>
          <w:tr>
            <w:trPr>
              <w:trHeight w:val="600"/>
              <w:tblHeader/>
              <w:jc w:val="center"/>
            </w:trPr>
            <w:tc>
              <w:tcPr>
                <w:tcW w:w="7275"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color w:val="000000"/>
                  </w:rPr>
                </w:pPr>
                <w:r>
                  <w:rPr>
                    <w:color w:val="000000"/>
                  </w:rPr>
                  <w:t>Pajamos</w:t>
                </w:r>
              </w:p>
            </w:tc>
            <w:tc>
              <w:tcPr>
                <w:tcW w:w="1500" w:type="dxa"/>
                <w:tcBorders>
                  <w:top w:val="single" w:sz="4" w:space="0" w:color="auto"/>
                  <w:left w:val="nil"/>
                  <w:bottom w:val="single" w:sz="4" w:space="0" w:color="auto"/>
                  <w:right w:val="single" w:sz="4" w:space="0" w:color="auto"/>
                </w:tcBorders>
                <w:shd w:val="clear" w:color="auto" w:fill="auto"/>
                <w:noWrap/>
                <w:vAlign w:val="center"/>
                <w:hideMark/>
              </w:tcPr>
              <w:p>
                <w:pPr>
                  <w:jc w:val="center"/>
                </w:pPr>
                <w:r>
                  <w:t>Iš viso</w:t>
                </w:r>
              </w:p>
            </w:tc>
          </w:tr>
          <w:tr>
            <w:trPr>
              <w:trHeight w:val="315"/>
              <w:jc w:val="center"/>
            </w:trPr>
            <w:tc>
              <w:tcPr>
                <w:tcW w:w="7275" w:type="dxa"/>
                <w:tcBorders>
                  <w:top w:val="nil"/>
                  <w:left w:val="nil"/>
                  <w:bottom w:val="nil"/>
                  <w:right w:val="nil"/>
                </w:tcBorders>
                <w:shd w:val="clear" w:color="auto" w:fill="auto"/>
                <w:hideMark/>
              </w:tcPr>
              <w:p>
                <w:pPr>
                  <w:rPr>
                    <w:b/>
                    <w:bCs/>
                  </w:rPr>
                </w:pPr>
                <w:r>
                  <w:rPr>
                    <w:b/>
                    <w:bCs/>
                  </w:rPr>
                  <w:t>PAJAMOS</w:t>
                </w:r>
              </w:p>
            </w:tc>
            <w:tc>
              <w:tcPr>
                <w:tcW w:w="1500" w:type="dxa"/>
                <w:tcBorders>
                  <w:top w:val="nil"/>
                  <w:left w:val="nil"/>
                  <w:bottom w:val="nil"/>
                  <w:right w:val="nil"/>
                </w:tcBorders>
                <w:shd w:val="clear" w:color="auto" w:fill="auto"/>
                <w:hideMark/>
              </w:tcPr>
              <w:p>
                <w:pPr>
                  <w:ind w:firstLine="60"/>
                  <w:jc w:val="right"/>
                  <w:rPr>
                    <w:b/>
                    <w:bCs/>
                  </w:rPr>
                </w:pPr>
                <w:r>
                  <w:rPr>
                    <w:b/>
                    <w:bCs/>
                  </w:rPr>
                  <w:t>5 867 616</w:t>
                </w:r>
              </w:p>
            </w:tc>
          </w:tr>
          <w:tr>
            <w:trPr>
              <w:trHeight w:val="315"/>
              <w:jc w:val="center"/>
            </w:trPr>
            <w:tc>
              <w:tcPr>
                <w:tcW w:w="7275" w:type="dxa"/>
                <w:tcBorders>
                  <w:top w:val="nil"/>
                  <w:left w:val="nil"/>
                  <w:bottom w:val="nil"/>
                  <w:right w:val="nil"/>
                </w:tcBorders>
                <w:shd w:val="clear" w:color="auto" w:fill="auto"/>
                <w:hideMark/>
              </w:tcPr>
              <w:p>
                <w:pPr>
                  <w:rPr>
                    <w:b/>
                    <w:bCs/>
                  </w:rPr>
                </w:pPr>
                <w:r>
                  <w:rPr>
                    <w:b/>
                    <w:bCs/>
                  </w:rPr>
                  <w:t>MOKESČIAI</w:t>
                </w:r>
              </w:p>
            </w:tc>
            <w:tc>
              <w:tcPr>
                <w:tcW w:w="1500" w:type="dxa"/>
                <w:tcBorders>
                  <w:top w:val="nil"/>
                  <w:left w:val="nil"/>
                  <w:bottom w:val="nil"/>
                  <w:right w:val="nil"/>
                </w:tcBorders>
                <w:shd w:val="clear" w:color="auto" w:fill="auto"/>
                <w:hideMark/>
              </w:tcPr>
              <w:p>
                <w:pPr>
                  <w:ind w:firstLine="60"/>
                  <w:jc w:val="right"/>
                  <w:rPr>
                    <w:b/>
                    <w:bCs/>
                  </w:rPr>
                </w:pPr>
                <w:r>
                  <w:rPr>
                    <w:b/>
                    <w:bCs/>
                  </w:rPr>
                  <w:t>5 416 130</w:t>
                </w:r>
              </w:p>
            </w:tc>
          </w:tr>
          <w:tr>
            <w:trPr>
              <w:trHeight w:val="315"/>
              <w:jc w:val="center"/>
            </w:trPr>
            <w:tc>
              <w:tcPr>
                <w:tcW w:w="7275" w:type="dxa"/>
                <w:tcBorders>
                  <w:top w:val="nil"/>
                  <w:left w:val="nil"/>
                  <w:bottom w:val="nil"/>
                  <w:right w:val="nil"/>
                </w:tcBorders>
                <w:shd w:val="clear" w:color="auto" w:fill="auto"/>
                <w:hideMark/>
              </w:tcPr>
              <w:p>
                <w:pPr>
                  <w:rPr>
                    <w:b/>
                    <w:bCs/>
                  </w:rPr>
                </w:pPr>
                <w:r>
                  <w:rPr>
                    <w:b/>
                    <w:bCs/>
                  </w:rPr>
                  <w:t>Pajamų ir pelno mokesčiai</w:t>
                </w:r>
              </w:p>
            </w:tc>
            <w:tc>
              <w:tcPr>
                <w:tcW w:w="1500" w:type="dxa"/>
                <w:tcBorders>
                  <w:top w:val="nil"/>
                  <w:left w:val="nil"/>
                  <w:bottom w:val="nil"/>
                  <w:right w:val="nil"/>
                </w:tcBorders>
                <w:shd w:val="clear" w:color="auto" w:fill="auto"/>
                <w:hideMark/>
              </w:tcPr>
              <w:p>
                <w:pPr>
                  <w:ind w:firstLine="120"/>
                  <w:jc w:val="right"/>
                  <w:rPr>
                    <w:b/>
                    <w:bCs/>
                  </w:rPr>
                </w:pPr>
                <w:r>
                  <w:rPr>
                    <w:b/>
                    <w:bCs/>
                  </w:rPr>
                  <w:t>941 474</w:t>
                </w:r>
              </w:p>
            </w:tc>
          </w:tr>
          <w:tr>
            <w:trPr>
              <w:trHeight w:val="315"/>
              <w:jc w:val="center"/>
            </w:trPr>
            <w:tc>
              <w:tcPr>
                <w:tcW w:w="7275" w:type="dxa"/>
                <w:tcBorders>
                  <w:top w:val="nil"/>
                  <w:left w:val="nil"/>
                  <w:bottom w:val="nil"/>
                  <w:right w:val="nil"/>
                </w:tcBorders>
                <w:shd w:val="clear" w:color="auto" w:fill="auto"/>
                <w:hideMark/>
              </w:tcPr>
              <w:p>
                <w:r>
                  <w:t>Gyventojų pajamų mokestis</w:t>
                </w:r>
              </w:p>
            </w:tc>
            <w:tc>
              <w:tcPr>
                <w:tcW w:w="1500" w:type="dxa"/>
                <w:tcBorders>
                  <w:top w:val="nil"/>
                  <w:left w:val="nil"/>
                  <w:bottom w:val="nil"/>
                  <w:right w:val="nil"/>
                </w:tcBorders>
                <w:shd w:val="clear" w:color="auto" w:fill="auto"/>
                <w:hideMark/>
              </w:tcPr>
              <w:p>
                <w:pPr>
                  <w:ind w:firstLine="120"/>
                  <w:jc w:val="right"/>
                </w:pPr>
                <w:r>
                  <w:t>361 884</w:t>
                </w:r>
              </w:p>
            </w:tc>
          </w:tr>
          <w:tr>
            <w:trPr>
              <w:trHeight w:val="315"/>
              <w:jc w:val="center"/>
            </w:trPr>
            <w:tc>
              <w:tcPr>
                <w:tcW w:w="7275" w:type="dxa"/>
                <w:tcBorders>
                  <w:top w:val="nil"/>
                  <w:left w:val="nil"/>
                  <w:bottom w:val="nil"/>
                  <w:right w:val="nil"/>
                </w:tcBorders>
                <w:shd w:val="clear" w:color="auto" w:fill="auto"/>
                <w:hideMark/>
              </w:tcPr>
              <w:p>
                <w:r>
                  <w:t>Pelno mokestis</w:t>
                </w:r>
              </w:p>
            </w:tc>
            <w:tc>
              <w:tcPr>
                <w:tcW w:w="1500" w:type="dxa"/>
                <w:tcBorders>
                  <w:top w:val="nil"/>
                  <w:left w:val="nil"/>
                  <w:bottom w:val="nil"/>
                  <w:right w:val="nil"/>
                </w:tcBorders>
                <w:shd w:val="clear" w:color="auto" w:fill="auto"/>
                <w:hideMark/>
              </w:tcPr>
              <w:p>
                <w:pPr>
                  <w:ind w:firstLine="120"/>
                  <w:jc w:val="right"/>
                </w:pPr>
                <w:r>
                  <w:t>579 590</w:t>
                </w:r>
              </w:p>
            </w:tc>
          </w:tr>
          <w:tr>
            <w:trPr>
              <w:trHeight w:val="315"/>
              <w:jc w:val="center"/>
            </w:trPr>
            <w:tc>
              <w:tcPr>
                <w:tcW w:w="7275" w:type="dxa"/>
                <w:tcBorders>
                  <w:top w:val="nil"/>
                  <w:left w:val="nil"/>
                  <w:bottom w:val="nil"/>
                  <w:right w:val="nil"/>
                </w:tcBorders>
                <w:shd w:val="clear" w:color="auto" w:fill="auto"/>
                <w:hideMark/>
              </w:tcPr>
              <w:p>
                <w:pPr>
                  <w:rPr>
                    <w:b/>
                    <w:bCs/>
                  </w:rPr>
                </w:pPr>
                <w:r>
                  <w:rPr>
                    <w:b/>
                    <w:bCs/>
                  </w:rPr>
                  <w:t>Turto mokesčiai</w:t>
                </w:r>
              </w:p>
            </w:tc>
            <w:tc>
              <w:tcPr>
                <w:tcW w:w="1500" w:type="dxa"/>
                <w:tcBorders>
                  <w:top w:val="nil"/>
                  <w:left w:val="nil"/>
                  <w:bottom w:val="nil"/>
                  <w:right w:val="nil"/>
                </w:tcBorders>
                <w:shd w:val="clear" w:color="auto" w:fill="auto"/>
                <w:hideMark/>
              </w:tcPr>
              <w:p>
                <w:pPr>
                  <w:ind w:firstLine="120"/>
                  <w:jc w:val="right"/>
                  <w:rPr>
                    <w:b/>
                    <w:bCs/>
                  </w:rPr>
                </w:pPr>
                <w:r>
                  <w:rPr>
                    <w:b/>
                    <w:bCs/>
                  </w:rPr>
                  <w:t>2 272</w:t>
                </w:r>
              </w:p>
            </w:tc>
          </w:tr>
          <w:tr>
            <w:trPr>
              <w:trHeight w:val="315"/>
              <w:jc w:val="center"/>
            </w:trPr>
            <w:tc>
              <w:tcPr>
                <w:tcW w:w="7275" w:type="dxa"/>
                <w:tcBorders>
                  <w:top w:val="nil"/>
                  <w:left w:val="nil"/>
                  <w:bottom w:val="nil"/>
                  <w:right w:val="nil"/>
                </w:tcBorders>
                <w:shd w:val="clear" w:color="auto" w:fill="auto"/>
                <w:hideMark/>
              </w:tcPr>
              <w:p>
                <w:r>
                  <w:t>Nekilnojamojo turto mokestis</w:t>
                </w:r>
              </w:p>
            </w:tc>
            <w:tc>
              <w:tcPr>
                <w:tcW w:w="1500" w:type="dxa"/>
                <w:tcBorders>
                  <w:top w:val="nil"/>
                  <w:left w:val="nil"/>
                  <w:bottom w:val="nil"/>
                  <w:right w:val="nil"/>
                </w:tcBorders>
                <w:shd w:val="clear" w:color="auto" w:fill="auto"/>
                <w:hideMark/>
              </w:tcPr>
              <w:p>
                <w:pPr>
                  <w:ind w:firstLine="120"/>
                  <w:jc w:val="right"/>
                </w:pPr>
                <w:r>
                  <w:t>2 272</w:t>
                </w:r>
              </w:p>
            </w:tc>
          </w:tr>
          <w:tr>
            <w:trPr>
              <w:trHeight w:val="315"/>
              <w:jc w:val="center"/>
            </w:trPr>
            <w:tc>
              <w:tcPr>
                <w:tcW w:w="7275" w:type="dxa"/>
                <w:tcBorders>
                  <w:top w:val="nil"/>
                  <w:left w:val="nil"/>
                  <w:bottom w:val="nil"/>
                  <w:right w:val="nil"/>
                </w:tcBorders>
                <w:shd w:val="clear" w:color="auto" w:fill="auto"/>
                <w:hideMark/>
              </w:tcPr>
              <w:p>
                <w:pPr>
                  <w:rPr>
                    <w:b/>
                    <w:bCs/>
                  </w:rPr>
                </w:pPr>
                <w:r>
                  <w:rPr>
                    <w:b/>
                    <w:bCs/>
                  </w:rPr>
                  <w:t>Prekių ir paslaugų mokesčiai</w:t>
                </w:r>
              </w:p>
            </w:tc>
            <w:tc>
              <w:tcPr>
                <w:tcW w:w="1500" w:type="dxa"/>
                <w:tcBorders>
                  <w:top w:val="nil"/>
                  <w:left w:val="nil"/>
                  <w:bottom w:val="nil"/>
                  <w:right w:val="nil"/>
                </w:tcBorders>
                <w:shd w:val="clear" w:color="auto" w:fill="auto"/>
                <w:hideMark/>
              </w:tcPr>
              <w:p>
                <w:pPr>
                  <w:ind w:firstLine="60"/>
                  <w:jc w:val="right"/>
                  <w:rPr>
                    <w:b/>
                    <w:bCs/>
                  </w:rPr>
                </w:pPr>
                <w:r>
                  <w:rPr>
                    <w:b/>
                    <w:bCs/>
                  </w:rPr>
                  <w:t>4 366 384</w:t>
                </w:r>
              </w:p>
            </w:tc>
          </w:tr>
          <w:tr>
            <w:trPr>
              <w:trHeight w:val="315"/>
              <w:jc w:val="center"/>
            </w:trPr>
            <w:tc>
              <w:tcPr>
                <w:tcW w:w="7275" w:type="dxa"/>
                <w:tcBorders>
                  <w:top w:val="nil"/>
                  <w:left w:val="nil"/>
                  <w:bottom w:val="nil"/>
                  <w:right w:val="nil"/>
                </w:tcBorders>
                <w:shd w:val="clear" w:color="auto" w:fill="auto"/>
                <w:hideMark/>
              </w:tcPr>
              <w:p>
                <w:r>
                  <w:t>Pridėtinės vertės mokestis</w:t>
                </w:r>
              </w:p>
            </w:tc>
            <w:tc>
              <w:tcPr>
                <w:tcW w:w="1500" w:type="dxa"/>
                <w:tcBorders>
                  <w:top w:val="nil"/>
                  <w:left w:val="nil"/>
                  <w:bottom w:val="nil"/>
                  <w:right w:val="nil"/>
                </w:tcBorders>
                <w:shd w:val="clear" w:color="auto" w:fill="auto"/>
                <w:hideMark/>
              </w:tcPr>
              <w:p>
                <w:pPr>
                  <w:ind w:firstLine="60"/>
                  <w:jc w:val="right"/>
                </w:pPr>
                <w:r>
                  <w:t>3 049 577</w:t>
                </w:r>
              </w:p>
            </w:tc>
          </w:tr>
          <w:tr>
            <w:trPr>
              <w:trHeight w:val="315"/>
              <w:jc w:val="center"/>
            </w:trPr>
            <w:tc>
              <w:tcPr>
                <w:tcW w:w="7275" w:type="dxa"/>
                <w:tcBorders>
                  <w:top w:val="nil"/>
                  <w:left w:val="nil"/>
                  <w:bottom w:val="nil"/>
                  <w:right w:val="nil"/>
                </w:tcBorders>
                <w:shd w:val="clear" w:color="auto" w:fill="auto"/>
                <w:hideMark/>
              </w:tcPr>
              <w:p>
                <w:r>
                  <w:t>Atskaitymai nuo pajamų pagal Lietuvos Respublikos miškų įstatymą</w:t>
                </w:r>
              </w:p>
            </w:tc>
            <w:tc>
              <w:tcPr>
                <w:tcW w:w="1500" w:type="dxa"/>
                <w:tcBorders>
                  <w:top w:val="nil"/>
                  <w:left w:val="nil"/>
                  <w:bottom w:val="nil"/>
                  <w:right w:val="nil"/>
                </w:tcBorders>
                <w:shd w:val="clear" w:color="auto" w:fill="auto"/>
                <w:hideMark/>
              </w:tcPr>
              <w:p>
                <w:pPr>
                  <w:ind w:firstLine="120"/>
                  <w:jc w:val="right"/>
                </w:pPr>
                <w:r>
                  <w:t>26 100</w:t>
                </w:r>
              </w:p>
            </w:tc>
          </w:tr>
          <w:tr>
            <w:trPr>
              <w:trHeight w:val="315"/>
              <w:jc w:val="center"/>
            </w:trPr>
            <w:tc>
              <w:tcPr>
                <w:tcW w:w="7275" w:type="dxa"/>
                <w:tcBorders>
                  <w:top w:val="nil"/>
                  <w:left w:val="nil"/>
                  <w:bottom w:val="nil"/>
                  <w:right w:val="nil"/>
                </w:tcBorders>
                <w:shd w:val="clear" w:color="auto" w:fill="auto"/>
                <w:hideMark/>
              </w:tcPr>
              <w:p>
                <w:r>
                  <w:t>Akcizai</w:t>
                </w:r>
              </w:p>
            </w:tc>
            <w:tc>
              <w:tcPr>
                <w:tcW w:w="1500" w:type="dxa"/>
                <w:tcBorders>
                  <w:top w:val="nil"/>
                  <w:left w:val="nil"/>
                  <w:bottom w:val="nil"/>
                  <w:right w:val="nil"/>
                </w:tcBorders>
                <w:shd w:val="clear" w:color="auto" w:fill="auto"/>
                <w:hideMark/>
              </w:tcPr>
              <w:p>
                <w:pPr>
                  <w:ind w:firstLine="60"/>
                  <w:jc w:val="right"/>
                </w:pPr>
                <w:r>
                  <w:t>1 171 942</w:t>
                </w:r>
              </w:p>
            </w:tc>
          </w:tr>
          <w:tr>
            <w:trPr>
              <w:trHeight w:val="315"/>
              <w:jc w:val="center"/>
            </w:trPr>
            <w:tc>
              <w:tcPr>
                <w:tcW w:w="7275" w:type="dxa"/>
                <w:tcBorders>
                  <w:top w:val="nil"/>
                  <w:left w:val="nil"/>
                  <w:bottom w:val="nil"/>
                  <w:right w:val="nil"/>
                </w:tcBorders>
                <w:shd w:val="clear" w:color="auto" w:fill="auto"/>
                <w:hideMark/>
              </w:tcPr>
              <w:p>
                <w:r>
                  <w:t>Cukraus sektoriaus mokesčiai</w:t>
                </w:r>
              </w:p>
            </w:tc>
            <w:tc>
              <w:tcPr>
                <w:tcW w:w="1500" w:type="dxa"/>
                <w:tcBorders>
                  <w:top w:val="nil"/>
                  <w:left w:val="nil"/>
                  <w:bottom w:val="nil"/>
                  <w:right w:val="nil"/>
                </w:tcBorders>
                <w:shd w:val="clear" w:color="auto" w:fill="auto"/>
                <w:hideMark/>
              </w:tcPr>
              <w:p>
                <w:pPr>
                  <w:ind w:firstLine="120"/>
                  <w:jc w:val="right"/>
                </w:pPr>
                <w:r>
                  <w:t>1 080</w:t>
                </w:r>
              </w:p>
            </w:tc>
          </w:tr>
          <w:tr>
            <w:trPr>
              <w:trHeight w:val="315"/>
              <w:jc w:val="center"/>
            </w:trPr>
            <w:tc>
              <w:tcPr>
                <w:tcW w:w="7275" w:type="dxa"/>
                <w:tcBorders>
                  <w:top w:val="nil"/>
                  <w:left w:val="nil"/>
                  <w:bottom w:val="nil"/>
                  <w:right w:val="nil"/>
                </w:tcBorders>
                <w:shd w:val="clear" w:color="auto" w:fill="auto"/>
                <w:hideMark/>
              </w:tcPr>
              <w:p>
                <w:r>
                  <w:t>Loterijų ir azartinių lošimų mokestis</w:t>
                </w:r>
              </w:p>
            </w:tc>
            <w:tc>
              <w:tcPr>
                <w:tcW w:w="1500" w:type="dxa"/>
                <w:tcBorders>
                  <w:top w:val="nil"/>
                  <w:left w:val="nil"/>
                  <w:bottom w:val="nil"/>
                  <w:right w:val="nil"/>
                </w:tcBorders>
                <w:shd w:val="clear" w:color="auto" w:fill="auto"/>
                <w:hideMark/>
              </w:tcPr>
              <w:p>
                <w:pPr>
                  <w:ind w:firstLine="120"/>
                  <w:jc w:val="right"/>
                </w:pPr>
                <w:r>
                  <w:t>15 500</w:t>
                </w:r>
              </w:p>
            </w:tc>
          </w:tr>
          <w:tr>
            <w:trPr>
              <w:trHeight w:val="315"/>
              <w:jc w:val="center"/>
            </w:trPr>
            <w:tc>
              <w:tcPr>
                <w:tcW w:w="7275" w:type="dxa"/>
                <w:tcBorders>
                  <w:top w:val="nil"/>
                  <w:left w:val="nil"/>
                  <w:bottom w:val="nil"/>
                  <w:right w:val="nil"/>
                </w:tcBorders>
                <w:shd w:val="clear" w:color="auto" w:fill="auto"/>
                <w:hideMark/>
              </w:tcPr>
              <w:p>
                <w:r>
                  <w:t>Transporto priemonių mokesčiai</w:t>
                </w:r>
              </w:p>
            </w:tc>
            <w:tc>
              <w:tcPr>
                <w:tcW w:w="1500" w:type="dxa"/>
                <w:tcBorders>
                  <w:top w:val="nil"/>
                  <w:left w:val="nil"/>
                  <w:bottom w:val="nil"/>
                  <w:right w:val="nil"/>
                </w:tcBorders>
                <w:shd w:val="clear" w:color="auto" w:fill="auto"/>
                <w:hideMark/>
              </w:tcPr>
              <w:p>
                <w:pPr>
                  <w:ind w:firstLine="120"/>
                  <w:jc w:val="right"/>
                </w:pPr>
                <w:r>
                  <w:t>59 610</w:t>
                </w:r>
              </w:p>
            </w:tc>
          </w:tr>
          <w:tr>
            <w:trPr>
              <w:trHeight w:val="315"/>
              <w:jc w:val="center"/>
            </w:trPr>
            <w:tc>
              <w:tcPr>
                <w:tcW w:w="7275" w:type="dxa"/>
                <w:tcBorders>
                  <w:top w:val="nil"/>
                  <w:left w:val="nil"/>
                  <w:bottom w:val="nil"/>
                  <w:right w:val="nil"/>
                </w:tcBorders>
                <w:shd w:val="clear" w:color="auto" w:fill="auto"/>
                <w:hideMark/>
              </w:tcPr>
              <w:p>
                <w:r>
                  <w:t>Mokesčiai už aplinkos teršimą</w:t>
                </w:r>
              </w:p>
            </w:tc>
            <w:tc>
              <w:tcPr>
                <w:tcW w:w="1500" w:type="dxa"/>
                <w:tcBorders>
                  <w:top w:val="nil"/>
                  <w:left w:val="nil"/>
                  <w:bottom w:val="nil"/>
                  <w:right w:val="nil"/>
                </w:tcBorders>
                <w:shd w:val="clear" w:color="auto" w:fill="auto"/>
                <w:hideMark/>
              </w:tcPr>
              <w:p>
                <w:pPr>
                  <w:ind w:firstLine="120"/>
                  <w:jc w:val="right"/>
                </w:pPr>
                <w:r>
                  <w:t>10 044</w:t>
                </w:r>
              </w:p>
            </w:tc>
          </w:tr>
          <w:tr>
            <w:trPr>
              <w:trHeight w:val="315"/>
              <w:jc w:val="center"/>
            </w:trPr>
            <w:tc>
              <w:tcPr>
                <w:tcW w:w="7275" w:type="dxa"/>
                <w:tcBorders>
                  <w:top w:val="nil"/>
                  <w:left w:val="nil"/>
                  <w:bottom w:val="nil"/>
                  <w:right w:val="nil"/>
                </w:tcBorders>
                <w:shd w:val="clear" w:color="auto" w:fill="auto"/>
                <w:hideMark/>
              </w:tcPr>
              <w:p>
                <w:r>
                  <w:t>Rinkliavos ir mokesčiai už pramoninės nuosavybės objektų registravimą</w:t>
                </w:r>
              </w:p>
            </w:tc>
            <w:tc>
              <w:tcPr>
                <w:tcW w:w="1500" w:type="dxa"/>
                <w:tcBorders>
                  <w:top w:val="nil"/>
                  <w:left w:val="nil"/>
                  <w:bottom w:val="nil"/>
                  <w:right w:val="nil"/>
                </w:tcBorders>
                <w:shd w:val="clear" w:color="auto" w:fill="auto"/>
                <w:hideMark/>
              </w:tcPr>
              <w:p>
                <w:pPr>
                  <w:ind w:firstLine="120"/>
                  <w:jc w:val="right"/>
                </w:pPr>
                <w:r>
                  <w:t>32 531</w:t>
                </w:r>
              </w:p>
            </w:tc>
          </w:tr>
          <w:tr>
            <w:trPr>
              <w:trHeight w:val="315"/>
              <w:jc w:val="center"/>
            </w:trPr>
            <w:tc>
              <w:tcPr>
                <w:tcW w:w="7275" w:type="dxa"/>
                <w:tcBorders>
                  <w:top w:val="nil"/>
                  <w:left w:val="nil"/>
                  <w:bottom w:val="nil"/>
                  <w:right w:val="nil"/>
                </w:tcBorders>
                <w:shd w:val="clear" w:color="auto" w:fill="auto"/>
                <w:hideMark/>
              </w:tcPr>
              <w:p>
                <w:pPr>
                  <w:rPr>
                    <w:b/>
                    <w:bCs/>
                  </w:rPr>
                </w:pPr>
                <w:r>
                  <w:rPr>
                    <w:b/>
                    <w:bCs/>
                  </w:rPr>
                  <w:t>Tarptautinės prekybos ir sandorių mokesčiai</w:t>
                </w:r>
              </w:p>
            </w:tc>
            <w:tc>
              <w:tcPr>
                <w:tcW w:w="1500" w:type="dxa"/>
                <w:tcBorders>
                  <w:top w:val="nil"/>
                  <w:left w:val="nil"/>
                  <w:bottom w:val="nil"/>
                  <w:right w:val="nil"/>
                </w:tcBorders>
                <w:shd w:val="clear" w:color="auto" w:fill="auto"/>
                <w:hideMark/>
              </w:tcPr>
              <w:p>
                <w:pPr>
                  <w:ind w:firstLine="120"/>
                  <w:jc w:val="right"/>
                  <w:rPr>
                    <w:b/>
                    <w:bCs/>
                  </w:rPr>
                </w:pPr>
                <w:r>
                  <w:rPr>
                    <w:b/>
                    <w:bCs/>
                  </w:rPr>
                  <w:t>106 000</w:t>
                </w:r>
              </w:p>
            </w:tc>
          </w:tr>
          <w:tr>
            <w:trPr>
              <w:trHeight w:val="315"/>
              <w:jc w:val="center"/>
            </w:trPr>
            <w:tc>
              <w:tcPr>
                <w:tcW w:w="7275" w:type="dxa"/>
                <w:tcBorders>
                  <w:top w:val="nil"/>
                  <w:left w:val="nil"/>
                  <w:bottom w:val="nil"/>
                  <w:right w:val="nil"/>
                </w:tcBorders>
                <w:shd w:val="clear" w:color="auto" w:fill="auto"/>
                <w:hideMark/>
              </w:tcPr>
              <w:p>
                <w:pPr>
                  <w:rPr>
                    <w:b/>
                    <w:bCs/>
                  </w:rPr>
                </w:pPr>
              </w:p>
            </w:tc>
            <w:tc>
              <w:tcPr>
                <w:tcW w:w="1500" w:type="dxa"/>
                <w:tcBorders>
                  <w:top w:val="nil"/>
                  <w:left w:val="nil"/>
                  <w:bottom w:val="nil"/>
                  <w:right w:val="nil"/>
                </w:tcBorders>
                <w:shd w:val="clear" w:color="auto" w:fill="auto"/>
                <w:hideMark/>
              </w:tcPr>
              <w:p>
                <w:pPr>
                  <w:jc w:val="right"/>
                </w:pPr>
              </w:p>
            </w:tc>
          </w:tr>
          <w:tr>
            <w:trPr>
              <w:trHeight w:val="315"/>
              <w:jc w:val="center"/>
            </w:trPr>
            <w:tc>
              <w:tcPr>
                <w:tcW w:w="7275" w:type="dxa"/>
                <w:tcBorders>
                  <w:top w:val="nil"/>
                  <w:left w:val="nil"/>
                  <w:bottom w:val="nil"/>
                  <w:right w:val="nil"/>
                </w:tcBorders>
                <w:shd w:val="clear" w:color="auto" w:fill="auto"/>
                <w:hideMark/>
              </w:tcPr>
              <w:p>
                <w:pPr>
                  <w:rPr>
                    <w:b/>
                    <w:bCs/>
                  </w:rPr>
                </w:pPr>
                <w:r>
                  <w:rPr>
                    <w:b/>
                    <w:bCs/>
                  </w:rPr>
                  <w:t>KITOS PAJAMOS</w:t>
                </w:r>
              </w:p>
            </w:tc>
            <w:tc>
              <w:tcPr>
                <w:tcW w:w="1500" w:type="dxa"/>
                <w:tcBorders>
                  <w:top w:val="nil"/>
                  <w:left w:val="nil"/>
                  <w:bottom w:val="nil"/>
                  <w:right w:val="nil"/>
                </w:tcBorders>
                <w:shd w:val="clear" w:color="auto" w:fill="auto"/>
                <w:hideMark/>
              </w:tcPr>
              <w:p>
                <w:pPr>
                  <w:ind w:firstLine="120"/>
                  <w:jc w:val="right"/>
                  <w:rPr>
                    <w:b/>
                    <w:bCs/>
                  </w:rPr>
                </w:pPr>
                <w:r>
                  <w:rPr>
                    <w:b/>
                    <w:bCs/>
                  </w:rPr>
                  <w:t>451 486</w:t>
                </w:r>
              </w:p>
            </w:tc>
          </w:tr>
          <w:tr>
            <w:trPr>
              <w:trHeight w:val="315"/>
              <w:jc w:val="center"/>
            </w:trPr>
            <w:tc>
              <w:tcPr>
                <w:tcW w:w="7275" w:type="dxa"/>
                <w:tcBorders>
                  <w:top w:val="nil"/>
                  <w:left w:val="nil"/>
                  <w:bottom w:val="nil"/>
                  <w:right w:val="nil"/>
                </w:tcBorders>
                <w:shd w:val="clear" w:color="auto" w:fill="auto"/>
                <w:hideMark/>
              </w:tcPr>
              <w:p>
                <w:pPr>
                  <w:rPr>
                    <w:b/>
                    <w:bCs/>
                  </w:rPr>
                </w:pPr>
                <w:r>
                  <w:rPr>
                    <w:b/>
                    <w:bCs/>
                  </w:rPr>
                  <w:t>Turto pajamos</w:t>
                </w:r>
              </w:p>
            </w:tc>
            <w:tc>
              <w:tcPr>
                <w:tcW w:w="1500" w:type="dxa"/>
                <w:tcBorders>
                  <w:top w:val="nil"/>
                  <w:left w:val="nil"/>
                  <w:bottom w:val="nil"/>
                  <w:right w:val="nil"/>
                </w:tcBorders>
                <w:shd w:val="clear" w:color="auto" w:fill="auto"/>
                <w:hideMark/>
              </w:tcPr>
              <w:p>
                <w:pPr>
                  <w:ind w:firstLine="120"/>
                  <w:jc w:val="right"/>
                  <w:rPr>
                    <w:b/>
                    <w:bCs/>
                  </w:rPr>
                </w:pPr>
                <w:r>
                  <w:rPr>
                    <w:b/>
                    <w:bCs/>
                  </w:rPr>
                  <w:t>286 140</w:t>
                </w:r>
              </w:p>
            </w:tc>
          </w:tr>
          <w:tr>
            <w:trPr>
              <w:trHeight w:val="315"/>
              <w:jc w:val="center"/>
            </w:trPr>
            <w:tc>
              <w:tcPr>
                <w:tcW w:w="7275" w:type="dxa"/>
                <w:tcBorders>
                  <w:top w:val="nil"/>
                  <w:left w:val="nil"/>
                  <w:bottom w:val="nil"/>
                  <w:right w:val="nil"/>
                </w:tcBorders>
                <w:shd w:val="clear" w:color="auto" w:fill="auto"/>
                <w:hideMark/>
              </w:tcPr>
              <w:p>
                <w:r>
                  <w:t>Palūkanos už paskolas</w:t>
                </w:r>
              </w:p>
            </w:tc>
            <w:tc>
              <w:tcPr>
                <w:tcW w:w="1500" w:type="dxa"/>
                <w:tcBorders>
                  <w:top w:val="nil"/>
                  <w:left w:val="nil"/>
                  <w:bottom w:val="nil"/>
                  <w:right w:val="nil"/>
                </w:tcBorders>
                <w:shd w:val="clear" w:color="auto" w:fill="auto"/>
                <w:hideMark/>
              </w:tcPr>
              <w:p>
                <w:pPr>
                  <w:ind w:firstLine="120"/>
                  <w:jc w:val="right"/>
                </w:pPr>
                <w:r>
                  <w:t>158 727</w:t>
                </w:r>
              </w:p>
            </w:tc>
          </w:tr>
          <w:tr>
            <w:trPr>
              <w:trHeight w:val="315"/>
              <w:jc w:val="center"/>
            </w:trPr>
            <w:tc>
              <w:tcPr>
                <w:tcW w:w="7275" w:type="dxa"/>
                <w:tcBorders>
                  <w:top w:val="nil"/>
                  <w:left w:val="nil"/>
                  <w:bottom w:val="nil"/>
                  <w:right w:val="nil"/>
                </w:tcBorders>
                <w:shd w:val="clear" w:color="auto" w:fill="auto"/>
                <w:hideMark/>
              </w:tcPr>
              <w:p>
                <w:r>
                  <w:t>Palūkanos už depozitus ir vertybinius popierius</w:t>
                </w:r>
              </w:p>
            </w:tc>
            <w:tc>
              <w:tcPr>
                <w:tcW w:w="1500" w:type="dxa"/>
                <w:tcBorders>
                  <w:top w:val="nil"/>
                  <w:left w:val="nil"/>
                  <w:bottom w:val="nil"/>
                  <w:right w:val="nil"/>
                </w:tcBorders>
                <w:shd w:val="clear" w:color="auto" w:fill="auto"/>
                <w:hideMark/>
              </w:tcPr>
              <w:p>
                <w:pPr>
                  <w:ind w:firstLine="120"/>
                  <w:jc w:val="right"/>
                </w:pPr>
                <w:r>
                  <w:t>5 470</w:t>
                </w:r>
              </w:p>
            </w:tc>
          </w:tr>
          <w:tr>
            <w:trPr>
              <w:trHeight w:val="315"/>
              <w:jc w:val="center"/>
            </w:trPr>
            <w:tc>
              <w:tcPr>
                <w:tcW w:w="7275" w:type="dxa"/>
                <w:tcBorders>
                  <w:top w:val="nil"/>
                  <w:left w:val="nil"/>
                  <w:bottom w:val="nil"/>
                  <w:right w:val="nil"/>
                </w:tcBorders>
                <w:shd w:val="clear" w:color="auto" w:fill="auto"/>
              </w:tcPr>
              <w:p>
                <w:r>
                  <w:t>Lietuvos banko likutinis pelnas</w:t>
                </w:r>
              </w:p>
            </w:tc>
            <w:tc>
              <w:tcPr>
                <w:tcW w:w="1500" w:type="dxa"/>
                <w:tcBorders>
                  <w:top w:val="nil"/>
                  <w:left w:val="nil"/>
                  <w:bottom w:val="nil"/>
                  <w:right w:val="nil"/>
                </w:tcBorders>
                <w:shd w:val="clear" w:color="auto" w:fill="auto"/>
              </w:tcPr>
              <w:p>
                <w:pPr>
                  <w:ind w:firstLine="120"/>
                  <w:jc w:val="right"/>
                </w:pPr>
                <w:r>
                  <w:t>4 000</w:t>
                </w:r>
              </w:p>
            </w:tc>
          </w:tr>
          <w:tr>
            <w:trPr>
              <w:trHeight w:val="315"/>
              <w:jc w:val="center"/>
            </w:trPr>
            <w:tc>
              <w:tcPr>
                <w:tcW w:w="7275" w:type="dxa"/>
                <w:tcBorders>
                  <w:top w:val="nil"/>
                  <w:left w:val="nil"/>
                  <w:bottom w:val="nil"/>
                  <w:right w:val="nil"/>
                </w:tcBorders>
                <w:shd w:val="clear" w:color="auto" w:fill="auto"/>
                <w:hideMark/>
              </w:tcPr>
              <w:p>
                <w:r>
                  <w:t>Dividendai</w:t>
                </w:r>
              </w:p>
            </w:tc>
            <w:tc>
              <w:tcPr>
                <w:tcW w:w="1500" w:type="dxa"/>
                <w:tcBorders>
                  <w:top w:val="nil"/>
                  <w:left w:val="nil"/>
                  <w:bottom w:val="nil"/>
                  <w:right w:val="nil"/>
                </w:tcBorders>
                <w:shd w:val="clear" w:color="auto" w:fill="auto"/>
                <w:hideMark/>
              </w:tcPr>
              <w:p>
                <w:pPr>
                  <w:ind w:firstLine="120"/>
                  <w:jc w:val="right"/>
                </w:pPr>
                <w:r>
                  <w:t>94 989</w:t>
                </w:r>
              </w:p>
            </w:tc>
          </w:tr>
          <w:tr>
            <w:trPr>
              <w:trHeight w:val="315"/>
              <w:jc w:val="center"/>
            </w:trPr>
            <w:tc>
              <w:tcPr>
                <w:tcW w:w="7275" w:type="dxa"/>
                <w:tcBorders>
                  <w:top w:val="nil"/>
                  <w:left w:val="nil"/>
                  <w:bottom w:val="nil"/>
                  <w:right w:val="nil"/>
                </w:tcBorders>
                <w:shd w:val="clear" w:color="auto" w:fill="auto"/>
                <w:hideMark/>
              </w:tcPr>
              <w:p>
                <w:r>
                  <w:t>Mokesčiai už valstybinius gamtos išteklius</w:t>
                </w:r>
              </w:p>
            </w:tc>
            <w:tc>
              <w:tcPr>
                <w:tcW w:w="1500" w:type="dxa"/>
                <w:tcBorders>
                  <w:top w:val="nil"/>
                  <w:left w:val="nil"/>
                  <w:bottom w:val="nil"/>
                  <w:right w:val="nil"/>
                </w:tcBorders>
                <w:shd w:val="clear" w:color="auto" w:fill="auto"/>
                <w:hideMark/>
              </w:tcPr>
              <w:p>
                <w:pPr>
                  <w:ind w:firstLine="120"/>
                  <w:jc w:val="right"/>
                </w:pPr>
                <w:r>
                  <w:t>9 600</w:t>
                </w:r>
              </w:p>
            </w:tc>
          </w:tr>
          <w:tr>
            <w:trPr>
              <w:trHeight w:val="315"/>
              <w:jc w:val="center"/>
            </w:trPr>
            <w:tc>
              <w:tcPr>
                <w:tcW w:w="7275" w:type="dxa"/>
                <w:tcBorders>
                  <w:top w:val="nil"/>
                  <w:left w:val="nil"/>
                  <w:bottom w:val="nil"/>
                  <w:right w:val="nil"/>
                </w:tcBorders>
                <w:shd w:val="clear" w:color="auto" w:fill="auto"/>
                <w:hideMark/>
              </w:tcPr>
              <w:p>
                <w:r>
                  <w:t>Angliavandenilių išteklių mokestis</w:t>
                </w:r>
              </w:p>
            </w:tc>
            <w:tc>
              <w:tcPr>
                <w:tcW w:w="1500" w:type="dxa"/>
                <w:tcBorders>
                  <w:top w:val="nil"/>
                  <w:left w:val="nil"/>
                  <w:bottom w:val="nil"/>
                  <w:right w:val="nil"/>
                </w:tcBorders>
                <w:shd w:val="clear" w:color="auto" w:fill="auto"/>
                <w:hideMark/>
              </w:tcPr>
              <w:p>
                <w:pPr>
                  <w:ind w:firstLine="120"/>
                  <w:jc w:val="right"/>
                </w:pPr>
                <w:r>
                  <w:t>6 200</w:t>
                </w:r>
              </w:p>
            </w:tc>
          </w:tr>
          <w:tr>
            <w:trPr>
              <w:trHeight w:val="315"/>
              <w:jc w:val="center"/>
            </w:trPr>
            <w:tc>
              <w:tcPr>
                <w:tcW w:w="7275" w:type="dxa"/>
                <w:tcBorders>
                  <w:top w:val="nil"/>
                  <w:left w:val="nil"/>
                  <w:bottom w:val="nil"/>
                  <w:right w:val="nil"/>
                </w:tcBorders>
                <w:shd w:val="clear" w:color="auto" w:fill="auto"/>
                <w:hideMark/>
              </w:tcPr>
              <w:p>
                <w:r>
                  <w:t>Mokestis už valstybės turto naudojimą patikėjimo teise</w:t>
                </w:r>
              </w:p>
            </w:tc>
            <w:tc>
              <w:tcPr>
                <w:tcW w:w="1500" w:type="dxa"/>
                <w:tcBorders>
                  <w:top w:val="nil"/>
                  <w:left w:val="nil"/>
                  <w:bottom w:val="nil"/>
                  <w:right w:val="nil"/>
                </w:tcBorders>
                <w:shd w:val="clear" w:color="auto" w:fill="auto"/>
                <w:hideMark/>
              </w:tcPr>
              <w:p>
                <w:pPr>
                  <w:ind w:firstLine="120"/>
                  <w:jc w:val="right"/>
                </w:pPr>
                <w:r>
                  <w:t>7 154</w:t>
                </w:r>
              </w:p>
            </w:tc>
          </w:tr>
          <w:tr>
            <w:trPr>
              <w:trHeight w:val="315"/>
              <w:jc w:val="center"/>
            </w:trPr>
            <w:tc>
              <w:tcPr>
                <w:tcW w:w="7275" w:type="dxa"/>
                <w:tcBorders>
                  <w:top w:val="nil"/>
                  <w:left w:val="nil"/>
                  <w:bottom w:val="nil"/>
                  <w:right w:val="nil"/>
                </w:tcBorders>
                <w:shd w:val="clear" w:color="auto" w:fill="auto"/>
                <w:hideMark/>
              </w:tcPr>
              <w:p>
                <w:pPr>
                  <w:rPr>
                    <w:b/>
                    <w:bCs/>
                  </w:rPr>
                </w:pPr>
                <w:r>
                  <w:rPr>
                    <w:b/>
                    <w:bCs/>
                  </w:rPr>
                  <w:t>Pajamos už prekes ir paslaugas</w:t>
                </w:r>
              </w:p>
            </w:tc>
            <w:tc>
              <w:tcPr>
                <w:tcW w:w="1500" w:type="dxa"/>
                <w:tcBorders>
                  <w:top w:val="nil"/>
                  <w:left w:val="nil"/>
                  <w:bottom w:val="nil"/>
                  <w:right w:val="nil"/>
                </w:tcBorders>
                <w:shd w:val="clear" w:color="auto" w:fill="auto"/>
                <w:hideMark/>
              </w:tcPr>
              <w:p>
                <w:pPr>
                  <w:ind w:firstLine="120"/>
                  <w:jc w:val="right"/>
                  <w:rPr>
                    <w:b/>
                    <w:bCs/>
                  </w:rPr>
                </w:pPr>
                <w:r>
                  <w:rPr>
                    <w:b/>
                    <w:bCs/>
                  </w:rPr>
                  <w:t>119 993</w:t>
                </w:r>
              </w:p>
            </w:tc>
          </w:tr>
          <w:tr>
            <w:trPr>
              <w:trHeight w:val="315"/>
              <w:jc w:val="center"/>
            </w:trPr>
            <w:tc>
              <w:tcPr>
                <w:tcW w:w="7275" w:type="dxa"/>
                <w:tcBorders>
                  <w:top w:val="nil"/>
                  <w:left w:val="nil"/>
                  <w:bottom w:val="nil"/>
                  <w:right w:val="nil"/>
                </w:tcBorders>
                <w:shd w:val="clear" w:color="auto" w:fill="auto"/>
                <w:hideMark/>
              </w:tcPr>
              <w:p>
                <w:r>
                  <w:t>Pajamos už patalpų nuomą</w:t>
                </w:r>
              </w:p>
            </w:tc>
            <w:tc>
              <w:tcPr>
                <w:tcW w:w="1500" w:type="dxa"/>
                <w:tcBorders>
                  <w:top w:val="nil"/>
                  <w:left w:val="nil"/>
                  <w:bottom w:val="nil"/>
                  <w:right w:val="nil"/>
                </w:tcBorders>
                <w:shd w:val="clear" w:color="auto" w:fill="auto"/>
                <w:hideMark/>
              </w:tcPr>
              <w:p>
                <w:pPr>
                  <w:ind w:firstLine="120"/>
                  <w:jc w:val="right"/>
                </w:pPr>
                <w:r>
                  <w:t>6 339</w:t>
                </w:r>
              </w:p>
            </w:tc>
          </w:tr>
          <w:tr>
            <w:trPr>
              <w:trHeight w:val="315"/>
              <w:jc w:val="center"/>
            </w:trPr>
            <w:tc>
              <w:tcPr>
                <w:tcW w:w="7275" w:type="dxa"/>
                <w:tcBorders>
                  <w:top w:val="nil"/>
                  <w:left w:val="nil"/>
                  <w:bottom w:val="nil"/>
                  <w:right w:val="nil"/>
                </w:tcBorders>
                <w:shd w:val="clear" w:color="auto" w:fill="auto"/>
                <w:hideMark/>
              </w:tcPr>
              <w:p>
                <w:r>
                  <w:t>Konsulinis mokestis</w:t>
                </w:r>
              </w:p>
            </w:tc>
            <w:tc>
              <w:tcPr>
                <w:tcW w:w="1500" w:type="dxa"/>
                <w:tcBorders>
                  <w:top w:val="nil"/>
                  <w:left w:val="nil"/>
                  <w:bottom w:val="nil"/>
                  <w:right w:val="nil"/>
                </w:tcBorders>
                <w:shd w:val="clear" w:color="auto" w:fill="auto"/>
                <w:hideMark/>
              </w:tcPr>
              <w:p>
                <w:pPr>
                  <w:ind w:firstLine="120"/>
                  <w:jc w:val="right"/>
                </w:pPr>
                <w:r>
                  <w:t>27 700</w:t>
                </w:r>
              </w:p>
            </w:tc>
          </w:tr>
          <w:tr>
            <w:trPr>
              <w:trHeight w:val="345"/>
              <w:jc w:val="center"/>
            </w:trPr>
            <w:tc>
              <w:tcPr>
                <w:tcW w:w="7275" w:type="dxa"/>
                <w:tcBorders>
                  <w:top w:val="nil"/>
                  <w:left w:val="nil"/>
                  <w:bottom w:val="nil"/>
                  <w:right w:val="nil"/>
                </w:tcBorders>
                <w:shd w:val="clear" w:color="auto" w:fill="auto"/>
                <w:hideMark/>
              </w:tcPr>
              <w:p>
                <w:r>
                  <w:t>Pajamos už atsitiktines paslaugas</w:t>
                </w:r>
              </w:p>
            </w:tc>
            <w:tc>
              <w:tcPr>
                <w:tcW w:w="1500" w:type="dxa"/>
                <w:tcBorders>
                  <w:top w:val="nil"/>
                  <w:left w:val="nil"/>
                  <w:bottom w:val="nil"/>
                  <w:right w:val="nil"/>
                </w:tcBorders>
                <w:shd w:val="clear" w:color="auto" w:fill="auto"/>
                <w:hideMark/>
              </w:tcPr>
              <w:p>
                <w:pPr>
                  <w:ind w:firstLine="120"/>
                  <w:jc w:val="right"/>
                </w:pPr>
                <w:r>
                  <w:t>75 547</w:t>
                </w:r>
              </w:p>
            </w:tc>
          </w:tr>
          <w:tr>
            <w:trPr>
              <w:trHeight w:val="315"/>
              <w:jc w:val="center"/>
            </w:trPr>
            <w:tc>
              <w:tcPr>
                <w:tcW w:w="7275" w:type="dxa"/>
                <w:tcBorders>
                  <w:top w:val="nil"/>
                  <w:left w:val="nil"/>
                  <w:bottom w:val="nil"/>
                  <w:right w:val="nil"/>
                </w:tcBorders>
                <w:shd w:val="clear" w:color="auto" w:fill="auto"/>
                <w:hideMark/>
              </w:tcPr>
              <w:p>
                <w:r>
                  <w:t>Žyminis mokestis</w:t>
                </w:r>
              </w:p>
            </w:tc>
            <w:tc>
              <w:tcPr>
                <w:tcW w:w="1500" w:type="dxa"/>
                <w:tcBorders>
                  <w:top w:val="nil"/>
                  <w:left w:val="nil"/>
                  <w:bottom w:val="nil"/>
                  <w:right w:val="nil"/>
                </w:tcBorders>
                <w:shd w:val="clear" w:color="auto" w:fill="auto"/>
                <w:hideMark/>
              </w:tcPr>
              <w:p>
                <w:pPr>
                  <w:ind w:firstLine="120"/>
                  <w:jc w:val="right"/>
                </w:pPr>
                <w:r>
                  <w:t>7 942</w:t>
                </w:r>
              </w:p>
            </w:tc>
          </w:tr>
          <w:tr>
            <w:trPr>
              <w:trHeight w:val="315"/>
              <w:jc w:val="center"/>
            </w:trPr>
            <w:tc>
              <w:tcPr>
                <w:tcW w:w="7275" w:type="dxa"/>
                <w:tcBorders>
                  <w:top w:val="nil"/>
                  <w:left w:val="nil"/>
                  <w:bottom w:val="nil"/>
                  <w:right w:val="nil"/>
                </w:tcBorders>
                <w:shd w:val="clear" w:color="auto" w:fill="auto"/>
                <w:hideMark/>
              </w:tcPr>
              <w:p>
                <w:r>
                  <w:t>Kitos pajamos</w:t>
                </w:r>
              </w:p>
            </w:tc>
            <w:tc>
              <w:tcPr>
                <w:tcW w:w="1500" w:type="dxa"/>
                <w:tcBorders>
                  <w:top w:val="nil"/>
                  <w:left w:val="nil"/>
                  <w:bottom w:val="nil"/>
                  <w:right w:val="nil"/>
                </w:tcBorders>
                <w:shd w:val="clear" w:color="auto" w:fill="auto"/>
                <w:hideMark/>
              </w:tcPr>
              <w:p>
                <w:pPr>
                  <w:ind w:firstLine="120"/>
                  <w:jc w:val="right"/>
                </w:pPr>
                <w:r>
                  <w:t>2 465</w:t>
                </w:r>
              </w:p>
            </w:tc>
          </w:tr>
          <w:tr>
            <w:trPr>
              <w:trHeight w:val="315"/>
              <w:jc w:val="center"/>
            </w:trPr>
            <w:tc>
              <w:tcPr>
                <w:tcW w:w="7275" w:type="dxa"/>
                <w:tcBorders>
                  <w:top w:val="nil"/>
                  <w:left w:val="nil"/>
                  <w:bottom w:val="nil"/>
                  <w:right w:val="nil"/>
                </w:tcBorders>
                <w:shd w:val="clear" w:color="auto" w:fill="auto"/>
                <w:hideMark/>
              </w:tcPr>
              <w:p>
                <w:pPr>
                  <w:rPr>
                    <w:b/>
                    <w:bCs/>
                  </w:rPr>
                </w:pPr>
                <w:r>
                  <w:rPr>
                    <w:b/>
                    <w:bCs/>
                  </w:rPr>
                  <w:t>Pajamos iš baudų ir konfiskacijos</w:t>
                </w:r>
              </w:p>
            </w:tc>
            <w:tc>
              <w:tcPr>
                <w:tcW w:w="1500" w:type="dxa"/>
                <w:tcBorders>
                  <w:top w:val="nil"/>
                  <w:left w:val="nil"/>
                  <w:bottom w:val="nil"/>
                  <w:right w:val="nil"/>
                </w:tcBorders>
                <w:shd w:val="clear" w:color="auto" w:fill="auto"/>
                <w:hideMark/>
              </w:tcPr>
              <w:p>
                <w:pPr>
                  <w:ind w:firstLine="120"/>
                  <w:jc w:val="right"/>
                  <w:rPr>
                    <w:b/>
                    <w:bCs/>
                  </w:rPr>
                </w:pPr>
                <w:r>
                  <w:rPr>
                    <w:b/>
                    <w:bCs/>
                  </w:rPr>
                  <w:t>36 420</w:t>
                </w:r>
              </w:p>
            </w:tc>
          </w:tr>
          <w:tr>
            <w:trPr>
              <w:trHeight w:val="315"/>
              <w:jc w:val="center"/>
            </w:trPr>
            <w:tc>
              <w:tcPr>
                <w:tcW w:w="7275" w:type="dxa"/>
                <w:tcBorders>
                  <w:top w:val="nil"/>
                  <w:left w:val="nil"/>
                  <w:bottom w:val="nil"/>
                  <w:right w:val="nil"/>
                </w:tcBorders>
                <w:shd w:val="clear" w:color="auto" w:fill="auto"/>
                <w:hideMark/>
              </w:tcPr>
              <w:p>
                <w:pPr>
                  <w:rPr>
                    <w:b/>
                    <w:bCs/>
                  </w:rPr>
                </w:pPr>
                <w:r>
                  <w:rPr>
                    <w:b/>
                    <w:bCs/>
                  </w:rPr>
                  <w:t>Kitos neišvardytos pajamos</w:t>
                </w:r>
              </w:p>
            </w:tc>
            <w:tc>
              <w:tcPr>
                <w:tcW w:w="1500" w:type="dxa"/>
                <w:tcBorders>
                  <w:top w:val="nil"/>
                  <w:left w:val="nil"/>
                  <w:bottom w:val="nil"/>
                  <w:right w:val="nil"/>
                </w:tcBorders>
                <w:shd w:val="clear" w:color="auto" w:fill="auto"/>
                <w:hideMark/>
              </w:tcPr>
              <w:p>
                <w:pPr>
                  <w:ind w:firstLine="120"/>
                  <w:jc w:val="right"/>
                  <w:rPr>
                    <w:b/>
                    <w:bCs/>
                  </w:rPr>
                </w:pPr>
                <w:r>
                  <w:rPr>
                    <w:b/>
                    <w:bCs/>
                  </w:rPr>
                  <w:t>8 933</w:t>
                </w:r>
              </w:p>
            </w:tc>
          </w:tr>
          <w:tr>
            <w:trPr>
              <w:trHeight w:val="315"/>
              <w:jc w:val="center"/>
            </w:trPr>
            <w:tc>
              <w:tcPr>
                <w:tcW w:w="7275" w:type="dxa"/>
                <w:tcBorders>
                  <w:top w:val="nil"/>
                  <w:left w:val="nil"/>
                  <w:bottom w:val="nil"/>
                  <w:right w:val="nil"/>
                </w:tcBorders>
                <w:shd w:val="clear" w:color="auto" w:fill="auto"/>
                <w:hideMark/>
              </w:tcPr>
              <w:p>
                <w:pPr>
                  <w:rPr>
                    <w:b/>
                    <w:bCs/>
                  </w:rPr>
                </w:pPr>
              </w:p>
            </w:tc>
            <w:tc>
              <w:tcPr>
                <w:tcW w:w="1500" w:type="dxa"/>
                <w:tcBorders>
                  <w:top w:val="nil"/>
                  <w:left w:val="nil"/>
                  <w:bottom w:val="nil"/>
                  <w:right w:val="nil"/>
                </w:tcBorders>
                <w:shd w:val="clear" w:color="auto" w:fill="auto"/>
                <w:hideMark/>
              </w:tcPr>
              <w:p>
                <w:pPr>
                  <w:jc w:val="right"/>
                  <w:rPr>
                    <w:b/>
                    <w:bCs/>
                  </w:rPr>
                </w:pPr>
              </w:p>
            </w:tc>
          </w:tr>
          <w:tr>
            <w:trPr>
              <w:trHeight w:val="630"/>
              <w:jc w:val="center"/>
            </w:trPr>
            <w:tc>
              <w:tcPr>
                <w:tcW w:w="7275" w:type="dxa"/>
                <w:tcBorders>
                  <w:top w:val="nil"/>
                  <w:left w:val="nil"/>
                  <w:bottom w:val="nil"/>
                  <w:right w:val="nil"/>
                </w:tcBorders>
                <w:shd w:val="clear" w:color="auto" w:fill="auto"/>
                <w:hideMark/>
              </w:tcPr>
              <w:p>
                <w:pPr>
                  <w:rPr>
                    <w:b/>
                    <w:bCs/>
                  </w:rPr>
                </w:pPr>
                <w:r>
                  <w:rPr>
                    <w:b/>
                    <w:bCs/>
                  </w:rPr>
                  <w:t>SANDORIAI DĖL MATERIALIOJO IR NEMATERIALIOJO TURTO BEI FINANSINIŲ ĮSIPAREIGOJIMŲ PRISIĖMIMAS</w:t>
                </w:r>
              </w:p>
            </w:tc>
            <w:tc>
              <w:tcPr>
                <w:tcW w:w="1500" w:type="dxa"/>
                <w:tcBorders>
                  <w:top w:val="nil"/>
                  <w:left w:val="nil"/>
                  <w:bottom w:val="nil"/>
                  <w:right w:val="nil"/>
                </w:tcBorders>
                <w:shd w:val="clear" w:color="auto" w:fill="auto"/>
                <w:vAlign w:val="bottom"/>
                <w:hideMark/>
              </w:tcPr>
              <w:p>
                <w:pPr>
                  <w:ind w:firstLine="120"/>
                  <w:jc w:val="right"/>
                  <w:rPr>
                    <w:b/>
                    <w:bCs/>
                  </w:rPr>
                </w:pPr>
                <w:r>
                  <w:rPr>
                    <w:b/>
                    <w:bCs/>
                  </w:rPr>
                  <w:t>77 620</w:t>
                </w:r>
              </w:p>
            </w:tc>
          </w:tr>
          <w:tr>
            <w:trPr>
              <w:trHeight w:val="315"/>
              <w:jc w:val="center"/>
            </w:trPr>
            <w:tc>
              <w:tcPr>
                <w:tcW w:w="7275" w:type="dxa"/>
                <w:tcBorders>
                  <w:top w:val="nil"/>
                  <w:left w:val="nil"/>
                  <w:bottom w:val="nil"/>
                  <w:right w:val="nil"/>
                </w:tcBorders>
                <w:shd w:val="clear" w:color="auto" w:fill="auto"/>
                <w:hideMark/>
              </w:tcPr>
              <w:p>
                <w:pPr>
                  <w:rPr>
                    <w:b/>
                    <w:bCs/>
                  </w:rPr>
                </w:pPr>
                <w:r>
                  <w:rPr>
                    <w:b/>
                    <w:bCs/>
                  </w:rPr>
                  <w:t>Materialiojo ir nematerialiojo turto realizavimo pajamos</w:t>
                </w:r>
              </w:p>
            </w:tc>
            <w:tc>
              <w:tcPr>
                <w:tcW w:w="1500" w:type="dxa"/>
                <w:tcBorders>
                  <w:top w:val="nil"/>
                  <w:left w:val="nil"/>
                  <w:bottom w:val="nil"/>
                  <w:right w:val="nil"/>
                </w:tcBorders>
                <w:shd w:val="clear" w:color="auto" w:fill="auto"/>
                <w:hideMark/>
              </w:tcPr>
              <w:p>
                <w:pPr>
                  <w:ind w:firstLine="120"/>
                  <w:jc w:val="right"/>
                  <w:rPr>
                    <w:b/>
                    <w:bCs/>
                  </w:rPr>
                </w:pPr>
                <w:r>
                  <w:rPr>
                    <w:b/>
                    <w:bCs/>
                  </w:rPr>
                  <w:t>68 601</w:t>
                </w:r>
              </w:p>
            </w:tc>
          </w:tr>
          <w:tr>
            <w:trPr>
              <w:trHeight w:val="315"/>
              <w:jc w:val="center"/>
            </w:trPr>
            <w:tc>
              <w:tcPr>
                <w:tcW w:w="7275" w:type="dxa"/>
                <w:tcBorders>
                  <w:top w:val="nil"/>
                  <w:left w:val="nil"/>
                  <w:bottom w:val="nil"/>
                  <w:right w:val="nil"/>
                </w:tcBorders>
                <w:shd w:val="clear" w:color="auto" w:fill="auto"/>
                <w:hideMark/>
              </w:tcPr>
              <w:p>
                <w:r>
                  <w:t>Žemė</w:t>
                </w:r>
              </w:p>
            </w:tc>
            <w:tc>
              <w:tcPr>
                <w:tcW w:w="1500" w:type="dxa"/>
                <w:tcBorders>
                  <w:top w:val="nil"/>
                  <w:left w:val="nil"/>
                  <w:bottom w:val="nil"/>
                  <w:right w:val="nil"/>
                </w:tcBorders>
                <w:shd w:val="clear" w:color="auto" w:fill="auto"/>
                <w:hideMark/>
              </w:tcPr>
              <w:p>
                <w:pPr>
                  <w:ind w:firstLine="120"/>
                  <w:jc w:val="right"/>
                </w:pPr>
                <w:r>
                  <w:t>36 600</w:t>
                </w:r>
              </w:p>
            </w:tc>
          </w:tr>
          <w:tr>
            <w:trPr>
              <w:trHeight w:val="315"/>
              <w:jc w:val="center"/>
            </w:trPr>
            <w:tc>
              <w:tcPr>
                <w:tcW w:w="7275" w:type="dxa"/>
                <w:tcBorders>
                  <w:top w:val="nil"/>
                  <w:left w:val="nil"/>
                  <w:bottom w:val="nil"/>
                  <w:right w:val="nil"/>
                </w:tcBorders>
                <w:shd w:val="clear" w:color="auto" w:fill="auto"/>
                <w:hideMark/>
              </w:tcPr>
              <w:p>
                <w:r>
                  <w:t>Kitas materialusis ir nematerialusis turtas</w:t>
                </w:r>
              </w:p>
            </w:tc>
            <w:tc>
              <w:tcPr>
                <w:tcW w:w="1500" w:type="dxa"/>
                <w:tcBorders>
                  <w:top w:val="nil"/>
                  <w:left w:val="nil"/>
                  <w:bottom w:val="nil"/>
                  <w:right w:val="nil"/>
                </w:tcBorders>
                <w:shd w:val="clear" w:color="auto" w:fill="auto"/>
                <w:hideMark/>
              </w:tcPr>
              <w:p>
                <w:pPr>
                  <w:ind w:firstLine="120"/>
                  <w:jc w:val="right"/>
                </w:pPr>
                <w:r>
                  <w:t>32 001</w:t>
                </w:r>
              </w:p>
            </w:tc>
          </w:tr>
          <w:tr>
            <w:trPr>
              <w:trHeight w:val="315"/>
              <w:jc w:val="center"/>
            </w:trPr>
            <w:tc>
              <w:tcPr>
                <w:tcW w:w="7275" w:type="dxa"/>
                <w:tcBorders>
                  <w:top w:val="nil"/>
                  <w:left w:val="nil"/>
                  <w:bottom w:val="nil"/>
                  <w:right w:val="nil"/>
                </w:tcBorders>
                <w:shd w:val="clear" w:color="auto" w:fill="auto"/>
                <w:hideMark/>
              </w:tcPr>
              <w:p>
                <w:pPr>
                  <w:rPr>
                    <w:b/>
                    <w:bCs/>
                  </w:rPr>
                </w:pPr>
                <w:r>
                  <w:rPr>
                    <w:b/>
                    <w:bCs/>
                  </w:rPr>
                  <w:t>Finansinio turto pardavimo pajamos (paskolų surinkimas)</w:t>
                </w:r>
              </w:p>
            </w:tc>
            <w:tc>
              <w:tcPr>
                <w:tcW w:w="1500" w:type="dxa"/>
                <w:tcBorders>
                  <w:top w:val="nil"/>
                  <w:left w:val="nil"/>
                  <w:bottom w:val="nil"/>
                  <w:right w:val="nil"/>
                </w:tcBorders>
                <w:shd w:val="clear" w:color="auto" w:fill="auto"/>
                <w:hideMark/>
              </w:tcPr>
              <w:p>
                <w:pPr>
                  <w:ind w:firstLine="120"/>
                  <w:jc w:val="right"/>
                  <w:rPr>
                    <w:b/>
                    <w:bCs/>
                  </w:rPr>
                </w:pPr>
                <w:r>
                  <w:rPr>
                    <w:b/>
                    <w:bCs/>
                  </w:rPr>
                  <w:t>9 019</w:t>
                </w:r>
              </w:p>
            </w:tc>
          </w:tr>
          <w:tr>
            <w:trPr>
              <w:trHeight w:val="315"/>
              <w:jc w:val="center"/>
            </w:trPr>
            <w:tc>
              <w:tcPr>
                <w:tcW w:w="7275" w:type="dxa"/>
                <w:tcBorders>
                  <w:top w:val="nil"/>
                  <w:left w:val="nil"/>
                  <w:bottom w:val="nil"/>
                  <w:right w:val="nil"/>
                </w:tcBorders>
                <w:shd w:val="clear" w:color="auto" w:fill="auto"/>
                <w:hideMark/>
              </w:tcPr>
              <w:p>
                <w:r>
                  <w:t>Kitos gautinos sumos</w:t>
                </w:r>
              </w:p>
            </w:tc>
            <w:tc>
              <w:tcPr>
                <w:tcW w:w="1500" w:type="dxa"/>
                <w:tcBorders>
                  <w:top w:val="nil"/>
                  <w:left w:val="nil"/>
                  <w:bottom w:val="nil"/>
                  <w:right w:val="nil"/>
                </w:tcBorders>
                <w:shd w:val="clear" w:color="auto" w:fill="auto"/>
                <w:hideMark/>
              </w:tcPr>
              <w:p>
                <w:pPr>
                  <w:ind w:firstLine="120"/>
                  <w:jc w:val="right"/>
                </w:pPr>
                <w:r>
                  <w:t>9 019</w:t>
                </w:r>
              </w:p>
            </w:tc>
          </w:tr>
          <w:tr>
            <w:trPr>
              <w:trHeight w:val="315"/>
              <w:jc w:val="center"/>
            </w:trPr>
            <w:tc>
              <w:tcPr>
                <w:tcW w:w="7275" w:type="dxa"/>
                <w:tcBorders>
                  <w:top w:val="nil"/>
                  <w:left w:val="nil"/>
                  <w:bottom w:val="nil"/>
                  <w:right w:val="nil"/>
                </w:tcBorders>
                <w:shd w:val="clear" w:color="auto" w:fill="auto"/>
                <w:hideMark/>
              </w:tcPr>
              <w:p>
                <w:pPr>
                  <w:rPr>
                    <w:b/>
                    <w:bCs/>
                  </w:rPr>
                </w:pPr>
                <w:r>
                  <w:rPr>
                    <w:b/>
                    <w:bCs/>
                  </w:rPr>
                  <w:t>IŠ VISO</w:t>
                </w:r>
              </w:p>
            </w:tc>
            <w:tc>
              <w:tcPr>
                <w:tcW w:w="1500" w:type="dxa"/>
                <w:tcBorders>
                  <w:top w:val="nil"/>
                  <w:left w:val="nil"/>
                  <w:bottom w:val="nil"/>
                  <w:right w:val="nil"/>
                </w:tcBorders>
                <w:shd w:val="clear" w:color="auto" w:fill="auto"/>
                <w:hideMark/>
              </w:tcPr>
              <w:p>
                <w:pPr>
                  <w:ind w:firstLine="60"/>
                  <w:jc w:val="right"/>
                  <w:rPr>
                    <w:b/>
                    <w:bCs/>
                  </w:rPr>
                </w:pPr>
                <w:r>
                  <w:rPr>
                    <w:b/>
                    <w:bCs/>
                  </w:rPr>
                  <w:t>5 945 236</w:t>
                </w:r>
              </w:p>
            </w:tc>
          </w:tr>
          <w:tr>
            <w:trPr>
              <w:trHeight w:val="315"/>
              <w:jc w:val="center"/>
            </w:trPr>
            <w:tc>
              <w:tcPr>
                <w:tcW w:w="7275" w:type="dxa"/>
                <w:tcBorders>
                  <w:top w:val="nil"/>
                  <w:left w:val="nil"/>
                  <w:bottom w:val="nil"/>
                  <w:right w:val="nil"/>
                </w:tcBorders>
                <w:shd w:val="clear" w:color="auto" w:fill="auto"/>
                <w:hideMark/>
              </w:tcPr>
              <w:p>
                <w:pPr>
                  <w:rPr>
                    <w:b/>
                    <w:bCs/>
                  </w:rPr>
                </w:pPr>
              </w:p>
            </w:tc>
            <w:tc>
              <w:tcPr>
                <w:tcW w:w="1500" w:type="dxa"/>
                <w:tcBorders>
                  <w:top w:val="nil"/>
                  <w:left w:val="nil"/>
                  <w:bottom w:val="nil"/>
                  <w:right w:val="nil"/>
                </w:tcBorders>
                <w:shd w:val="clear" w:color="auto" w:fill="auto"/>
                <w:hideMark/>
              </w:tcPr>
              <w:p>
                <w:pPr>
                  <w:jc w:val="right"/>
                </w:pPr>
              </w:p>
            </w:tc>
          </w:tr>
          <w:tr>
            <w:trPr>
              <w:trHeight w:val="315"/>
              <w:jc w:val="center"/>
            </w:trPr>
            <w:tc>
              <w:tcPr>
                <w:tcW w:w="7275" w:type="dxa"/>
                <w:tcBorders>
                  <w:top w:val="nil"/>
                  <w:left w:val="nil"/>
                  <w:bottom w:val="nil"/>
                  <w:right w:val="nil"/>
                </w:tcBorders>
                <w:shd w:val="clear" w:color="auto" w:fill="auto"/>
                <w:hideMark/>
              </w:tcPr>
              <w:p>
                <w:pPr>
                  <w:rPr>
                    <w:b/>
                    <w:bCs/>
                  </w:rPr>
                </w:pPr>
                <w:r>
                  <w:rPr>
                    <w:b/>
                    <w:bCs/>
                  </w:rPr>
                  <w:t>Europos Sąjungos ir kitos tarptautinės finansinės paramos lėšos</w:t>
                </w:r>
              </w:p>
            </w:tc>
            <w:tc>
              <w:tcPr>
                <w:tcW w:w="1500" w:type="dxa"/>
                <w:tcBorders>
                  <w:top w:val="nil"/>
                  <w:left w:val="nil"/>
                  <w:bottom w:val="nil"/>
                  <w:right w:val="nil"/>
                </w:tcBorders>
                <w:shd w:val="clear" w:color="auto" w:fill="auto"/>
                <w:hideMark/>
              </w:tcPr>
              <w:p>
                <w:pPr>
                  <w:ind w:firstLine="60"/>
                  <w:jc w:val="right"/>
                  <w:rPr>
                    <w:b/>
                    <w:bCs/>
                  </w:rPr>
                </w:pPr>
                <w:r>
                  <w:rPr>
                    <w:b/>
                    <w:bCs/>
                  </w:rPr>
                  <w:t>2 101 136</w:t>
                </w:r>
              </w:p>
            </w:tc>
          </w:tr>
          <w:tr>
            <w:trPr>
              <w:trHeight w:val="315"/>
              <w:jc w:val="center"/>
            </w:trPr>
            <w:tc>
              <w:tcPr>
                <w:tcW w:w="7275" w:type="dxa"/>
                <w:tcBorders>
                  <w:top w:val="nil"/>
                  <w:left w:val="nil"/>
                  <w:bottom w:val="nil"/>
                  <w:right w:val="nil"/>
                </w:tcBorders>
                <w:shd w:val="clear" w:color="auto" w:fill="auto"/>
                <w:noWrap/>
                <w:vAlign w:val="bottom"/>
                <w:hideMark/>
              </w:tcPr>
              <w:p>
                <w:pPr>
                  <w:rPr>
                    <w:b/>
                    <w:bCs/>
                  </w:rPr>
                </w:pPr>
              </w:p>
            </w:tc>
            <w:tc>
              <w:tcPr>
                <w:tcW w:w="1500" w:type="dxa"/>
                <w:tcBorders>
                  <w:top w:val="nil"/>
                  <w:left w:val="nil"/>
                  <w:bottom w:val="nil"/>
                  <w:right w:val="nil"/>
                </w:tcBorders>
                <w:shd w:val="clear" w:color="auto" w:fill="auto"/>
                <w:hideMark/>
              </w:tcPr>
              <w:p>
                <w:pPr>
                  <w:jc w:val="right"/>
                  <w:rPr>
                    <w:b/>
                    <w:bCs/>
                  </w:rPr>
                </w:pPr>
              </w:p>
            </w:tc>
          </w:tr>
          <w:tr>
            <w:trPr>
              <w:trHeight w:val="315"/>
              <w:jc w:val="center"/>
            </w:trPr>
            <w:tc>
              <w:tcPr>
                <w:tcW w:w="7275" w:type="dxa"/>
                <w:tcBorders>
                  <w:top w:val="nil"/>
                  <w:left w:val="nil"/>
                  <w:bottom w:val="nil"/>
                  <w:right w:val="nil"/>
                </w:tcBorders>
                <w:shd w:val="clear" w:color="auto" w:fill="auto"/>
                <w:hideMark/>
              </w:tcPr>
              <w:p>
                <w:pPr>
                  <w:rPr>
                    <w:b/>
                    <w:bCs/>
                  </w:rPr>
                </w:pPr>
                <w:r>
                  <w:rPr>
                    <w:b/>
                    <w:bCs/>
                  </w:rPr>
                  <w:t>IŠ VISO</w:t>
                </w:r>
              </w:p>
            </w:tc>
            <w:tc>
              <w:tcPr>
                <w:tcW w:w="1500" w:type="dxa"/>
                <w:tcBorders>
                  <w:top w:val="nil"/>
                  <w:left w:val="nil"/>
                  <w:bottom w:val="nil"/>
                  <w:right w:val="nil"/>
                </w:tcBorders>
                <w:shd w:val="clear" w:color="auto" w:fill="auto"/>
                <w:hideMark/>
              </w:tcPr>
              <w:p>
                <w:pPr>
                  <w:ind w:firstLine="60"/>
                  <w:jc w:val="right"/>
                  <w:rPr>
                    <w:b/>
                    <w:bCs/>
                  </w:rPr>
                </w:pPr>
                <w:r>
                  <w:rPr>
                    <w:b/>
                    <w:bCs/>
                  </w:rPr>
                  <w:t>8 046 372</w:t>
                </w:r>
              </w:p>
            </w:tc>
          </w:tr>
        </w:tbl>
        <w:p/>
        <w:p/>
        <w:p>
          <w:r>
            <w:br w:type="page"/>
          </w:r>
        </w:p>
        <w:sdt>
          <w:sdtPr>
            <w:alias w:val="lentele"/>
            <w:tag w:val="part_99a8cd45e1194f20a383ed40faf9c2dc"/>
            <w:lock w:val="sdtLocked"/>
            <w:richText/>
          </w:sdtPr>
          <w:sdtContent>
            <w:p>
              <w:pPr>
                <w:jc w:val="center"/>
              </w:pPr>
              <w:sdt>
                <w:sdtPr>
                  <w:alias w:val="Pavadinimas"/>
                  <w:tag w:val="title_99a8cd45e1194f20a383ed40faf9c2dc"/>
                  <w:lock w:val="sdtLocked"/>
                  <w:richText/>
                </w:sdtPr>
                <w:sdtContent>
                  <w:r>
                    <w:rPr>
                      <w:b/>
                      <w:color w:val="000000"/>
                    </w:rPr>
                    <w:t>ASIGNAVIMAI</w:t>
                  </w:r>
                </w:sdtContent>
              </w:sdt>
            </w:p>
            <w:tbl>
              <w:tblPr>
                <w:tblW w:w="10184" w:type="dxa"/>
                <w:jc w:val="center"/>
                <w:tblCellMar>
                  <w:left w:w="28" w:type="dxa"/>
                  <w:right w:w="28" w:type="dxa"/>
                </w:tblCellMar>
                <w:tblLook w:val="04A0" w:firstRow="1" w:lastRow="0" w:firstColumn="1" w:lastColumn="0" w:noHBand="0" w:noVBand="1"/>
              </w:tblPr>
              <w:tblGrid>
                <w:gridCol w:w="5335"/>
                <w:gridCol w:w="1170"/>
                <w:gridCol w:w="1170"/>
                <w:gridCol w:w="1270"/>
                <w:gridCol w:w="1239"/>
              </w:tblGrid>
              <w:tr>
                <w:trPr>
                  <w:trHeight w:val="315"/>
                  <w:tblHeader/>
                  <w:jc w:val="center"/>
                </w:trPr>
                <w:tc>
                  <w:tcPr>
                    <w:tcW w:w="5335" w:type="dxa"/>
                    <w:tcBorders>
                      <w:top w:val="nil"/>
                      <w:left w:val="nil"/>
                      <w:bottom w:val="nil"/>
                      <w:right w:val="nil"/>
                    </w:tcBorders>
                    <w:shd w:val="clear" w:color="auto" w:fill="auto"/>
                    <w:noWrap/>
                    <w:vAlign w:val="bottom"/>
                    <w:hideMark/>
                  </w:tcPr>
                  <w:p>
                    <w:pPr>
                      <w:rPr>
                        <w:color w:val="000000"/>
                      </w:rPr>
                    </w:pPr>
                  </w:p>
                </w:tc>
                <w:tc>
                  <w:tcPr>
                    <w:tcW w:w="1170" w:type="dxa"/>
                    <w:tcBorders>
                      <w:top w:val="nil"/>
                      <w:left w:val="nil"/>
                      <w:bottom w:val="nil"/>
                      <w:right w:val="nil"/>
                    </w:tcBorders>
                    <w:shd w:val="clear" w:color="auto" w:fill="auto"/>
                    <w:noWrap/>
                    <w:vAlign w:val="bottom"/>
                    <w:hideMark/>
                  </w:tcPr>
                  <w:p>
                    <w:pPr>
                      <w:rPr>
                        <w:color w:val="000000"/>
                      </w:rPr>
                    </w:pPr>
                  </w:p>
                </w:tc>
                <w:tc>
                  <w:tcPr>
                    <w:tcW w:w="1170" w:type="dxa"/>
                    <w:tcBorders>
                      <w:top w:val="nil"/>
                      <w:left w:val="nil"/>
                      <w:bottom w:val="nil"/>
                      <w:right w:val="nil"/>
                    </w:tcBorders>
                    <w:shd w:val="clear" w:color="auto" w:fill="auto"/>
                    <w:noWrap/>
                    <w:vAlign w:val="bottom"/>
                    <w:hideMark/>
                  </w:tcPr>
                  <w:p>
                    <w:pPr>
                      <w:rPr>
                        <w:color w:val="000000"/>
                      </w:rPr>
                    </w:pPr>
                  </w:p>
                </w:tc>
                <w:tc>
                  <w:tcPr>
                    <w:tcW w:w="1270" w:type="dxa"/>
                    <w:tcBorders>
                      <w:top w:val="nil"/>
                      <w:left w:val="nil"/>
                      <w:bottom w:val="nil"/>
                      <w:right w:val="nil"/>
                    </w:tcBorders>
                    <w:shd w:val="clear" w:color="auto" w:fill="auto"/>
                    <w:noWrap/>
                    <w:vAlign w:val="bottom"/>
                    <w:hideMark/>
                  </w:tcPr>
                  <w:p>
                    <w:pPr>
                      <w:rPr>
                        <w:color w:val="000000"/>
                      </w:rPr>
                    </w:pPr>
                  </w:p>
                </w:tc>
                <w:tc>
                  <w:tcPr>
                    <w:tcW w:w="1239" w:type="dxa"/>
                    <w:tcBorders>
                      <w:top w:val="nil"/>
                      <w:left w:val="nil"/>
                      <w:bottom w:val="nil"/>
                      <w:right w:val="nil"/>
                    </w:tcBorders>
                    <w:shd w:val="clear" w:color="auto" w:fill="auto"/>
                    <w:noWrap/>
                    <w:vAlign w:val="bottom"/>
                    <w:hideMark/>
                  </w:tcPr>
                  <w:p>
                    <w:pPr>
                      <w:jc w:val="center"/>
                      <w:rPr>
                        <w:color w:val="000000"/>
                      </w:rPr>
                    </w:pPr>
                    <w:r>
                      <w:rPr>
                        <w:color w:val="000000"/>
                      </w:rPr>
                      <w:t>Tūkst. Eur</w:t>
                    </w:r>
                  </w:p>
                </w:tc>
              </w:tr>
              <w:tr>
                <w:trPr>
                  <w:trHeight w:val="315"/>
                  <w:tblHeader/>
                  <w:jc w:val="center"/>
                </w:trPr>
                <w:tc>
                  <w:tcPr>
                    <w:tcW w:w="533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color w:val="000000"/>
                      </w:rPr>
                    </w:pPr>
                    <w:r>
                      <w:rPr>
                        <w:color w:val="000000"/>
                      </w:rPr>
                      <w:t>Valstybės institucijos ir įstaigos pavadinimas</w:t>
                    </w:r>
                  </w:p>
                </w:tc>
                <w:tc>
                  <w:tcPr>
                    <w:tcW w:w="117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color w:val="000000"/>
                      </w:rPr>
                    </w:pPr>
                    <w:r>
                      <w:rPr>
                        <w:color w:val="000000"/>
                      </w:rPr>
                      <w:t>Iš viso</w:t>
                    </w:r>
                  </w:p>
                </w:tc>
                <w:tc>
                  <w:tcPr>
                    <w:tcW w:w="3679" w:type="dxa"/>
                    <w:gridSpan w:val="3"/>
                    <w:tcBorders>
                      <w:top w:val="single" w:sz="4" w:space="0" w:color="auto"/>
                      <w:left w:val="nil"/>
                      <w:bottom w:val="single" w:sz="4" w:space="0" w:color="auto"/>
                      <w:right w:val="single" w:sz="4" w:space="0" w:color="auto"/>
                    </w:tcBorders>
                    <w:shd w:val="clear" w:color="auto" w:fill="auto"/>
                    <w:vAlign w:val="center"/>
                    <w:hideMark/>
                  </w:tcPr>
                  <w:p>
                    <w:pPr>
                      <w:jc w:val="center"/>
                      <w:rPr>
                        <w:color w:val="000000"/>
                      </w:rPr>
                    </w:pPr>
                    <w:r>
                      <w:rPr>
                        <w:color w:val="000000"/>
                      </w:rPr>
                      <w:t>iš jų:</w:t>
                    </w:r>
                  </w:p>
                </w:tc>
              </w:tr>
              <w:tr>
                <w:trPr>
                  <w:trHeight w:val="315"/>
                  <w:tblHeader/>
                  <w:jc w:val="center"/>
                </w:trPr>
                <w:tc>
                  <w:tcPr>
                    <w:tcW w:w="5335" w:type="dxa"/>
                    <w:vMerge/>
                    <w:tcBorders>
                      <w:top w:val="single" w:sz="4" w:space="0" w:color="auto"/>
                      <w:left w:val="single" w:sz="4" w:space="0" w:color="auto"/>
                      <w:bottom w:val="single" w:sz="4" w:space="0" w:color="auto"/>
                      <w:right w:val="single" w:sz="4" w:space="0" w:color="auto"/>
                    </w:tcBorders>
                    <w:vAlign w:val="center"/>
                    <w:hideMark/>
                  </w:tcPr>
                  <w:p>
                    <w:pPr>
                      <w:rPr>
                        <w:color w:val="000000"/>
                      </w:rPr>
                    </w:pPr>
                  </w:p>
                </w:tc>
                <w:tc>
                  <w:tcPr>
                    <w:tcW w:w="1170" w:type="dxa"/>
                    <w:vMerge/>
                    <w:tcBorders>
                      <w:top w:val="single" w:sz="4" w:space="0" w:color="auto"/>
                      <w:left w:val="single" w:sz="4" w:space="0" w:color="auto"/>
                      <w:bottom w:val="single" w:sz="4" w:space="0" w:color="auto"/>
                      <w:right w:val="single" w:sz="4" w:space="0" w:color="auto"/>
                    </w:tcBorders>
                    <w:vAlign w:val="center"/>
                    <w:hideMark/>
                  </w:tcPr>
                  <w:p>
                    <w:pPr>
                      <w:rPr>
                        <w:color w:val="000000"/>
                      </w:rPr>
                    </w:pPr>
                  </w:p>
                </w:tc>
                <w:tc>
                  <w:tcPr>
                    <w:tcW w:w="2440" w:type="dxa"/>
                    <w:gridSpan w:val="2"/>
                    <w:tcBorders>
                      <w:top w:val="single" w:sz="4" w:space="0" w:color="auto"/>
                      <w:left w:val="nil"/>
                      <w:bottom w:val="single" w:sz="4" w:space="0" w:color="auto"/>
                      <w:right w:val="single" w:sz="4" w:space="0" w:color="auto"/>
                    </w:tcBorders>
                    <w:shd w:val="clear" w:color="auto" w:fill="auto"/>
                    <w:vAlign w:val="center"/>
                    <w:hideMark/>
                  </w:tcPr>
                  <w:p>
                    <w:pPr>
                      <w:jc w:val="center"/>
                      <w:rPr>
                        <w:color w:val="000000"/>
                      </w:rPr>
                    </w:pPr>
                    <w:r>
                      <w:rPr>
                        <w:color w:val="000000"/>
                      </w:rPr>
                      <w:t>asignavimai išlaidoms</w:t>
                    </w:r>
                  </w:p>
                </w:tc>
                <w:tc>
                  <w:tcPr>
                    <w:tcW w:w="1239" w:type="dxa"/>
                    <w:vMerge w:val="restart"/>
                    <w:tcBorders>
                      <w:top w:val="nil"/>
                      <w:left w:val="single" w:sz="4" w:space="0" w:color="auto"/>
                      <w:bottom w:val="single" w:sz="4" w:space="0" w:color="auto"/>
                      <w:right w:val="single" w:sz="4" w:space="0" w:color="auto"/>
                    </w:tcBorders>
                    <w:shd w:val="clear" w:color="auto" w:fill="auto"/>
                    <w:vAlign w:val="center"/>
                    <w:hideMark/>
                  </w:tcPr>
                  <w:p>
                    <w:pPr>
                      <w:jc w:val="center"/>
                      <w:rPr>
                        <w:color w:val="000000"/>
                      </w:rPr>
                    </w:pPr>
                    <w:r>
                      <w:rPr>
                        <w:color w:val="000000"/>
                      </w:rPr>
                      <w:t>asignavimai turtui įsigyti</w:t>
                    </w:r>
                  </w:p>
                </w:tc>
              </w:tr>
              <w:tr>
                <w:trPr>
                  <w:trHeight w:val="315"/>
                  <w:tblHeader/>
                  <w:jc w:val="center"/>
                </w:trPr>
                <w:tc>
                  <w:tcPr>
                    <w:tcW w:w="5335" w:type="dxa"/>
                    <w:vMerge/>
                    <w:tcBorders>
                      <w:top w:val="single" w:sz="4" w:space="0" w:color="auto"/>
                      <w:left w:val="single" w:sz="4" w:space="0" w:color="auto"/>
                      <w:bottom w:val="single" w:sz="4" w:space="0" w:color="auto"/>
                      <w:right w:val="single" w:sz="4" w:space="0" w:color="auto"/>
                    </w:tcBorders>
                    <w:vAlign w:val="center"/>
                    <w:hideMark/>
                  </w:tcPr>
                  <w:p>
                    <w:pPr>
                      <w:rPr>
                        <w:color w:val="000000"/>
                      </w:rPr>
                    </w:pPr>
                  </w:p>
                </w:tc>
                <w:tc>
                  <w:tcPr>
                    <w:tcW w:w="1170" w:type="dxa"/>
                    <w:vMerge/>
                    <w:tcBorders>
                      <w:top w:val="single" w:sz="4" w:space="0" w:color="auto"/>
                      <w:left w:val="single" w:sz="4" w:space="0" w:color="auto"/>
                      <w:bottom w:val="single" w:sz="4" w:space="0" w:color="auto"/>
                      <w:right w:val="single" w:sz="4" w:space="0" w:color="auto"/>
                    </w:tcBorders>
                    <w:vAlign w:val="center"/>
                    <w:hideMark/>
                  </w:tcPr>
                  <w:p>
                    <w:pPr>
                      <w:rPr>
                        <w:color w:val="000000"/>
                      </w:rPr>
                    </w:pPr>
                  </w:p>
                </w:tc>
                <w:tc>
                  <w:tcPr>
                    <w:tcW w:w="1170" w:type="dxa"/>
                    <w:vMerge w:val="restart"/>
                    <w:tcBorders>
                      <w:top w:val="nil"/>
                      <w:left w:val="single" w:sz="4" w:space="0" w:color="auto"/>
                      <w:bottom w:val="single" w:sz="4" w:space="0" w:color="auto"/>
                      <w:right w:val="single" w:sz="4" w:space="0" w:color="auto"/>
                    </w:tcBorders>
                    <w:shd w:val="clear" w:color="auto" w:fill="auto"/>
                    <w:vAlign w:val="center"/>
                    <w:hideMark/>
                  </w:tcPr>
                  <w:p>
                    <w:pPr>
                      <w:jc w:val="center"/>
                      <w:rPr>
                        <w:color w:val="000000"/>
                      </w:rPr>
                    </w:pPr>
                    <w:r>
                      <w:rPr>
                        <w:color w:val="000000"/>
                      </w:rPr>
                      <w:t>iš viso</w:t>
                    </w:r>
                  </w:p>
                </w:tc>
                <w:tc>
                  <w:tcPr>
                    <w:tcW w:w="1270" w:type="dxa"/>
                    <w:vMerge w:val="restart"/>
                    <w:tcBorders>
                      <w:top w:val="nil"/>
                      <w:left w:val="single" w:sz="4" w:space="0" w:color="auto"/>
                      <w:bottom w:val="single" w:sz="4" w:space="0" w:color="auto"/>
                      <w:right w:val="single" w:sz="4" w:space="0" w:color="auto"/>
                    </w:tcBorders>
                    <w:shd w:val="clear" w:color="auto" w:fill="auto"/>
                    <w:vAlign w:val="center"/>
                    <w:hideMark/>
                  </w:tcPr>
                  <w:p>
                    <w:pPr>
                      <w:jc w:val="center"/>
                      <w:rPr>
                        <w:color w:val="000000"/>
                      </w:rPr>
                    </w:pPr>
                    <w:r>
                      <w:rPr>
                        <w:color w:val="000000"/>
                      </w:rPr>
                      <w:t>iš jų darbo užmokesčiui</w:t>
                    </w:r>
                  </w:p>
                </w:tc>
                <w:tc>
                  <w:tcPr>
                    <w:tcW w:w="1239" w:type="dxa"/>
                    <w:vMerge/>
                    <w:tcBorders>
                      <w:top w:val="nil"/>
                      <w:left w:val="single" w:sz="4" w:space="0" w:color="auto"/>
                      <w:bottom w:val="single" w:sz="4" w:space="0" w:color="auto"/>
                      <w:right w:val="single" w:sz="4" w:space="0" w:color="auto"/>
                    </w:tcBorders>
                    <w:vAlign w:val="center"/>
                    <w:hideMark/>
                  </w:tcPr>
                  <w:p>
                    <w:pPr>
                      <w:rPr>
                        <w:color w:val="000000"/>
                      </w:rPr>
                    </w:pPr>
                  </w:p>
                </w:tc>
              </w:tr>
              <w:tr>
                <w:trPr>
                  <w:trHeight w:val="315"/>
                  <w:tblHeader/>
                  <w:jc w:val="center"/>
                </w:trPr>
                <w:tc>
                  <w:tcPr>
                    <w:tcW w:w="5335" w:type="dxa"/>
                    <w:vMerge/>
                    <w:tcBorders>
                      <w:top w:val="single" w:sz="4" w:space="0" w:color="auto"/>
                      <w:left w:val="single" w:sz="4" w:space="0" w:color="auto"/>
                      <w:bottom w:val="single" w:sz="4" w:space="0" w:color="auto"/>
                      <w:right w:val="single" w:sz="4" w:space="0" w:color="auto"/>
                    </w:tcBorders>
                    <w:vAlign w:val="center"/>
                    <w:hideMark/>
                  </w:tcPr>
                  <w:p>
                    <w:pPr>
                      <w:rPr>
                        <w:color w:val="000000"/>
                      </w:rPr>
                    </w:pPr>
                  </w:p>
                </w:tc>
                <w:tc>
                  <w:tcPr>
                    <w:tcW w:w="1170" w:type="dxa"/>
                    <w:vMerge/>
                    <w:tcBorders>
                      <w:top w:val="single" w:sz="4" w:space="0" w:color="auto"/>
                      <w:left w:val="single" w:sz="4" w:space="0" w:color="auto"/>
                      <w:bottom w:val="single" w:sz="4" w:space="0" w:color="auto"/>
                      <w:right w:val="single" w:sz="4" w:space="0" w:color="auto"/>
                    </w:tcBorders>
                    <w:vAlign w:val="center"/>
                    <w:hideMark/>
                  </w:tcPr>
                  <w:p>
                    <w:pPr>
                      <w:rPr>
                        <w:color w:val="000000"/>
                      </w:rPr>
                    </w:pPr>
                  </w:p>
                </w:tc>
                <w:tc>
                  <w:tcPr>
                    <w:tcW w:w="1170" w:type="dxa"/>
                    <w:vMerge/>
                    <w:tcBorders>
                      <w:top w:val="nil"/>
                      <w:left w:val="single" w:sz="4" w:space="0" w:color="auto"/>
                      <w:bottom w:val="single" w:sz="4" w:space="0" w:color="auto"/>
                      <w:right w:val="single" w:sz="4" w:space="0" w:color="auto"/>
                    </w:tcBorders>
                    <w:vAlign w:val="center"/>
                    <w:hideMark/>
                  </w:tcPr>
                  <w:p>
                    <w:pPr>
                      <w:rPr>
                        <w:color w:val="000000"/>
                      </w:rPr>
                    </w:pPr>
                  </w:p>
                </w:tc>
                <w:tc>
                  <w:tcPr>
                    <w:tcW w:w="1270" w:type="dxa"/>
                    <w:vMerge/>
                    <w:tcBorders>
                      <w:top w:val="nil"/>
                      <w:left w:val="single" w:sz="4" w:space="0" w:color="auto"/>
                      <w:bottom w:val="single" w:sz="4" w:space="0" w:color="auto"/>
                      <w:right w:val="single" w:sz="4" w:space="0" w:color="auto"/>
                    </w:tcBorders>
                    <w:vAlign w:val="center"/>
                    <w:hideMark/>
                  </w:tcPr>
                  <w:p>
                    <w:pPr>
                      <w:rPr>
                        <w:color w:val="000000"/>
                      </w:rPr>
                    </w:pPr>
                  </w:p>
                </w:tc>
                <w:tc>
                  <w:tcPr>
                    <w:tcW w:w="1239" w:type="dxa"/>
                    <w:vMerge/>
                    <w:tcBorders>
                      <w:top w:val="nil"/>
                      <w:left w:val="single" w:sz="4" w:space="0" w:color="auto"/>
                      <w:bottom w:val="single" w:sz="4" w:space="0" w:color="auto"/>
                      <w:right w:val="single" w:sz="4" w:space="0" w:color="auto"/>
                    </w:tcBorders>
                    <w:vAlign w:val="center"/>
                    <w:hideMark/>
                  </w:tcPr>
                  <w:p>
                    <w:pPr>
                      <w:rPr>
                        <w:color w:val="000000"/>
                      </w:rPr>
                    </w:pPr>
                  </w:p>
                </w:tc>
              </w:tr>
              <w:tr>
                <w:trPr>
                  <w:trHeight w:val="315"/>
                  <w:jc w:val="center"/>
                </w:trPr>
                <w:tc>
                  <w:tcPr>
                    <w:tcW w:w="10184" w:type="dxa"/>
                    <w:gridSpan w:val="5"/>
                    <w:tcBorders>
                      <w:top w:val="single" w:sz="4" w:space="0" w:color="auto"/>
                      <w:left w:val="nil"/>
                      <w:bottom w:val="nil"/>
                      <w:right w:val="nil"/>
                    </w:tcBorders>
                    <w:shd w:val="clear" w:color="auto" w:fill="auto"/>
                    <w:noWrap/>
                    <w:vAlign w:val="bottom"/>
                    <w:hideMark/>
                  </w:tcPr>
                  <w:p>
                    <w:pPr>
                      <w:rPr>
                        <w:b/>
                        <w:bCs/>
                        <w:color w:val="000000"/>
                      </w:rPr>
                    </w:pPr>
                    <w:r>
                      <w:rPr>
                        <w:b/>
                        <w:bCs/>
                        <w:color w:val="000000"/>
                      </w:rPr>
                      <w:t>I. RESPUBLIKOS PREZIDENTUI, SEIMUI, VYRIAUSYBEI ATSKAITINGOS INSTITUCIJOS</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Lietuvos Respublikos Prezidento kanceliarija</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5 244</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4 630</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2 551</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614</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Lietuvos Respublikos Seimo kanceliarija</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30 666</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30 389</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18 029</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277</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Lietuvos Respublikos vyriausioji rinkimų komisija</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13 768</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13 768</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495</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r>
              <w:tr>
                <w:trPr>
                  <w:trHeight w:val="315"/>
                  <w:jc w:val="center"/>
                </w:trPr>
                <w:tc>
                  <w:tcPr>
                    <w:tcW w:w="5335" w:type="dxa"/>
                    <w:tcBorders>
                      <w:top w:val="nil"/>
                      <w:left w:val="nil"/>
                      <w:bottom w:val="nil"/>
                      <w:right w:val="nil"/>
                    </w:tcBorders>
                    <w:shd w:val="clear" w:color="auto" w:fill="auto"/>
                    <w:vAlign w:val="bottom"/>
                    <w:hideMark/>
                  </w:tcPr>
                  <w:p>
                    <w:pPr>
                      <w:ind w:firstLine="454"/>
                      <w:rPr>
                        <w:color w:val="000000"/>
                      </w:rPr>
                    </w:pPr>
                    <w:r>
                      <w:rPr>
                        <w:color w:val="000000"/>
                      </w:rPr>
                      <w:t>iš jų: asignavimai politinėms partijoms</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5 502</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5 502</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Lietuvos Respublikos Seimo kontrolierių įstaiga</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1 050</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1 040</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683</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10</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Lietuvos Respublikos valstybės kontrolė</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9 387</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9 294</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6 114</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93</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Valstybinė lietuvių kalbos komisija</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786</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786</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220</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Lietuvos Respublikos konkurencijos taryba</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1 696</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1 696</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1 103</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r>
              <w:tr>
                <w:trPr>
                  <w:trHeight w:val="630"/>
                  <w:jc w:val="center"/>
                </w:trPr>
                <w:tc>
                  <w:tcPr>
                    <w:tcW w:w="5335" w:type="dxa"/>
                    <w:tcBorders>
                      <w:top w:val="nil"/>
                      <w:left w:val="nil"/>
                      <w:bottom w:val="nil"/>
                      <w:right w:val="nil"/>
                    </w:tcBorders>
                    <w:shd w:val="clear" w:color="auto" w:fill="auto"/>
                    <w:vAlign w:val="bottom"/>
                    <w:hideMark/>
                  </w:tcPr>
                  <w:p>
                    <w:pPr>
                      <w:rPr>
                        <w:color w:val="000000"/>
                      </w:rPr>
                    </w:pPr>
                    <w:r>
                      <w:rPr>
                        <w:color w:val="000000"/>
                      </w:rPr>
                      <w:t>Lietuvos Respublikos akademinės etikos ir procedūrų kontrolieriaus tarnyba</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169</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169</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111</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Vyriausioji tarnybinės etikos komisija</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578</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569</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396</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9</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Žurnalistų etikos inspektoriaus tarnyba</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342</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342</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225</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Lietuvos radijo ir televizijos komisija</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724</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701</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464</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23</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Nacionalinė sveikatos taryba</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60</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60</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43</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Vaiko teisių apsaugos kontrolieriaus įstaiga</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487</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487</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312</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Lygių galimybių kontrolieriaus tarnyba</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453</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453</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223</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Lietuvos Respublikos valstybinė kultūros paveldo komisija</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269</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269</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184</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Lietuvos Respublikos Vyriausybės kanceliarija</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13 028</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11 254</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4 202</w:t>
                    </w:r>
                  </w:p>
                </w:tc>
                <w:tc>
                  <w:tcPr>
                    <w:tcW w:w="1239" w:type="dxa"/>
                    <w:tcBorders>
                      <w:top w:val="nil"/>
                      <w:left w:val="nil"/>
                      <w:bottom w:val="nil"/>
                      <w:right w:val="nil"/>
                    </w:tcBorders>
                    <w:shd w:val="clear" w:color="auto" w:fill="auto"/>
                    <w:noWrap/>
                    <w:vAlign w:val="bottom"/>
                    <w:hideMark/>
                  </w:tcPr>
                  <w:p>
                    <w:pPr>
                      <w:ind w:firstLine="60"/>
                      <w:jc w:val="right"/>
                      <w:rPr>
                        <w:color w:val="000000"/>
                      </w:rPr>
                    </w:pPr>
                    <w:r>
                      <w:rPr>
                        <w:color w:val="000000"/>
                      </w:rPr>
                      <w:t>1 774</w:t>
                    </w:r>
                  </w:p>
                </w:tc>
              </w:tr>
              <w:tr>
                <w:trPr>
                  <w:trHeight w:val="315"/>
                  <w:jc w:val="center"/>
                </w:trPr>
                <w:tc>
                  <w:tcPr>
                    <w:tcW w:w="5335" w:type="dxa"/>
                    <w:tcBorders>
                      <w:top w:val="nil"/>
                      <w:left w:val="nil"/>
                      <w:bottom w:val="nil"/>
                      <w:right w:val="nil"/>
                    </w:tcBorders>
                    <w:shd w:val="clear" w:color="auto" w:fill="auto"/>
                    <w:vAlign w:val="bottom"/>
                    <w:hideMark/>
                  </w:tcPr>
                  <w:p>
                    <w:pPr>
                      <w:ind w:firstLine="454"/>
                      <w:rPr>
                        <w:color w:val="000000"/>
                      </w:rPr>
                    </w:pPr>
                    <w:r>
                      <w:rPr>
                        <w:color w:val="000000"/>
                      </w:rPr>
                      <w:t>iš jų: kompensacijai už Lietuvos žydų religinių</w:t>
                    </w:r>
                  </w:p>
                  <w:p>
                    <w:pPr>
                      <w:ind w:firstLine="454"/>
                      <w:rPr>
                        <w:color w:val="000000"/>
                      </w:rPr>
                    </w:pPr>
                    <w:r>
                      <w:rPr>
                        <w:color w:val="000000"/>
                      </w:rPr>
                      <w:t>bendruomenių nekilnojamąjį turtą</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3 620</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3 620</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Valstybinė kainų ir energetikos kontrolės komisija</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3 231</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3 208</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1 631</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23</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Valstybinė atominės energetikos saugos inspekcija</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1 814</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1 764</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1 202</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50</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Etninės kultūros globos taryba</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185</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183</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100</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2</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Viešųjų pirkimų tarnyba</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1 922</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1 810</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1 234</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112</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Lietuvos Respublikos valstybės saugumo departamentas</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24 609</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19 298</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12 725</w:t>
                    </w:r>
                  </w:p>
                </w:tc>
                <w:tc>
                  <w:tcPr>
                    <w:tcW w:w="1239" w:type="dxa"/>
                    <w:tcBorders>
                      <w:top w:val="nil"/>
                      <w:left w:val="nil"/>
                      <w:bottom w:val="nil"/>
                      <w:right w:val="nil"/>
                    </w:tcBorders>
                    <w:shd w:val="clear" w:color="auto" w:fill="auto"/>
                    <w:noWrap/>
                    <w:vAlign w:val="bottom"/>
                    <w:hideMark/>
                  </w:tcPr>
                  <w:p>
                    <w:pPr>
                      <w:ind w:firstLine="60"/>
                      <w:jc w:val="right"/>
                      <w:rPr>
                        <w:color w:val="000000"/>
                      </w:rPr>
                    </w:pPr>
                    <w:r>
                      <w:rPr>
                        <w:color w:val="000000"/>
                      </w:rPr>
                      <w:t>5 311</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Lietuvos Respublikos specialiųjų tyrimų tarnyba</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7 310</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6 571</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4 456</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739</w:t>
                    </w:r>
                  </w:p>
                </w:tc>
              </w:tr>
              <w:tr>
                <w:trPr>
                  <w:trHeight w:val="315"/>
                  <w:jc w:val="center"/>
                </w:trPr>
                <w:tc>
                  <w:tcPr>
                    <w:tcW w:w="10184" w:type="dxa"/>
                    <w:gridSpan w:val="5"/>
                    <w:tcBorders>
                      <w:top w:val="nil"/>
                      <w:left w:val="nil"/>
                      <w:bottom w:val="nil"/>
                      <w:right w:val="nil"/>
                    </w:tcBorders>
                    <w:shd w:val="clear" w:color="auto" w:fill="auto"/>
                    <w:noWrap/>
                    <w:vAlign w:val="bottom"/>
                    <w:hideMark/>
                  </w:tcPr>
                  <w:p>
                    <w:pPr>
                      <w:rPr>
                        <w:b/>
                        <w:bCs/>
                        <w:color w:val="000000"/>
                      </w:rPr>
                    </w:pPr>
                    <w:r>
                      <w:rPr>
                        <w:b/>
                        <w:bCs/>
                        <w:color w:val="000000"/>
                      </w:rPr>
                      <w:t>II. MINISTERIJOS</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Aplinkos ministerija</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267 479</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265 347</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27 493</w:t>
                    </w:r>
                  </w:p>
                </w:tc>
                <w:tc>
                  <w:tcPr>
                    <w:tcW w:w="1239" w:type="dxa"/>
                    <w:tcBorders>
                      <w:top w:val="nil"/>
                      <w:left w:val="nil"/>
                      <w:bottom w:val="nil"/>
                      <w:right w:val="nil"/>
                    </w:tcBorders>
                    <w:shd w:val="clear" w:color="auto" w:fill="auto"/>
                    <w:noWrap/>
                    <w:vAlign w:val="bottom"/>
                    <w:hideMark/>
                  </w:tcPr>
                  <w:p>
                    <w:pPr>
                      <w:ind w:firstLine="60"/>
                      <w:jc w:val="right"/>
                      <w:rPr>
                        <w:color w:val="000000"/>
                      </w:rPr>
                    </w:pPr>
                    <w:r>
                      <w:rPr>
                        <w:color w:val="000000"/>
                      </w:rPr>
                      <w:t>2 132</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Energetikos ministerija</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263 626</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263 578</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1 478</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48</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Finansų ministerija</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1 440 861</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1 361 643</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81 067</w:t>
                    </w:r>
                  </w:p>
                </w:tc>
                <w:tc>
                  <w:tcPr>
                    <w:tcW w:w="1239" w:type="dxa"/>
                    <w:tcBorders>
                      <w:top w:val="nil"/>
                      <w:left w:val="nil"/>
                      <w:bottom w:val="nil"/>
                      <w:right w:val="nil"/>
                    </w:tcBorders>
                    <w:shd w:val="clear" w:color="auto" w:fill="auto"/>
                    <w:noWrap/>
                    <w:vAlign w:val="bottom"/>
                    <w:hideMark/>
                  </w:tcPr>
                  <w:p>
                    <w:pPr>
                      <w:ind w:firstLine="60"/>
                      <w:jc w:val="right"/>
                      <w:rPr>
                        <w:color w:val="000000"/>
                      </w:rPr>
                    </w:pPr>
                    <w:r>
                      <w:rPr>
                        <w:color w:val="000000"/>
                      </w:rPr>
                      <w:t>79 218</w:t>
                    </w:r>
                  </w:p>
                </w:tc>
              </w:tr>
              <w:tr>
                <w:trPr>
                  <w:trHeight w:val="315"/>
                  <w:jc w:val="center"/>
                </w:trPr>
                <w:tc>
                  <w:tcPr>
                    <w:tcW w:w="5335" w:type="dxa"/>
                    <w:tcBorders>
                      <w:top w:val="nil"/>
                      <w:left w:val="nil"/>
                      <w:bottom w:val="nil"/>
                      <w:right w:val="nil"/>
                    </w:tcBorders>
                    <w:shd w:val="clear" w:color="auto" w:fill="auto"/>
                    <w:vAlign w:val="bottom"/>
                  </w:tcPr>
                  <w:p>
                    <w:pPr>
                      <w:ind w:firstLine="454"/>
                      <w:rPr>
                        <w:color w:val="000000"/>
                      </w:rPr>
                    </w:pPr>
                    <w:r>
                      <w:rPr>
                        <w:color w:val="000000"/>
                      </w:rPr>
                      <w:t>iš jų:</w:t>
                    </w:r>
                  </w:p>
                </w:tc>
                <w:tc>
                  <w:tcPr>
                    <w:tcW w:w="1170" w:type="dxa"/>
                    <w:tcBorders>
                      <w:top w:val="nil"/>
                      <w:left w:val="nil"/>
                      <w:bottom w:val="nil"/>
                      <w:right w:val="nil"/>
                    </w:tcBorders>
                    <w:shd w:val="clear" w:color="auto" w:fill="auto"/>
                    <w:noWrap/>
                    <w:vAlign w:val="bottom"/>
                  </w:tcPr>
                  <w:p>
                    <w:pPr>
                      <w:jc w:val="right"/>
                      <w:rPr>
                        <w:color w:val="000000"/>
                      </w:rPr>
                    </w:pPr>
                  </w:p>
                </w:tc>
                <w:tc>
                  <w:tcPr>
                    <w:tcW w:w="1170" w:type="dxa"/>
                    <w:tcBorders>
                      <w:top w:val="nil"/>
                      <w:left w:val="nil"/>
                      <w:bottom w:val="nil"/>
                      <w:right w:val="nil"/>
                    </w:tcBorders>
                    <w:shd w:val="clear" w:color="auto" w:fill="auto"/>
                    <w:noWrap/>
                    <w:vAlign w:val="bottom"/>
                  </w:tcPr>
                  <w:p>
                    <w:pPr>
                      <w:jc w:val="right"/>
                      <w:rPr>
                        <w:color w:val="000000"/>
                      </w:rPr>
                    </w:pPr>
                  </w:p>
                </w:tc>
                <w:tc>
                  <w:tcPr>
                    <w:tcW w:w="1270" w:type="dxa"/>
                    <w:tcBorders>
                      <w:top w:val="nil"/>
                      <w:left w:val="nil"/>
                      <w:bottom w:val="nil"/>
                      <w:right w:val="nil"/>
                    </w:tcBorders>
                    <w:shd w:val="clear" w:color="auto" w:fill="auto"/>
                    <w:noWrap/>
                    <w:vAlign w:val="bottom"/>
                  </w:tcPr>
                  <w:p>
                    <w:pPr>
                      <w:jc w:val="right"/>
                      <w:rPr>
                        <w:color w:val="000000"/>
                      </w:rPr>
                    </w:pPr>
                  </w:p>
                </w:tc>
                <w:tc>
                  <w:tcPr>
                    <w:tcW w:w="1239" w:type="dxa"/>
                    <w:tcBorders>
                      <w:top w:val="nil"/>
                      <w:left w:val="nil"/>
                      <w:bottom w:val="nil"/>
                      <w:right w:val="nil"/>
                    </w:tcBorders>
                    <w:shd w:val="clear" w:color="auto" w:fill="auto"/>
                    <w:noWrap/>
                    <w:vAlign w:val="bottom"/>
                  </w:tcPr>
                  <w:p>
                    <w:pPr>
                      <w:jc w:val="right"/>
                      <w:rPr>
                        <w:color w:val="000000"/>
                      </w:rPr>
                    </w:pPr>
                  </w:p>
                </w:tc>
              </w:tr>
              <w:tr>
                <w:trPr>
                  <w:trHeight w:val="315"/>
                  <w:jc w:val="center"/>
                </w:trPr>
                <w:tc>
                  <w:tcPr>
                    <w:tcW w:w="5335" w:type="dxa"/>
                    <w:tcBorders>
                      <w:top w:val="nil"/>
                      <w:left w:val="nil"/>
                      <w:bottom w:val="nil"/>
                      <w:right w:val="nil"/>
                    </w:tcBorders>
                    <w:shd w:val="clear" w:color="auto" w:fill="auto"/>
                    <w:vAlign w:val="bottom"/>
                    <w:hideMark/>
                  </w:tcPr>
                  <w:p>
                    <w:pPr>
                      <w:ind w:firstLine="454"/>
                      <w:rPr>
                        <w:color w:val="000000"/>
                      </w:rPr>
                    </w:pPr>
                    <w:r>
                      <w:rPr>
                        <w:color w:val="000000"/>
                      </w:rPr>
                      <w:t>Lietuvos Respublikos įnašas į Europos</w:t>
                    </w:r>
                  </w:p>
                  <w:p>
                    <w:pPr>
                      <w:ind w:firstLine="454"/>
                      <w:rPr>
                        <w:color w:val="000000"/>
                      </w:rPr>
                    </w:pPr>
                    <w:r>
                      <w:rPr>
                        <w:color w:val="000000"/>
                      </w:rPr>
                      <w:t>stabilumo mechanizmą</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65 440</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c>
                  <w:tcPr>
                    <w:tcW w:w="1239" w:type="dxa"/>
                    <w:tcBorders>
                      <w:top w:val="nil"/>
                      <w:left w:val="nil"/>
                      <w:bottom w:val="nil"/>
                      <w:right w:val="nil"/>
                    </w:tcBorders>
                    <w:shd w:val="clear" w:color="auto" w:fill="auto"/>
                    <w:noWrap/>
                    <w:vAlign w:val="bottom"/>
                    <w:hideMark/>
                  </w:tcPr>
                  <w:p>
                    <w:pPr>
                      <w:ind w:firstLine="60"/>
                      <w:jc w:val="right"/>
                      <w:rPr>
                        <w:color w:val="000000"/>
                      </w:rPr>
                    </w:pPr>
                    <w:r>
                      <w:rPr>
                        <w:color w:val="000000"/>
                      </w:rPr>
                      <w:t>65 440</w:t>
                    </w:r>
                  </w:p>
                </w:tc>
              </w:tr>
              <w:tr>
                <w:trPr>
                  <w:trHeight w:val="315"/>
                  <w:jc w:val="center"/>
                </w:trPr>
                <w:tc>
                  <w:tcPr>
                    <w:tcW w:w="5335" w:type="dxa"/>
                    <w:tcBorders>
                      <w:top w:val="nil"/>
                      <w:left w:val="nil"/>
                      <w:bottom w:val="nil"/>
                      <w:right w:val="nil"/>
                    </w:tcBorders>
                    <w:shd w:val="clear" w:color="auto" w:fill="auto"/>
                    <w:vAlign w:val="bottom"/>
                    <w:hideMark/>
                  </w:tcPr>
                  <w:p>
                    <w:pPr>
                      <w:ind w:firstLine="454"/>
                      <w:rPr>
                        <w:color w:val="000000"/>
                      </w:rPr>
                    </w:pPr>
                    <w:r>
                      <w:rPr>
                        <w:color w:val="000000"/>
                      </w:rPr>
                      <w:t>Rezerviniam (stabilizavimo) fondui sudaryti</w:t>
                    </w:r>
                  </w:p>
                </w:tc>
                <w:tc>
                  <w:tcPr>
                    <w:tcW w:w="1170" w:type="dxa"/>
                    <w:tcBorders>
                      <w:top w:val="nil"/>
                      <w:left w:val="nil"/>
                      <w:bottom w:val="nil"/>
                      <w:right w:val="nil"/>
                    </w:tcBorders>
                    <w:shd w:val="clear" w:color="auto" w:fill="auto"/>
                    <w:noWrap/>
                    <w:vAlign w:val="bottom"/>
                  </w:tcPr>
                  <w:p>
                    <w:pPr>
                      <w:ind w:firstLine="60"/>
                      <w:jc w:val="right"/>
                      <w:rPr>
                        <w:color w:val="000000"/>
                      </w:rPr>
                    </w:pPr>
                    <w:r>
                      <w:rPr>
                        <w:color w:val="000000"/>
                      </w:rPr>
                      <w:t>63 652</w:t>
                    </w:r>
                  </w:p>
                </w:tc>
                <w:tc>
                  <w:tcPr>
                    <w:tcW w:w="1170" w:type="dxa"/>
                    <w:tcBorders>
                      <w:top w:val="nil"/>
                      <w:left w:val="nil"/>
                      <w:bottom w:val="nil"/>
                      <w:right w:val="nil"/>
                    </w:tcBorders>
                    <w:shd w:val="clear" w:color="auto" w:fill="auto"/>
                    <w:noWrap/>
                    <w:vAlign w:val="bottom"/>
                  </w:tcPr>
                  <w:p>
                    <w:pPr>
                      <w:ind w:firstLine="60"/>
                      <w:jc w:val="right"/>
                      <w:rPr>
                        <w:color w:val="000000"/>
                      </w:rPr>
                    </w:pPr>
                    <w:r>
                      <w:rPr>
                        <w:color w:val="000000"/>
                      </w:rPr>
                      <w:t>63 652</w:t>
                    </w:r>
                  </w:p>
                </w:tc>
                <w:tc>
                  <w:tcPr>
                    <w:tcW w:w="1270" w:type="dxa"/>
                    <w:tcBorders>
                      <w:top w:val="nil"/>
                      <w:left w:val="nil"/>
                      <w:bottom w:val="nil"/>
                      <w:right w:val="nil"/>
                    </w:tcBorders>
                    <w:shd w:val="clear" w:color="auto" w:fill="auto"/>
                    <w:noWrap/>
                    <w:vAlign w:val="bottom"/>
                  </w:tcPr>
                  <w:p>
                    <w:pPr>
                      <w:ind w:firstLine="120"/>
                      <w:jc w:val="right"/>
                      <w:rPr>
                        <w:color w:val="000000"/>
                      </w:rPr>
                    </w:pPr>
                    <w:r>
                      <w:rPr>
                        <w:color w:val="000000"/>
                      </w:rPr>
                      <w:t>0</w:t>
                    </w:r>
                  </w:p>
                </w:tc>
                <w:tc>
                  <w:tcPr>
                    <w:tcW w:w="1239" w:type="dxa"/>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trHeight w:val="315"/>
                  <w:jc w:val="center"/>
                </w:trPr>
                <w:tc>
                  <w:tcPr>
                    <w:tcW w:w="5335" w:type="dxa"/>
                    <w:tcBorders>
                      <w:top w:val="nil"/>
                      <w:left w:val="nil"/>
                      <w:bottom w:val="nil"/>
                      <w:right w:val="nil"/>
                    </w:tcBorders>
                    <w:shd w:val="clear" w:color="auto" w:fill="auto"/>
                    <w:vAlign w:val="bottom"/>
                    <w:hideMark/>
                  </w:tcPr>
                  <w:p>
                    <w:pPr>
                      <w:ind w:firstLine="454"/>
                      <w:rPr>
                        <w:color w:val="000000"/>
                      </w:rPr>
                    </w:pPr>
                    <w:r>
                      <w:rPr>
                        <w:color w:val="000000"/>
                      </w:rPr>
                      <w:t>Lietuvos Respublikos Vyriausybės rezervas</w:t>
                    </w:r>
                  </w:p>
                </w:tc>
                <w:tc>
                  <w:tcPr>
                    <w:tcW w:w="1170" w:type="dxa"/>
                    <w:tcBorders>
                      <w:top w:val="nil"/>
                      <w:left w:val="nil"/>
                      <w:bottom w:val="nil"/>
                      <w:right w:val="nil"/>
                    </w:tcBorders>
                    <w:shd w:val="clear" w:color="auto" w:fill="auto"/>
                    <w:noWrap/>
                    <w:vAlign w:val="bottom"/>
                  </w:tcPr>
                  <w:p>
                    <w:pPr>
                      <w:ind w:firstLine="60"/>
                      <w:jc w:val="right"/>
                      <w:rPr>
                        <w:color w:val="000000"/>
                      </w:rPr>
                    </w:pPr>
                    <w:r>
                      <w:rPr>
                        <w:color w:val="000000"/>
                      </w:rPr>
                      <w:t>1 448</w:t>
                    </w:r>
                  </w:p>
                </w:tc>
                <w:tc>
                  <w:tcPr>
                    <w:tcW w:w="1170" w:type="dxa"/>
                    <w:tcBorders>
                      <w:top w:val="nil"/>
                      <w:left w:val="nil"/>
                      <w:bottom w:val="nil"/>
                      <w:right w:val="nil"/>
                    </w:tcBorders>
                    <w:shd w:val="clear" w:color="auto" w:fill="auto"/>
                    <w:noWrap/>
                    <w:vAlign w:val="bottom"/>
                  </w:tcPr>
                  <w:p>
                    <w:pPr>
                      <w:ind w:firstLine="60"/>
                      <w:jc w:val="right"/>
                      <w:rPr>
                        <w:color w:val="000000"/>
                      </w:rPr>
                    </w:pPr>
                    <w:r>
                      <w:rPr>
                        <w:color w:val="000000"/>
                      </w:rPr>
                      <w:t>1 448</w:t>
                    </w:r>
                  </w:p>
                </w:tc>
                <w:tc>
                  <w:tcPr>
                    <w:tcW w:w="1270" w:type="dxa"/>
                    <w:tcBorders>
                      <w:top w:val="nil"/>
                      <w:left w:val="nil"/>
                      <w:bottom w:val="nil"/>
                      <w:right w:val="nil"/>
                    </w:tcBorders>
                    <w:shd w:val="clear" w:color="auto" w:fill="auto"/>
                    <w:noWrap/>
                    <w:vAlign w:val="bottom"/>
                  </w:tcPr>
                  <w:p>
                    <w:pPr>
                      <w:ind w:firstLine="120"/>
                      <w:jc w:val="right"/>
                      <w:rPr>
                        <w:color w:val="000000"/>
                      </w:rPr>
                    </w:pPr>
                    <w:r>
                      <w:rPr>
                        <w:color w:val="000000"/>
                      </w:rPr>
                      <w:t>0</w:t>
                    </w:r>
                  </w:p>
                </w:tc>
                <w:tc>
                  <w:tcPr>
                    <w:tcW w:w="1239" w:type="dxa"/>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trHeight w:val="630"/>
                  <w:jc w:val="center"/>
                </w:trPr>
                <w:tc>
                  <w:tcPr>
                    <w:tcW w:w="5335" w:type="dxa"/>
                    <w:tcBorders>
                      <w:top w:val="nil"/>
                      <w:left w:val="nil"/>
                      <w:bottom w:val="nil"/>
                      <w:right w:val="nil"/>
                    </w:tcBorders>
                    <w:shd w:val="clear" w:color="auto" w:fill="auto"/>
                    <w:vAlign w:val="bottom"/>
                    <w:hideMark/>
                  </w:tcPr>
                  <w:p>
                    <w:pPr>
                      <w:ind w:firstLine="454"/>
                      <w:rPr>
                        <w:color w:val="000000"/>
                      </w:rPr>
                    </w:pPr>
                    <w:r>
                      <w:rPr>
                        <w:color w:val="000000"/>
                      </w:rPr>
                      <w:t>Tradicinių Lietuvos religinių bendruomenių,</w:t>
                    </w:r>
                  </w:p>
                  <w:p>
                    <w:pPr>
                      <w:ind w:firstLine="454"/>
                      <w:rPr>
                        <w:color w:val="000000"/>
                      </w:rPr>
                    </w:pPr>
                    <w:r>
                      <w:rPr>
                        <w:color w:val="000000"/>
                      </w:rPr>
                      <w:t>bendrijų ir centrų maldos namams atstatyti ir</w:t>
                    </w:r>
                  </w:p>
                  <w:p>
                    <w:pPr>
                      <w:ind w:firstLine="454"/>
                      <w:rPr>
                        <w:color w:val="000000"/>
                      </w:rPr>
                    </w:pPr>
                    <w:r>
                      <w:rPr>
                        <w:color w:val="000000"/>
                      </w:rPr>
                      <w:t>kitoms reikmėms</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697</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697</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Krašto apsaugos ministerija</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575 156</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353 556</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128 731</w:t>
                    </w:r>
                  </w:p>
                </w:tc>
                <w:tc>
                  <w:tcPr>
                    <w:tcW w:w="1239" w:type="dxa"/>
                    <w:tcBorders>
                      <w:top w:val="nil"/>
                      <w:left w:val="nil"/>
                      <w:bottom w:val="nil"/>
                      <w:right w:val="nil"/>
                    </w:tcBorders>
                    <w:shd w:val="clear" w:color="auto" w:fill="auto"/>
                    <w:noWrap/>
                    <w:vAlign w:val="bottom"/>
                    <w:hideMark/>
                  </w:tcPr>
                  <w:p>
                    <w:pPr>
                      <w:ind w:firstLine="60"/>
                      <w:jc w:val="right"/>
                      <w:rPr>
                        <w:color w:val="000000"/>
                      </w:rPr>
                    </w:pPr>
                    <w:r>
                      <w:rPr>
                        <w:color w:val="000000"/>
                      </w:rPr>
                      <w:t>221 600</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Kultūros ministerija</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127 797</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121 051</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30 056</w:t>
                    </w:r>
                  </w:p>
                </w:tc>
                <w:tc>
                  <w:tcPr>
                    <w:tcW w:w="1239" w:type="dxa"/>
                    <w:tcBorders>
                      <w:top w:val="nil"/>
                      <w:left w:val="nil"/>
                      <w:bottom w:val="nil"/>
                      <w:right w:val="nil"/>
                    </w:tcBorders>
                    <w:shd w:val="clear" w:color="auto" w:fill="auto"/>
                    <w:noWrap/>
                    <w:vAlign w:val="bottom"/>
                    <w:hideMark/>
                  </w:tcPr>
                  <w:p>
                    <w:pPr>
                      <w:ind w:firstLine="60"/>
                      <w:jc w:val="right"/>
                      <w:rPr>
                        <w:color w:val="000000"/>
                      </w:rPr>
                    </w:pPr>
                    <w:r>
                      <w:rPr>
                        <w:color w:val="000000"/>
                      </w:rPr>
                      <w:t>6 746</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Socialinės apsaugos ir darbo ministerija</w:t>
                    </w:r>
                  </w:p>
                </w:tc>
                <w:tc>
                  <w:tcPr>
                    <w:tcW w:w="1170" w:type="dxa"/>
                    <w:tcBorders>
                      <w:top w:val="nil"/>
                      <w:left w:val="nil"/>
                      <w:bottom w:val="nil"/>
                      <w:right w:val="nil"/>
                    </w:tcBorders>
                    <w:shd w:val="clear" w:color="auto" w:fill="auto"/>
                    <w:noWrap/>
                    <w:vAlign w:val="bottom"/>
                    <w:hideMark/>
                  </w:tcPr>
                  <w:p>
                    <w:pPr>
                      <w:jc w:val="right"/>
                      <w:rPr>
                        <w:color w:val="000000"/>
                      </w:rPr>
                    </w:pPr>
                    <w:r>
                      <w:rPr>
                        <w:color w:val="000000"/>
                      </w:rPr>
                      <w:t>1 106 603</w:t>
                    </w:r>
                  </w:p>
                </w:tc>
                <w:tc>
                  <w:tcPr>
                    <w:tcW w:w="1170" w:type="dxa"/>
                    <w:tcBorders>
                      <w:top w:val="nil"/>
                      <w:left w:val="nil"/>
                      <w:bottom w:val="nil"/>
                      <w:right w:val="nil"/>
                    </w:tcBorders>
                    <w:shd w:val="clear" w:color="auto" w:fill="auto"/>
                    <w:noWrap/>
                    <w:vAlign w:val="bottom"/>
                    <w:hideMark/>
                  </w:tcPr>
                  <w:p>
                    <w:pPr>
                      <w:jc w:val="right"/>
                      <w:rPr>
                        <w:color w:val="000000"/>
                      </w:rPr>
                    </w:pPr>
                    <w:r>
                      <w:rPr>
                        <w:color w:val="000000"/>
                      </w:rPr>
                      <w:t>1 101 890</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53 936</w:t>
                    </w:r>
                  </w:p>
                </w:tc>
                <w:tc>
                  <w:tcPr>
                    <w:tcW w:w="1239" w:type="dxa"/>
                    <w:tcBorders>
                      <w:top w:val="nil"/>
                      <w:left w:val="nil"/>
                      <w:bottom w:val="nil"/>
                      <w:right w:val="nil"/>
                    </w:tcBorders>
                    <w:shd w:val="clear" w:color="auto" w:fill="auto"/>
                    <w:noWrap/>
                    <w:vAlign w:val="bottom"/>
                    <w:hideMark/>
                  </w:tcPr>
                  <w:p>
                    <w:pPr>
                      <w:ind w:firstLine="60"/>
                      <w:jc w:val="right"/>
                      <w:rPr>
                        <w:color w:val="000000"/>
                      </w:rPr>
                    </w:pPr>
                    <w:r>
                      <w:rPr>
                        <w:color w:val="000000"/>
                      </w:rPr>
                      <w:t>4 713</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Susisiekimo ministerija</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794 990</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599 990</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14 405</w:t>
                    </w:r>
                  </w:p>
                </w:tc>
                <w:tc>
                  <w:tcPr>
                    <w:tcW w:w="1239" w:type="dxa"/>
                    <w:tcBorders>
                      <w:top w:val="nil"/>
                      <w:left w:val="nil"/>
                      <w:bottom w:val="nil"/>
                      <w:right w:val="nil"/>
                    </w:tcBorders>
                    <w:shd w:val="clear" w:color="auto" w:fill="auto"/>
                    <w:noWrap/>
                    <w:vAlign w:val="bottom"/>
                    <w:hideMark/>
                  </w:tcPr>
                  <w:p>
                    <w:pPr>
                      <w:ind w:firstLine="60"/>
                      <w:jc w:val="right"/>
                      <w:rPr>
                        <w:color w:val="000000"/>
                      </w:rPr>
                    </w:pPr>
                    <w:r>
                      <w:rPr>
                        <w:color w:val="000000"/>
                      </w:rPr>
                      <w:t>195 000</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Sveikatos apsaugos ministerija</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564 216</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548 614</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34 202</w:t>
                    </w:r>
                  </w:p>
                </w:tc>
                <w:tc>
                  <w:tcPr>
                    <w:tcW w:w="1239" w:type="dxa"/>
                    <w:tcBorders>
                      <w:top w:val="nil"/>
                      <w:left w:val="nil"/>
                      <w:bottom w:val="nil"/>
                      <w:right w:val="nil"/>
                    </w:tcBorders>
                    <w:shd w:val="clear" w:color="auto" w:fill="auto"/>
                    <w:noWrap/>
                    <w:vAlign w:val="bottom"/>
                    <w:hideMark/>
                  </w:tcPr>
                  <w:p>
                    <w:pPr>
                      <w:ind w:firstLine="60"/>
                      <w:jc w:val="right"/>
                      <w:rPr>
                        <w:color w:val="000000"/>
                      </w:rPr>
                    </w:pPr>
                    <w:r>
                      <w:rPr>
                        <w:color w:val="000000"/>
                      </w:rPr>
                      <w:t>15 602</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Švietimo ir mokslo ministerija</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936 339</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926 453</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87 935</w:t>
                    </w:r>
                  </w:p>
                </w:tc>
                <w:tc>
                  <w:tcPr>
                    <w:tcW w:w="1239" w:type="dxa"/>
                    <w:tcBorders>
                      <w:top w:val="nil"/>
                      <w:left w:val="nil"/>
                      <w:bottom w:val="nil"/>
                      <w:right w:val="nil"/>
                    </w:tcBorders>
                    <w:shd w:val="clear" w:color="auto" w:fill="auto"/>
                    <w:noWrap/>
                    <w:vAlign w:val="bottom"/>
                    <w:hideMark/>
                  </w:tcPr>
                  <w:p>
                    <w:pPr>
                      <w:ind w:firstLine="60"/>
                      <w:jc w:val="right"/>
                      <w:rPr>
                        <w:color w:val="000000"/>
                      </w:rPr>
                    </w:pPr>
                    <w:r>
                      <w:rPr>
                        <w:color w:val="000000"/>
                      </w:rPr>
                      <w:t>9 886</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Teisingumo ministerija</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99 812</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93 908</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43 107</w:t>
                    </w:r>
                  </w:p>
                </w:tc>
                <w:tc>
                  <w:tcPr>
                    <w:tcW w:w="1239" w:type="dxa"/>
                    <w:tcBorders>
                      <w:top w:val="nil"/>
                      <w:left w:val="nil"/>
                      <w:bottom w:val="nil"/>
                      <w:right w:val="nil"/>
                    </w:tcBorders>
                    <w:shd w:val="clear" w:color="auto" w:fill="auto"/>
                    <w:noWrap/>
                    <w:vAlign w:val="bottom"/>
                    <w:hideMark/>
                  </w:tcPr>
                  <w:p>
                    <w:pPr>
                      <w:ind w:firstLine="60"/>
                      <w:jc w:val="right"/>
                      <w:rPr>
                        <w:color w:val="000000"/>
                      </w:rPr>
                    </w:pPr>
                    <w:r>
                      <w:rPr>
                        <w:color w:val="000000"/>
                      </w:rPr>
                      <w:t>5 904</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Ūkio ministerija</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204 371</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202 300</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10 401</w:t>
                    </w:r>
                  </w:p>
                </w:tc>
                <w:tc>
                  <w:tcPr>
                    <w:tcW w:w="1239" w:type="dxa"/>
                    <w:tcBorders>
                      <w:top w:val="nil"/>
                      <w:left w:val="nil"/>
                      <w:bottom w:val="nil"/>
                      <w:right w:val="nil"/>
                    </w:tcBorders>
                    <w:shd w:val="clear" w:color="auto" w:fill="auto"/>
                    <w:noWrap/>
                    <w:vAlign w:val="bottom"/>
                    <w:hideMark/>
                  </w:tcPr>
                  <w:p>
                    <w:pPr>
                      <w:ind w:firstLine="60"/>
                      <w:jc w:val="right"/>
                      <w:rPr>
                        <w:color w:val="000000"/>
                      </w:rPr>
                    </w:pPr>
                    <w:r>
                      <w:rPr>
                        <w:color w:val="000000"/>
                      </w:rPr>
                      <w:t>2 071</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Užsienio reikalų ministerija</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76 745</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73 215</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16 802</w:t>
                    </w:r>
                  </w:p>
                </w:tc>
                <w:tc>
                  <w:tcPr>
                    <w:tcW w:w="1239" w:type="dxa"/>
                    <w:tcBorders>
                      <w:top w:val="nil"/>
                      <w:left w:val="nil"/>
                      <w:bottom w:val="nil"/>
                      <w:right w:val="nil"/>
                    </w:tcBorders>
                    <w:shd w:val="clear" w:color="auto" w:fill="auto"/>
                    <w:noWrap/>
                    <w:vAlign w:val="bottom"/>
                    <w:hideMark/>
                  </w:tcPr>
                  <w:p>
                    <w:pPr>
                      <w:ind w:firstLine="60"/>
                      <w:jc w:val="right"/>
                      <w:rPr>
                        <w:color w:val="000000"/>
                      </w:rPr>
                    </w:pPr>
                    <w:r>
                      <w:rPr>
                        <w:color w:val="000000"/>
                      </w:rPr>
                      <w:t>3 530</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Vidaus reikalų ministerija</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163 445</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160 104</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16 691</w:t>
                    </w:r>
                  </w:p>
                </w:tc>
                <w:tc>
                  <w:tcPr>
                    <w:tcW w:w="1239" w:type="dxa"/>
                    <w:tcBorders>
                      <w:top w:val="nil"/>
                      <w:left w:val="nil"/>
                      <w:bottom w:val="nil"/>
                      <w:right w:val="nil"/>
                    </w:tcBorders>
                    <w:shd w:val="clear" w:color="auto" w:fill="auto"/>
                    <w:noWrap/>
                    <w:vAlign w:val="bottom"/>
                    <w:hideMark/>
                  </w:tcPr>
                  <w:p>
                    <w:pPr>
                      <w:ind w:firstLine="60"/>
                      <w:jc w:val="right"/>
                      <w:rPr>
                        <w:color w:val="000000"/>
                      </w:rPr>
                    </w:pPr>
                    <w:r>
                      <w:rPr>
                        <w:color w:val="000000"/>
                      </w:rPr>
                      <w:t>3 341</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Žemės ūkio ministerija</w:t>
                    </w:r>
                  </w:p>
                </w:tc>
                <w:tc>
                  <w:tcPr>
                    <w:tcW w:w="1170" w:type="dxa"/>
                    <w:tcBorders>
                      <w:top w:val="nil"/>
                      <w:left w:val="nil"/>
                      <w:bottom w:val="nil"/>
                      <w:right w:val="nil"/>
                    </w:tcBorders>
                    <w:shd w:val="clear" w:color="auto" w:fill="auto"/>
                    <w:noWrap/>
                    <w:vAlign w:val="bottom"/>
                    <w:hideMark/>
                  </w:tcPr>
                  <w:p>
                    <w:pPr>
                      <w:jc w:val="right"/>
                      <w:rPr>
                        <w:color w:val="000000"/>
                      </w:rPr>
                    </w:pPr>
                    <w:r>
                      <w:rPr>
                        <w:color w:val="000000"/>
                      </w:rPr>
                      <w:t>1 030 282</w:t>
                    </w:r>
                  </w:p>
                </w:tc>
                <w:tc>
                  <w:tcPr>
                    <w:tcW w:w="1170" w:type="dxa"/>
                    <w:tcBorders>
                      <w:top w:val="nil"/>
                      <w:left w:val="nil"/>
                      <w:bottom w:val="nil"/>
                      <w:right w:val="nil"/>
                    </w:tcBorders>
                    <w:shd w:val="clear" w:color="auto" w:fill="auto"/>
                    <w:noWrap/>
                    <w:vAlign w:val="bottom"/>
                    <w:hideMark/>
                  </w:tcPr>
                  <w:p>
                    <w:pPr>
                      <w:jc w:val="right"/>
                      <w:rPr>
                        <w:color w:val="000000"/>
                      </w:rPr>
                    </w:pPr>
                    <w:r>
                      <w:rPr>
                        <w:color w:val="000000"/>
                      </w:rPr>
                      <w:t>1 024 017</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31 358</w:t>
                    </w:r>
                  </w:p>
                </w:tc>
                <w:tc>
                  <w:tcPr>
                    <w:tcW w:w="1239" w:type="dxa"/>
                    <w:tcBorders>
                      <w:top w:val="nil"/>
                      <w:left w:val="nil"/>
                      <w:bottom w:val="nil"/>
                      <w:right w:val="nil"/>
                    </w:tcBorders>
                    <w:shd w:val="clear" w:color="auto" w:fill="auto"/>
                    <w:noWrap/>
                    <w:vAlign w:val="bottom"/>
                    <w:hideMark/>
                  </w:tcPr>
                  <w:p>
                    <w:pPr>
                      <w:ind w:firstLine="60"/>
                      <w:jc w:val="right"/>
                      <w:rPr>
                        <w:color w:val="000000"/>
                      </w:rPr>
                    </w:pPr>
                    <w:r>
                      <w:rPr>
                        <w:color w:val="000000"/>
                      </w:rPr>
                      <w:t>6 265</w:t>
                    </w:r>
                  </w:p>
                </w:tc>
              </w:tr>
              <w:tr>
                <w:trPr>
                  <w:trHeight w:val="315"/>
                  <w:jc w:val="center"/>
                </w:trPr>
                <w:tc>
                  <w:tcPr>
                    <w:tcW w:w="10184" w:type="dxa"/>
                    <w:gridSpan w:val="5"/>
                    <w:tcBorders>
                      <w:top w:val="nil"/>
                      <w:left w:val="nil"/>
                      <w:bottom w:val="nil"/>
                      <w:right w:val="nil"/>
                    </w:tcBorders>
                    <w:shd w:val="clear" w:color="auto" w:fill="auto"/>
                    <w:noWrap/>
                    <w:vAlign w:val="bottom"/>
                    <w:hideMark/>
                  </w:tcPr>
                  <w:p>
                    <w:pPr>
                      <w:rPr>
                        <w:b/>
                        <w:bCs/>
                        <w:color w:val="000000"/>
                      </w:rPr>
                    </w:pPr>
                    <w:r>
                      <w:rPr>
                        <w:b/>
                        <w:bCs/>
                        <w:color w:val="000000"/>
                      </w:rPr>
                      <w:t>III. MINISTRŲ VALDYMO SRIČIŲ INSTITUCIJOS IR ĮSTAIGOS</w:t>
                    </w:r>
                  </w:p>
                </w:tc>
              </w:tr>
              <w:tr>
                <w:trPr>
                  <w:trHeight w:val="315"/>
                  <w:jc w:val="center"/>
                </w:trPr>
                <w:tc>
                  <w:tcPr>
                    <w:tcW w:w="10184" w:type="dxa"/>
                    <w:gridSpan w:val="5"/>
                    <w:tcBorders>
                      <w:top w:val="nil"/>
                      <w:left w:val="nil"/>
                      <w:bottom w:val="nil"/>
                      <w:right w:val="nil"/>
                    </w:tcBorders>
                    <w:shd w:val="clear" w:color="auto" w:fill="auto"/>
                    <w:noWrap/>
                    <w:vAlign w:val="bottom"/>
                    <w:hideMark/>
                  </w:tcPr>
                  <w:p>
                    <w:pPr>
                      <w:rPr>
                        <w:b/>
                        <w:bCs/>
                        <w:color w:val="000000"/>
                      </w:rPr>
                    </w:pPr>
                    <w:r>
                      <w:rPr>
                        <w:b/>
                        <w:bCs/>
                        <w:color w:val="000000"/>
                      </w:rPr>
                      <w:t>ENERGETIKOS MINISTRO VALDYMO SRITIS</w:t>
                    </w:r>
                  </w:p>
                </w:tc>
              </w:tr>
              <w:tr>
                <w:trPr>
                  <w:trHeight w:val="630"/>
                  <w:jc w:val="center"/>
                </w:trPr>
                <w:tc>
                  <w:tcPr>
                    <w:tcW w:w="5335" w:type="dxa"/>
                    <w:tcBorders>
                      <w:top w:val="nil"/>
                      <w:left w:val="nil"/>
                      <w:bottom w:val="nil"/>
                      <w:right w:val="nil"/>
                    </w:tcBorders>
                    <w:shd w:val="clear" w:color="auto" w:fill="auto"/>
                    <w:vAlign w:val="bottom"/>
                    <w:hideMark/>
                  </w:tcPr>
                  <w:p>
                    <w:pPr>
                      <w:rPr>
                        <w:color w:val="000000"/>
                      </w:rPr>
                    </w:pPr>
                    <w:r>
                      <w:rPr>
                        <w:color w:val="000000"/>
                      </w:rPr>
                      <w:t>Valstybinė energetikos inspekcija prie Energetikos ministerijos</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1 878</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1 872</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1 244</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6</w:t>
                    </w:r>
                  </w:p>
                </w:tc>
              </w:tr>
              <w:tr>
                <w:trPr>
                  <w:trHeight w:val="315"/>
                  <w:jc w:val="center"/>
                </w:trPr>
                <w:tc>
                  <w:tcPr>
                    <w:tcW w:w="10184" w:type="dxa"/>
                    <w:gridSpan w:val="5"/>
                    <w:tcBorders>
                      <w:top w:val="nil"/>
                      <w:left w:val="nil"/>
                      <w:bottom w:val="nil"/>
                      <w:right w:val="nil"/>
                    </w:tcBorders>
                    <w:shd w:val="clear" w:color="auto" w:fill="auto"/>
                    <w:noWrap/>
                    <w:vAlign w:val="bottom"/>
                    <w:hideMark/>
                  </w:tcPr>
                  <w:p>
                    <w:pPr>
                      <w:rPr>
                        <w:b/>
                        <w:bCs/>
                        <w:color w:val="000000"/>
                      </w:rPr>
                    </w:pPr>
                    <w:r>
                      <w:rPr>
                        <w:b/>
                        <w:bCs/>
                        <w:color w:val="000000"/>
                      </w:rPr>
                      <w:t>FINANSŲ MINISTRO VALDYMO SRITIS</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Lietuvos statistikos departamentas</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8 967</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7 883</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5 018</w:t>
                    </w:r>
                  </w:p>
                </w:tc>
                <w:tc>
                  <w:tcPr>
                    <w:tcW w:w="1239" w:type="dxa"/>
                    <w:tcBorders>
                      <w:top w:val="nil"/>
                      <w:left w:val="nil"/>
                      <w:bottom w:val="nil"/>
                      <w:right w:val="nil"/>
                    </w:tcBorders>
                    <w:shd w:val="clear" w:color="auto" w:fill="auto"/>
                    <w:noWrap/>
                    <w:vAlign w:val="bottom"/>
                    <w:hideMark/>
                  </w:tcPr>
                  <w:p>
                    <w:pPr>
                      <w:ind w:firstLine="60"/>
                      <w:jc w:val="right"/>
                      <w:rPr>
                        <w:color w:val="000000"/>
                      </w:rPr>
                    </w:pPr>
                    <w:r>
                      <w:rPr>
                        <w:color w:val="000000"/>
                      </w:rPr>
                      <w:t>1 084</w:t>
                    </w:r>
                  </w:p>
                </w:tc>
              </w:tr>
              <w:tr>
                <w:trPr>
                  <w:trHeight w:val="315"/>
                  <w:jc w:val="center"/>
                </w:trPr>
                <w:tc>
                  <w:tcPr>
                    <w:tcW w:w="10184" w:type="dxa"/>
                    <w:gridSpan w:val="5"/>
                    <w:tcBorders>
                      <w:top w:val="nil"/>
                      <w:left w:val="nil"/>
                      <w:bottom w:val="nil"/>
                      <w:right w:val="nil"/>
                    </w:tcBorders>
                    <w:shd w:val="clear" w:color="auto" w:fill="auto"/>
                    <w:noWrap/>
                    <w:vAlign w:val="bottom"/>
                    <w:hideMark/>
                  </w:tcPr>
                  <w:p>
                    <w:pPr>
                      <w:rPr>
                        <w:b/>
                        <w:bCs/>
                        <w:color w:val="000000"/>
                      </w:rPr>
                    </w:pPr>
                    <w:r>
                      <w:rPr>
                        <w:b/>
                        <w:bCs/>
                        <w:color w:val="000000"/>
                      </w:rPr>
                      <w:t>KULTŪROS MINISTRO VALDYMO SRITIS</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Lietuvos nacionalinė Martyno Mažvydo biblioteka</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12 831</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5 627</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3 699</w:t>
                    </w:r>
                  </w:p>
                </w:tc>
                <w:tc>
                  <w:tcPr>
                    <w:tcW w:w="1239" w:type="dxa"/>
                    <w:tcBorders>
                      <w:top w:val="nil"/>
                      <w:left w:val="nil"/>
                      <w:bottom w:val="nil"/>
                      <w:right w:val="nil"/>
                    </w:tcBorders>
                    <w:shd w:val="clear" w:color="auto" w:fill="auto"/>
                    <w:noWrap/>
                    <w:vAlign w:val="bottom"/>
                    <w:hideMark/>
                  </w:tcPr>
                  <w:p>
                    <w:pPr>
                      <w:ind w:firstLine="60"/>
                      <w:jc w:val="right"/>
                      <w:rPr>
                        <w:color w:val="000000"/>
                      </w:rPr>
                    </w:pPr>
                    <w:r>
                      <w:rPr>
                        <w:color w:val="000000"/>
                      </w:rPr>
                      <w:t>7 204</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Lietuvos nacionalinis muziejus</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5 014</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3 896</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2 381</w:t>
                    </w:r>
                  </w:p>
                </w:tc>
                <w:tc>
                  <w:tcPr>
                    <w:tcW w:w="1239" w:type="dxa"/>
                    <w:tcBorders>
                      <w:top w:val="nil"/>
                      <w:left w:val="nil"/>
                      <w:bottom w:val="nil"/>
                      <w:right w:val="nil"/>
                    </w:tcBorders>
                    <w:shd w:val="clear" w:color="auto" w:fill="auto"/>
                    <w:noWrap/>
                    <w:vAlign w:val="bottom"/>
                    <w:hideMark/>
                  </w:tcPr>
                  <w:p>
                    <w:pPr>
                      <w:ind w:firstLine="60"/>
                      <w:jc w:val="right"/>
                      <w:rPr>
                        <w:color w:val="000000"/>
                      </w:rPr>
                    </w:pPr>
                    <w:r>
                      <w:rPr>
                        <w:color w:val="000000"/>
                      </w:rPr>
                      <w:t>1 118</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Lietuvos dailės muziejus</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5 020</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4 913</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3 035</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107</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Nacionalinis M. K. Čiurlionio dailės muziejus</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3 540</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2 426</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1 282</w:t>
                    </w:r>
                  </w:p>
                </w:tc>
                <w:tc>
                  <w:tcPr>
                    <w:tcW w:w="1239" w:type="dxa"/>
                    <w:tcBorders>
                      <w:top w:val="nil"/>
                      <w:left w:val="nil"/>
                      <w:bottom w:val="nil"/>
                      <w:right w:val="nil"/>
                    </w:tcBorders>
                    <w:shd w:val="clear" w:color="auto" w:fill="auto"/>
                    <w:noWrap/>
                    <w:vAlign w:val="bottom"/>
                    <w:hideMark/>
                  </w:tcPr>
                  <w:p>
                    <w:pPr>
                      <w:ind w:firstLine="60"/>
                      <w:jc w:val="right"/>
                      <w:rPr>
                        <w:color w:val="000000"/>
                      </w:rPr>
                    </w:pPr>
                    <w:r>
                      <w:rPr>
                        <w:color w:val="000000"/>
                      </w:rPr>
                      <w:t>1 114</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Lietuvos nacionalinis operos ir baleto teatras</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11 142</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9 435</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5 665</w:t>
                    </w:r>
                  </w:p>
                </w:tc>
                <w:tc>
                  <w:tcPr>
                    <w:tcW w:w="1239" w:type="dxa"/>
                    <w:tcBorders>
                      <w:top w:val="nil"/>
                      <w:left w:val="nil"/>
                      <w:bottom w:val="nil"/>
                      <w:right w:val="nil"/>
                    </w:tcBorders>
                    <w:shd w:val="clear" w:color="auto" w:fill="auto"/>
                    <w:noWrap/>
                    <w:vAlign w:val="bottom"/>
                    <w:hideMark/>
                  </w:tcPr>
                  <w:p>
                    <w:pPr>
                      <w:ind w:firstLine="60"/>
                      <w:jc w:val="right"/>
                      <w:rPr>
                        <w:color w:val="000000"/>
                      </w:rPr>
                    </w:pPr>
                    <w:r>
                      <w:rPr>
                        <w:color w:val="000000"/>
                      </w:rPr>
                      <w:t>1 707</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Lietuvos nacionalinis dramos teatras</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2 690</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2 676</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1 572</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14</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Nacionalinis Kauno dramos teatras</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2 640</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1 740</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1 187</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900</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Koncertinė įstaiga Lietuvos nacionalinė filharmonija</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4 853</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4 513</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2 613</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340</w:t>
                    </w:r>
                  </w:p>
                </w:tc>
              </w:tr>
              <w:tr>
                <w:trPr>
                  <w:trHeight w:val="630"/>
                  <w:jc w:val="center"/>
                </w:trPr>
                <w:tc>
                  <w:tcPr>
                    <w:tcW w:w="5335" w:type="dxa"/>
                    <w:tcBorders>
                      <w:top w:val="nil"/>
                      <w:left w:val="nil"/>
                      <w:bottom w:val="nil"/>
                      <w:right w:val="nil"/>
                    </w:tcBorders>
                    <w:shd w:val="clear" w:color="auto" w:fill="auto"/>
                    <w:vAlign w:val="bottom"/>
                    <w:hideMark/>
                  </w:tcPr>
                  <w:p>
                    <w:pPr>
                      <w:rPr>
                        <w:color w:val="000000"/>
                      </w:rPr>
                    </w:pPr>
                    <w:r>
                      <w:rPr>
                        <w:color w:val="000000"/>
                      </w:rPr>
                      <w:t>Nacionalinis muziejus Lietuvos Didžiosios Kunigaikštystės valdovų rūmai</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9 499</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2 411</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1 135</w:t>
                    </w:r>
                  </w:p>
                </w:tc>
                <w:tc>
                  <w:tcPr>
                    <w:tcW w:w="1239" w:type="dxa"/>
                    <w:tcBorders>
                      <w:top w:val="nil"/>
                      <w:left w:val="nil"/>
                      <w:bottom w:val="nil"/>
                      <w:right w:val="nil"/>
                    </w:tcBorders>
                    <w:shd w:val="clear" w:color="auto" w:fill="auto"/>
                    <w:noWrap/>
                    <w:vAlign w:val="bottom"/>
                    <w:hideMark/>
                  </w:tcPr>
                  <w:p>
                    <w:pPr>
                      <w:ind w:firstLine="60"/>
                      <w:jc w:val="right"/>
                      <w:rPr>
                        <w:color w:val="000000"/>
                      </w:rPr>
                    </w:pPr>
                    <w:r>
                      <w:rPr>
                        <w:color w:val="000000"/>
                      </w:rPr>
                      <w:t>7 088</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Viešoji įstaiga Spaudos, radijo ir televizijos rėmimo fondas</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2 739</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2 739</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79</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Viešoji įstaiga „Lietuvos nacionalinis radijas ir televizija“</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33 674</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28 595</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7 200</w:t>
                    </w:r>
                  </w:p>
                </w:tc>
                <w:tc>
                  <w:tcPr>
                    <w:tcW w:w="1239" w:type="dxa"/>
                    <w:tcBorders>
                      <w:top w:val="nil"/>
                      <w:left w:val="nil"/>
                      <w:bottom w:val="nil"/>
                      <w:right w:val="nil"/>
                    </w:tcBorders>
                    <w:shd w:val="clear" w:color="auto" w:fill="auto"/>
                    <w:noWrap/>
                    <w:vAlign w:val="bottom"/>
                    <w:hideMark/>
                  </w:tcPr>
                  <w:p>
                    <w:pPr>
                      <w:ind w:firstLine="60"/>
                      <w:jc w:val="right"/>
                      <w:rPr>
                        <w:color w:val="000000"/>
                      </w:rPr>
                    </w:pPr>
                    <w:r>
                      <w:rPr>
                        <w:color w:val="000000"/>
                      </w:rPr>
                      <w:t>5 079</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Lietuvos vyriausiojo archyvaro tarnyba</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8 922</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7 134</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3 566</w:t>
                    </w:r>
                  </w:p>
                </w:tc>
                <w:tc>
                  <w:tcPr>
                    <w:tcW w:w="1239" w:type="dxa"/>
                    <w:tcBorders>
                      <w:top w:val="nil"/>
                      <w:left w:val="nil"/>
                      <w:bottom w:val="nil"/>
                      <w:right w:val="nil"/>
                    </w:tcBorders>
                    <w:shd w:val="clear" w:color="auto" w:fill="auto"/>
                    <w:noWrap/>
                    <w:vAlign w:val="bottom"/>
                    <w:hideMark/>
                  </w:tcPr>
                  <w:p>
                    <w:pPr>
                      <w:ind w:firstLine="60"/>
                      <w:jc w:val="right"/>
                      <w:rPr>
                        <w:color w:val="000000"/>
                      </w:rPr>
                    </w:pPr>
                    <w:r>
                      <w:rPr>
                        <w:color w:val="000000"/>
                      </w:rPr>
                      <w:t>1 788</w:t>
                    </w:r>
                  </w:p>
                </w:tc>
              </w:tr>
              <w:tr>
                <w:trPr>
                  <w:trHeight w:val="315"/>
                  <w:jc w:val="center"/>
                </w:trPr>
                <w:tc>
                  <w:tcPr>
                    <w:tcW w:w="10184" w:type="dxa"/>
                    <w:gridSpan w:val="5"/>
                    <w:tcBorders>
                      <w:top w:val="nil"/>
                      <w:left w:val="nil"/>
                      <w:bottom w:val="nil"/>
                      <w:right w:val="nil"/>
                    </w:tcBorders>
                    <w:shd w:val="clear" w:color="auto" w:fill="auto"/>
                    <w:noWrap/>
                    <w:vAlign w:val="bottom"/>
                    <w:hideMark/>
                  </w:tcPr>
                  <w:p>
                    <w:pPr>
                      <w:rPr>
                        <w:b/>
                        <w:bCs/>
                        <w:color w:val="000000"/>
                      </w:rPr>
                    </w:pPr>
                    <w:r>
                      <w:rPr>
                        <w:b/>
                        <w:bCs/>
                        <w:color w:val="000000"/>
                      </w:rPr>
                      <w:t>SVEIKATOS APSAUGOS MINISTRO VALDYMO SRITIS</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Narkotikų, tabako ir alkoholio kontrolės departamentas</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746</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746</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522</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r>
              <w:tr>
                <w:trPr>
                  <w:trHeight w:val="315"/>
                  <w:jc w:val="center"/>
                </w:trPr>
                <w:tc>
                  <w:tcPr>
                    <w:tcW w:w="10184" w:type="dxa"/>
                    <w:gridSpan w:val="5"/>
                    <w:tcBorders>
                      <w:top w:val="nil"/>
                      <w:left w:val="nil"/>
                      <w:bottom w:val="nil"/>
                      <w:right w:val="nil"/>
                    </w:tcBorders>
                    <w:shd w:val="clear" w:color="auto" w:fill="auto"/>
                    <w:noWrap/>
                    <w:vAlign w:val="bottom"/>
                    <w:hideMark/>
                  </w:tcPr>
                  <w:p>
                    <w:pPr>
                      <w:rPr>
                        <w:b/>
                        <w:bCs/>
                        <w:color w:val="000000"/>
                      </w:rPr>
                    </w:pPr>
                    <w:r>
                      <w:rPr>
                        <w:b/>
                        <w:bCs/>
                        <w:color w:val="000000"/>
                      </w:rPr>
                      <w:t>TEISINGUMO MINISTRO VALDYMO SRITIS</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Valstybinė duomenų apsaugos inspekcija</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716</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702</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459</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14</w:t>
                    </w:r>
                  </w:p>
                </w:tc>
              </w:tr>
              <w:tr>
                <w:trPr>
                  <w:trHeight w:val="315"/>
                  <w:jc w:val="center"/>
                </w:trPr>
                <w:tc>
                  <w:tcPr>
                    <w:tcW w:w="10184" w:type="dxa"/>
                    <w:gridSpan w:val="5"/>
                    <w:tcBorders>
                      <w:top w:val="nil"/>
                      <w:left w:val="nil"/>
                      <w:bottom w:val="nil"/>
                      <w:right w:val="nil"/>
                    </w:tcBorders>
                    <w:shd w:val="clear" w:color="auto" w:fill="auto"/>
                    <w:noWrap/>
                    <w:vAlign w:val="bottom"/>
                    <w:hideMark/>
                  </w:tcPr>
                  <w:p>
                    <w:pPr>
                      <w:rPr>
                        <w:b/>
                        <w:bCs/>
                        <w:color w:val="000000"/>
                      </w:rPr>
                    </w:pPr>
                    <w:r>
                      <w:rPr>
                        <w:b/>
                        <w:bCs/>
                        <w:color w:val="000000"/>
                      </w:rPr>
                      <w:t>VIDAUS REIKALŲ MINISTRO VALDYMO SRITIS</w:t>
                    </w:r>
                  </w:p>
                </w:tc>
              </w:tr>
              <w:tr>
                <w:trPr>
                  <w:trHeight w:val="630"/>
                  <w:jc w:val="center"/>
                </w:trPr>
                <w:tc>
                  <w:tcPr>
                    <w:tcW w:w="5335" w:type="dxa"/>
                    <w:tcBorders>
                      <w:top w:val="nil"/>
                      <w:left w:val="nil"/>
                      <w:bottom w:val="nil"/>
                      <w:right w:val="nil"/>
                    </w:tcBorders>
                    <w:shd w:val="clear" w:color="auto" w:fill="auto"/>
                    <w:vAlign w:val="bottom"/>
                    <w:hideMark/>
                  </w:tcPr>
                  <w:p>
                    <w:pPr>
                      <w:rPr>
                        <w:color w:val="000000"/>
                      </w:rPr>
                    </w:pPr>
                    <w:r>
                      <w:rPr>
                        <w:color w:val="000000"/>
                      </w:rPr>
                      <w:t>Valstybės sienos apsaugos tarnyba prie Vidaus reikalų ministerijos</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58 601</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57 360</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36 993</w:t>
                    </w:r>
                  </w:p>
                </w:tc>
                <w:tc>
                  <w:tcPr>
                    <w:tcW w:w="1239" w:type="dxa"/>
                    <w:tcBorders>
                      <w:top w:val="nil"/>
                      <w:left w:val="nil"/>
                      <w:bottom w:val="nil"/>
                      <w:right w:val="nil"/>
                    </w:tcBorders>
                    <w:shd w:val="clear" w:color="auto" w:fill="auto"/>
                    <w:noWrap/>
                    <w:vAlign w:val="bottom"/>
                    <w:hideMark/>
                  </w:tcPr>
                  <w:p>
                    <w:pPr>
                      <w:ind w:firstLine="60"/>
                      <w:jc w:val="right"/>
                      <w:rPr>
                        <w:color w:val="000000"/>
                      </w:rPr>
                    </w:pPr>
                    <w:r>
                      <w:rPr>
                        <w:color w:val="000000"/>
                      </w:rPr>
                      <w:t>1 241</w:t>
                    </w:r>
                  </w:p>
                </w:tc>
              </w:tr>
              <w:tr>
                <w:trPr>
                  <w:trHeight w:val="630"/>
                  <w:jc w:val="center"/>
                </w:trPr>
                <w:tc>
                  <w:tcPr>
                    <w:tcW w:w="5335" w:type="dxa"/>
                    <w:tcBorders>
                      <w:top w:val="nil"/>
                      <w:left w:val="nil"/>
                      <w:bottom w:val="nil"/>
                      <w:right w:val="nil"/>
                    </w:tcBorders>
                    <w:shd w:val="clear" w:color="auto" w:fill="auto"/>
                    <w:vAlign w:val="bottom"/>
                    <w:hideMark/>
                  </w:tcPr>
                  <w:p>
                    <w:pPr>
                      <w:rPr>
                        <w:color w:val="000000"/>
                      </w:rPr>
                    </w:pPr>
                    <w:r>
                      <w:rPr>
                        <w:color w:val="000000"/>
                      </w:rPr>
                      <w:t>Priešgaisrinės apsaugos ir gelbėjimo departamentas prie Vidaus reikalų ministerijos</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87 809</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82 265</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40 502</w:t>
                    </w:r>
                  </w:p>
                </w:tc>
                <w:tc>
                  <w:tcPr>
                    <w:tcW w:w="1239" w:type="dxa"/>
                    <w:tcBorders>
                      <w:top w:val="nil"/>
                      <w:left w:val="nil"/>
                      <w:bottom w:val="nil"/>
                      <w:right w:val="nil"/>
                    </w:tcBorders>
                    <w:shd w:val="clear" w:color="auto" w:fill="auto"/>
                    <w:noWrap/>
                    <w:vAlign w:val="bottom"/>
                    <w:hideMark/>
                  </w:tcPr>
                  <w:p>
                    <w:pPr>
                      <w:ind w:firstLine="60"/>
                      <w:jc w:val="right"/>
                      <w:rPr>
                        <w:color w:val="000000"/>
                      </w:rPr>
                    </w:pPr>
                    <w:r>
                      <w:rPr>
                        <w:color w:val="000000"/>
                      </w:rPr>
                      <w:t>5 544</w:t>
                    </w:r>
                  </w:p>
                </w:tc>
              </w:tr>
              <w:tr>
                <w:trPr>
                  <w:trHeight w:val="630"/>
                  <w:jc w:val="center"/>
                </w:trPr>
                <w:tc>
                  <w:tcPr>
                    <w:tcW w:w="5335" w:type="dxa"/>
                    <w:tcBorders>
                      <w:top w:val="nil"/>
                      <w:left w:val="nil"/>
                      <w:bottom w:val="nil"/>
                      <w:right w:val="nil"/>
                    </w:tcBorders>
                    <w:shd w:val="clear" w:color="auto" w:fill="auto"/>
                    <w:vAlign w:val="bottom"/>
                    <w:hideMark/>
                  </w:tcPr>
                  <w:p>
                    <w:pPr>
                      <w:rPr>
                        <w:color w:val="000000"/>
                      </w:rPr>
                    </w:pPr>
                    <w:r>
                      <w:rPr>
                        <w:color w:val="000000"/>
                      </w:rPr>
                      <w:t>Kūno kultūros ir sporto departamentas prie Lietuvos Respublikos Vyriausybės</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33 014</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26 730</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2 989</w:t>
                    </w:r>
                  </w:p>
                </w:tc>
                <w:tc>
                  <w:tcPr>
                    <w:tcW w:w="1239" w:type="dxa"/>
                    <w:tcBorders>
                      <w:top w:val="nil"/>
                      <w:left w:val="nil"/>
                      <w:bottom w:val="nil"/>
                      <w:right w:val="nil"/>
                    </w:tcBorders>
                    <w:shd w:val="clear" w:color="auto" w:fill="auto"/>
                    <w:noWrap/>
                    <w:vAlign w:val="bottom"/>
                    <w:hideMark/>
                  </w:tcPr>
                  <w:p>
                    <w:pPr>
                      <w:ind w:firstLine="60"/>
                      <w:jc w:val="right"/>
                      <w:rPr>
                        <w:color w:val="000000"/>
                      </w:rPr>
                    </w:pPr>
                    <w:r>
                      <w:rPr>
                        <w:color w:val="000000"/>
                      </w:rPr>
                      <w:t>6 284</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Valstybės tarnybos departamentas</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1 419</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1 399</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756</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20</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Policijos departamentas prie Vidaus reikalų ministerijos</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210 067</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201 942</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130 001</w:t>
                    </w:r>
                  </w:p>
                </w:tc>
                <w:tc>
                  <w:tcPr>
                    <w:tcW w:w="1239" w:type="dxa"/>
                    <w:tcBorders>
                      <w:top w:val="nil"/>
                      <w:left w:val="nil"/>
                      <w:bottom w:val="nil"/>
                      <w:right w:val="nil"/>
                    </w:tcBorders>
                    <w:shd w:val="clear" w:color="auto" w:fill="auto"/>
                    <w:noWrap/>
                    <w:vAlign w:val="bottom"/>
                    <w:hideMark/>
                  </w:tcPr>
                  <w:p>
                    <w:pPr>
                      <w:ind w:firstLine="60"/>
                      <w:jc w:val="right"/>
                      <w:rPr>
                        <w:color w:val="000000"/>
                      </w:rPr>
                    </w:pPr>
                    <w:r>
                      <w:rPr>
                        <w:color w:val="000000"/>
                      </w:rPr>
                      <w:t>8 125</w:t>
                    </w:r>
                  </w:p>
                </w:tc>
              </w:tr>
              <w:tr>
                <w:trPr>
                  <w:trHeight w:val="630"/>
                  <w:jc w:val="center"/>
                </w:trPr>
                <w:tc>
                  <w:tcPr>
                    <w:tcW w:w="5335" w:type="dxa"/>
                    <w:tcBorders>
                      <w:top w:val="nil"/>
                      <w:left w:val="nil"/>
                      <w:bottom w:val="nil"/>
                      <w:right w:val="nil"/>
                    </w:tcBorders>
                    <w:shd w:val="clear" w:color="auto" w:fill="auto"/>
                    <w:vAlign w:val="bottom"/>
                    <w:hideMark/>
                  </w:tcPr>
                  <w:p>
                    <w:pPr>
                      <w:rPr>
                        <w:color w:val="000000"/>
                      </w:rPr>
                    </w:pPr>
                    <w:r>
                      <w:rPr>
                        <w:color w:val="000000"/>
                      </w:rPr>
                      <w:t>Vadovybės apsaugos departamentas prie Vidaus reikalų ministerijos</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10 667</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9 227</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6 159</w:t>
                    </w:r>
                  </w:p>
                </w:tc>
                <w:tc>
                  <w:tcPr>
                    <w:tcW w:w="1239" w:type="dxa"/>
                    <w:tcBorders>
                      <w:top w:val="nil"/>
                      <w:left w:val="nil"/>
                      <w:bottom w:val="nil"/>
                      <w:right w:val="nil"/>
                    </w:tcBorders>
                    <w:shd w:val="clear" w:color="auto" w:fill="auto"/>
                    <w:noWrap/>
                    <w:vAlign w:val="bottom"/>
                    <w:hideMark/>
                  </w:tcPr>
                  <w:p>
                    <w:pPr>
                      <w:ind w:firstLine="60"/>
                      <w:jc w:val="right"/>
                      <w:rPr>
                        <w:color w:val="000000"/>
                      </w:rPr>
                    </w:pPr>
                    <w:r>
                      <w:rPr>
                        <w:color w:val="000000"/>
                      </w:rPr>
                      <w:t>1 440</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Viešojo saugumo tarnyba prie Vidaus reikalų ministerijos</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16 672</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15 144</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9 808</w:t>
                    </w:r>
                  </w:p>
                </w:tc>
                <w:tc>
                  <w:tcPr>
                    <w:tcW w:w="1239" w:type="dxa"/>
                    <w:tcBorders>
                      <w:top w:val="nil"/>
                      <w:left w:val="nil"/>
                      <w:bottom w:val="nil"/>
                      <w:right w:val="nil"/>
                    </w:tcBorders>
                    <w:shd w:val="clear" w:color="auto" w:fill="auto"/>
                    <w:noWrap/>
                    <w:vAlign w:val="bottom"/>
                    <w:hideMark/>
                  </w:tcPr>
                  <w:p>
                    <w:pPr>
                      <w:ind w:firstLine="60"/>
                      <w:jc w:val="right"/>
                      <w:rPr>
                        <w:color w:val="000000"/>
                      </w:rPr>
                    </w:pPr>
                    <w:r>
                      <w:rPr>
                        <w:color w:val="000000"/>
                      </w:rPr>
                      <w:t>1 528</w:t>
                    </w:r>
                  </w:p>
                </w:tc>
              </w:tr>
              <w:tr>
                <w:trPr>
                  <w:trHeight w:val="315"/>
                  <w:jc w:val="center"/>
                </w:trPr>
                <w:tc>
                  <w:tcPr>
                    <w:tcW w:w="10184" w:type="dxa"/>
                    <w:gridSpan w:val="5"/>
                    <w:tcBorders>
                      <w:top w:val="nil"/>
                      <w:left w:val="nil"/>
                      <w:bottom w:val="nil"/>
                      <w:right w:val="nil"/>
                    </w:tcBorders>
                    <w:shd w:val="clear" w:color="auto" w:fill="auto"/>
                    <w:noWrap/>
                    <w:vAlign w:val="bottom"/>
                    <w:hideMark/>
                  </w:tcPr>
                  <w:p>
                    <w:pPr>
                      <w:rPr>
                        <w:b/>
                        <w:bCs/>
                        <w:color w:val="000000"/>
                      </w:rPr>
                    </w:pPr>
                    <w:r>
                      <w:rPr>
                        <w:b/>
                        <w:bCs/>
                        <w:color w:val="000000"/>
                      </w:rPr>
                      <w:t>ŽEMĖS ŪKIO MINISTRO VALDYMO SRITIS</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Valstybinė maisto ir veterinarijos tarnyba</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28 189</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26 604</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12 946</w:t>
                    </w:r>
                  </w:p>
                </w:tc>
                <w:tc>
                  <w:tcPr>
                    <w:tcW w:w="1239" w:type="dxa"/>
                    <w:tcBorders>
                      <w:top w:val="nil"/>
                      <w:left w:val="nil"/>
                      <w:bottom w:val="nil"/>
                      <w:right w:val="nil"/>
                    </w:tcBorders>
                    <w:shd w:val="clear" w:color="auto" w:fill="auto"/>
                    <w:noWrap/>
                    <w:vAlign w:val="bottom"/>
                    <w:hideMark/>
                  </w:tcPr>
                  <w:p>
                    <w:pPr>
                      <w:ind w:firstLine="60"/>
                      <w:jc w:val="right"/>
                      <w:rPr>
                        <w:color w:val="000000"/>
                      </w:rPr>
                    </w:pPr>
                    <w:r>
                      <w:rPr>
                        <w:color w:val="000000"/>
                      </w:rPr>
                      <w:t>1 585</w:t>
                    </w:r>
                  </w:p>
                </w:tc>
              </w:tr>
              <w:tr>
                <w:trPr>
                  <w:trHeight w:val="315"/>
                  <w:jc w:val="center"/>
                </w:trPr>
                <w:tc>
                  <w:tcPr>
                    <w:tcW w:w="10184" w:type="dxa"/>
                    <w:gridSpan w:val="5"/>
                    <w:tcBorders>
                      <w:top w:val="nil"/>
                      <w:left w:val="nil"/>
                      <w:bottom w:val="nil"/>
                      <w:right w:val="nil"/>
                    </w:tcBorders>
                    <w:shd w:val="clear" w:color="auto" w:fill="auto"/>
                    <w:noWrap/>
                    <w:vAlign w:val="bottom"/>
                    <w:hideMark/>
                  </w:tcPr>
                  <w:p>
                    <w:pPr>
                      <w:rPr>
                        <w:b/>
                        <w:bCs/>
                        <w:color w:val="000000"/>
                      </w:rPr>
                    </w:pPr>
                    <w:r>
                      <w:rPr>
                        <w:b/>
                        <w:bCs/>
                        <w:color w:val="000000"/>
                      </w:rPr>
                      <w:t>IV. KITOS VALSTYBĖS INSTITUCIJOS IR ĮSTAIGOS</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Lietuvos Respublikos Konstitucinis Teismas</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2 019</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1 835</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1 264</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184</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Lietuvos Respublikos generalinė prokuratūra</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34 944</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29 357</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20 255</w:t>
                    </w:r>
                  </w:p>
                </w:tc>
                <w:tc>
                  <w:tcPr>
                    <w:tcW w:w="1239" w:type="dxa"/>
                    <w:tcBorders>
                      <w:top w:val="nil"/>
                      <w:left w:val="nil"/>
                      <w:bottom w:val="nil"/>
                      <w:right w:val="nil"/>
                    </w:tcBorders>
                    <w:shd w:val="clear" w:color="auto" w:fill="auto"/>
                    <w:noWrap/>
                    <w:vAlign w:val="bottom"/>
                    <w:hideMark/>
                  </w:tcPr>
                  <w:p>
                    <w:pPr>
                      <w:ind w:firstLine="60"/>
                      <w:jc w:val="right"/>
                      <w:rPr>
                        <w:color w:val="000000"/>
                      </w:rPr>
                    </w:pPr>
                    <w:r>
                      <w:rPr>
                        <w:color w:val="000000"/>
                      </w:rPr>
                      <w:t>5 587</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Nacionalinė teismų administracija</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13 832</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11 638</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1 006</w:t>
                    </w:r>
                  </w:p>
                </w:tc>
                <w:tc>
                  <w:tcPr>
                    <w:tcW w:w="1239" w:type="dxa"/>
                    <w:tcBorders>
                      <w:top w:val="nil"/>
                      <w:left w:val="nil"/>
                      <w:bottom w:val="nil"/>
                      <w:right w:val="nil"/>
                    </w:tcBorders>
                    <w:shd w:val="clear" w:color="auto" w:fill="auto"/>
                    <w:noWrap/>
                    <w:vAlign w:val="bottom"/>
                    <w:hideMark/>
                  </w:tcPr>
                  <w:p>
                    <w:pPr>
                      <w:ind w:firstLine="60"/>
                      <w:jc w:val="right"/>
                      <w:rPr>
                        <w:color w:val="000000"/>
                      </w:rPr>
                    </w:pPr>
                    <w:r>
                      <w:rPr>
                        <w:color w:val="000000"/>
                      </w:rPr>
                      <w:t>2 194</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Teismai</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63 983</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63 956</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45 278</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27</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Lietuvos gyventojų genocido ir rezistencijos tyrimo centras</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2 165</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1 957</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1 038</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208</w:t>
                    </w:r>
                  </w:p>
                </w:tc>
              </w:tr>
              <w:tr>
                <w:trPr>
                  <w:trHeight w:val="630"/>
                  <w:jc w:val="center"/>
                </w:trPr>
                <w:tc>
                  <w:tcPr>
                    <w:tcW w:w="5335" w:type="dxa"/>
                    <w:tcBorders>
                      <w:top w:val="nil"/>
                      <w:left w:val="nil"/>
                      <w:bottom w:val="nil"/>
                      <w:right w:val="nil"/>
                    </w:tcBorders>
                    <w:shd w:val="clear" w:color="auto" w:fill="auto"/>
                    <w:vAlign w:val="bottom"/>
                    <w:hideMark/>
                  </w:tcPr>
                  <w:p>
                    <w:pPr>
                      <w:rPr>
                        <w:color w:val="000000"/>
                      </w:rPr>
                    </w:pPr>
                    <w:r>
                      <w:rPr>
                        <w:color w:val="000000"/>
                      </w:rPr>
                      <w:t>Tarptautinės komisijos nacių ir sovietinio okupacinių režimų nusikaltimams Lietuvoje įvertinti sekretoriatas</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133</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133</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64</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Vyriausioji administracinių ginčų komisija</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290</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278</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192</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12</w:t>
                    </w:r>
                  </w:p>
                </w:tc>
              </w:tr>
              <w:tr>
                <w:trPr>
                  <w:trHeight w:val="630"/>
                  <w:jc w:val="center"/>
                </w:trPr>
                <w:tc>
                  <w:tcPr>
                    <w:tcW w:w="5335" w:type="dxa"/>
                    <w:tcBorders>
                      <w:top w:val="nil"/>
                      <w:left w:val="nil"/>
                      <w:bottom w:val="nil"/>
                      <w:right w:val="nil"/>
                    </w:tcBorders>
                    <w:shd w:val="clear" w:color="auto" w:fill="auto"/>
                    <w:vAlign w:val="bottom"/>
                    <w:hideMark/>
                  </w:tcPr>
                  <w:p>
                    <w:pPr>
                      <w:rPr>
                        <w:color w:val="000000"/>
                      </w:rPr>
                    </w:pPr>
                    <w:r>
                      <w:rPr>
                        <w:color w:val="000000"/>
                      </w:rPr>
                      <w:t>Mokestinių ginčų komisija prie Lietuvos Respublikos Vyriausybės</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404</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394</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274</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10</w:t>
                    </w:r>
                  </w:p>
                </w:tc>
              </w:tr>
              <w:tr>
                <w:trPr>
                  <w:trHeight w:val="630"/>
                  <w:jc w:val="center"/>
                </w:trPr>
                <w:tc>
                  <w:tcPr>
                    <w:tcW w:w="5335" w:type="dxa"/>
                    <w:tcBorders>
                      <w:top w:val="nil"/>
                      <w:left w:val="nil"/>
                      <w:bottom w:val="nil"/>
                      <w:right w:val="nil"/>
                    </w:tcBorders>
                    <w:shd w:val="clear" w:color="auto" w:fill="auto"/>
                    <w:vAlign w:val="bottom"/>
                    <w:hideMark/>
                  </w:tcPr>
                  <w:p>
                    <w:pPr>
                      <w:rPr>
                        <w:color w:val="000000"/>
                      </w:rPr>
                    </w:pPr>
                    <w:r>
                      <w:rPr>
                        <w:color w:val="000000"/>
                      </w:rPr>
                      <w:t>Tautinių mažumų departamentas prie Lietuvos Respublikos Vyriausybės</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918</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906</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208</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12</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Lietuvos Respublikos ryšių reguliavimo tarnyba</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7 834</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5 434</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2 900</w:t>
                    </w:r>
                  </w:p>
                </w:tc>
                <w:tc>
                  <w:tcPr>
                    <w:tcW w:w="1239" w:type="dxa"/>
                    <w:tcBorders>
                      <w:top w:val="nil"/>
                      <w:left w:val="nil"/>
                      <w:bottom w:val="nil"/>
                      <w:right w:val="nil"/>
                    </w:tcBorders>
                    <w:shd w:val="clear" w:color="auto" w:fill="auto"/>
                    <w:noWrap/>
                    <w:vAlign w:val="bottom"/>
                    <w:hideMark/>
                  </w:tcPr>
                  <w:p>
                    <w:pPr>
                      <w:ind w:firstLine="60"/>
                      <w:jc w:val="right"/>
                      <w:rPr>
                        <w:color w:val="000000"/>
                      </w:rPr>
                    </w:pPr>
                    <w:r>
                      <w:rPr>
                        <w:color w:val="000000"/>
                      </w:rPr>
                      <w:t>2 400</w:t>
                    </w:r>
                  </w:p>
                </w:tc>
              </w:tr>
              <w:tr>
                <w:trPr>
                  <w:trHeight w:val="315"/>
                  <w:jc w:val="center"/>
                </w:trPr>
                <w:tc>
                  <w:tcPr>
                    <w:tcW w:w="10184" w:type="dxa"/>
                    <w:gridSpan w:val="5"/>
                    <w:tcBorders>
                      <w:top w:val="nil"/>
                      <w:left w:val="nil"/>
                      <w:bottom w:val="nil"/>
                      <w:right w:val="nil"/>
                    </w:tcBorders>
                    <w:shd w:val="clear" w:color="auto" w:fill="auto"/>
                    <w:noWrap/>
                    <w:vAlign w:val="bottom"/>
                    <w:hideMark/>
                  </w:tcPr>
                  <w:p>
                    <w:pPr>
                      <w:rPr>
                        <w:b/>
                        <w:bCs/>
                        <w:color w:val="000000"/>
                      </w:rPr>
                    </w:pPr>
                    <w:r>
                      <w:rPr>
                        <w:b/>
                        <w:bCs/>
                        <w:color w:val="000000"/>
                      </w:rPr>
                      <w:t>V. ŠVIETIMO, KULTŪROS IR MOKSLO ORGANIZACIJOS (INSTITUTAI)</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Vilniaus universitetas</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50 782</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49 992</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790</w:t>
                    </w:r>
                  </w:p>
                </w:tc>
              </w:tr>
              <w:tr>
                <w:trPr>
                  <w:trHeight w:val="630"/>
                  <w:jc w:val="center"/>
                </w:trPr>
                <w:tc>
                  <w:tcPr>
                    <w:tcW w:w="5335" w:type="dxa"/>
                    <w:tcBorders>
                      <w:top w:val="nil"/>
                      <w:left w:val="nil"/>
                      <w:bottom w:val="nil"/>
                      <w:right w:val="nil"/>
                    </w:tcBorders>
                    <w:shd w:val="clear" w:color="auto" w:fill="auto"/>
                    <w:vAlign w:val="bottom"/>
                    <w:hideMark/>
                  </w:tcPr>
                  <w:p>
                    <w:pPr>
                      <w:ind w:firstLine="454"/>
                      <w:rPr>
                        <w:color w:val="000000"/>
                      </w:rPr>
                    </w:pPr>
                    <w:r>
                      <w:rPr>
                        <w:color w:val="000000"/>
                      </w:rPr>
                      <w:t>iš jų: valstybinės reikšmės Vilniaus universiteto</w:t>
                    </w:r>
                  </w:p>
                  <w:p>
                    <w:pPr>
                      <w:ind w:firstLine="454"/>
                      <w:rPr>
                        <w:color w:val="000000"/>
                      </w:rPr>
                    </w:pPr>
                    <w:r>
                      <w:rPr>
                        <w:color w:val="000000"/>
                      </w:rPr>
                      <w:t>bibliotekos veiklai užtikrinti</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2 348</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2 100</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248</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Vytauto Didžiojo universitetas</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11 642</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10 742</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900</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Kauno technologijos universitetas</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26 542</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26 408</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134</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Vilniaus Gedimino technikos universitetas</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19 360</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18 493</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867</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Klaipėdos universitetas</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7 085</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7 085</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Aleksandro Stulginskio universitetas</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5 719</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5 519</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200</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Mykolo Romerio universitetas</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4 789</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4 789</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Lietuvos sveikatos mokslų universitetas</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25 257</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24 172</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c>
                  <w:tcPr>
                    <w:tcW w:w="1239" w:type="dxa"/>
                    <w:tcBorders>
                      <w:top w:val="nil"/>
                      <w:left w:val="nil"/>
                      <w:bottom w:val="nil"/>
                      <w:right w:val="nil"/>
                    </w:tcBorders>
                    <w:shd w:val="clear" w:color="auto" w:fill="auto"/>
                    <w:noWrap/>
                    <w:vAlign w:val="bottom"/>
                    <w:hideMark/>
                  </w:tcPr>
                  <w:p>
                    <w:pPr>
                      <w:ind w:firstLine="60"/>
                      <w:jc w:val="right"/>
                      <w:rPr>
                        <w:color w:val="000000"/>
                      </w:rPr>
                    </w:pPr>
                    <w:r>
                      <w:rPr>
                        <w:color w:val="000000"/>
                      </w:rPr>
                      <w:t>1 085</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Vilniaus dailės akademija</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6 484</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6 204</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280</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Lietuvos edukologijos universitetas</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6 531</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6 031</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500</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Lietuvos sporto universitetas</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3 098</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2 605</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493</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Šiaulių universitetas</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4 420</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4 320</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100</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 xml:space="preserve">Lietuvos muzikos ir teatro  akademija</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5 372</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5 314</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58</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Lietuvos energetikos institutas</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3 545</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3 516</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2 215</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29</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Nacionalinis vėžio institutas</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1 419</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923</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442</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496</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Lietuvos kultūros tyrimų institutas</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761</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761</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542</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Lietuvos istorijos institutas</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1 304</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1 304</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894</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Lietuvių literatūros ir tautosakos institutas</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1 085</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1 085</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711</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Lietuvių kalbos institutas</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1 007</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1 007</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674</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Lietuvos agrarinės ekonomikos institutas</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569</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554</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359</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15</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Lietuvos teisės institutas</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452</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452</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312</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Lietuvos socialinių tyrimų centras</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601</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601</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387</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r>
              <w:tr>
                <w:trPr>
                  <w:trHeight w:val="630"/>
                  <w:jc w:val="center"/>
                </w:trPr>
                <w:tc>
                  <w:tcPr>
                    <w:tcW w:w="5335" w:type="dxa"/>
                    <w:tcBorders>
                      <w:top w:val="nil"/>
                      <w:left w:val="nil"/>
                      <w:bottom w:val="nil"/>
                      <w:right w:val="nil"/>
                    </w:tcBorders>
                    <w:shd w:val="clear" w:color="auto" w:fill="auto"/>
                    <w:vAlign w:val="bottom"/>
                    <w:hideMark/>
                  </w:tcPr>
                  <w:p>
                    <w:pPr>
                      <w:rPr>
                        <w:color w:val="000000"/>
                      </w:rPr>
                    </w:pPr>
                    <w:r>
                      <w:rPr>
                        <w:color w:val="000000"/>
                      </w:rPr>
                      <w:t>Valstybinis mokslinių tyrimų institutas Inovatyvios medicinos centras</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1 241</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1 236</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754</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5</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Lietuvos agrarinių ir miškų mokslų centras</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6 675</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6 096</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3 536</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579</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Gamtos tyrimų centras</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3 840</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3 790</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2 239</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50</w:t>
                    </w:r>
                  </w:p>
                </w:tc>
              </w:tr>
              <w:tr>
                <w:trPr>
                  <w:trHeight w:val="630"/>
                  <w:jc w:val="center"/>
                </w:trPr>
                <w:tc>
                  <w:tcPr>
                    <w:tcW w:w="5335" w:type="dxa"/>
                    <w:tcBorders>
                      <w:top w:val="nil"/>
                      <w:left w:val="nil"/>
                      <w:bottom w:val="nil"/>
                      <w:right w:val="nil"/>
                    </w:tcBorders>
                    <w:shd w:val="clear" w:color="auto" w:fill="auto"/>
                    <w:vAlign w:val="bottom"/>
                    <w:hideMark/>
                  </w:tcPr>
                  <w:p>
                    <w:pPr>
                      <w:rPr>
                        <w:color w:val="000000"/>
                      </w:rPr>
                    </w:pPr>
                    <w:r>
                      <w:rPr>
                        <w:color w:val="000000"/>
                      </w:rPr>
                      <w:t>Valstybinis mokslinių tyrimų institutas Fizinių ir technologijos mokslų centras</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7 716</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7 631</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4 504</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85</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Lietuvos mokslų akademija</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3 103</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2 780</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1 717</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323</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Lietuvos mokslo taryba</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18 639</w:t>
                    </w:r>
                  </w:p>
                </w:tc>
                <w:tc>
                  <w:tcPr>
                    <w:tcW w:w="1170" w:type="dxa"/>
                    <w:tcBorders>
                      <w:top w:val="nil"/>
                      <w:left w:val="nil"/>
                      <w:bottom w:val="nil"/>
                      <w:right w:val="nil"/>
                    </w:tcBorders>
                    <w:shd w:val="clear" w:color="auto" w:fill="auto"/>
                    <w:noWrap/>
                    <w:vAlign w:val="bottom"/>
                    <w:hideMark/>
                  </w:tcPr>
                  <w:p>
                    <w:pPr>
                      <w:ind w:firstLine="60"/>
                      <w:jc w:val="right"/>
                      <w:rPr>
                        <w:color w:val="000000"/>
                      </w:rPr>
                    </w:pPr>
                    <w:r>
                      <w:rPr>
                        <w:color w:val="000000"/>
                      </w:rPr>
                      <w:t>18 639</w:t>
                    </w:r>
                  </w:p>
                </w:tc>
                <w:tc>
                  <w:tcPr>
                    <w:tcW w:w="1270" w:type="dxa"/>
                    <w:tcBorders>
                      <w:top w:val="nil"/>
                      <w:left w:val="nil"/>
                      <w:bottom w:val="nil"/>
                      <w:right w:val="nil"/>
                    </w:tcBorders>
                    <w:shd w:val="clear" w:color="auto" w:fill="auto"/>
                    <w:noWrap/>
                    <w:vAlign w:val="bottom"/>
                    <w:hideMark/>
                  </w:tcPr>
                  <w:p>
                    <w:pPr>
                      <w:ind w:firstLine="60"/>
                      <w:jc w:val="right"/>
                      <w:rPr>
                        <w:color w:val="000000"/>
                      </w:rPr>
                    </w:pPr>
                    <w:r>
                      <w:rPr>
                        <w:color w:val="000000"/>
                      </w:rPr>
                      <w:t>1 066</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Kauno kunigų seminarija</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109</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109</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r>
              <w:tr>
                <w:trPr>
                  <w:trHeight w:val="315"/>
                  <w:jc w:val="center"/>
                </w:trPr>
                <w:tc>
                  <w:tcPr>
                    <w:tcW w:w="5335" w:type="dxa"/>
                    <w:tcBorders>
                      <w:top w:val="nil"/>
                      <w:left w:val="nil"/>
                      <w:bottom w:val="nil"/>
                      <w:right w:val="nil"/>
                    </w:tcBorders>
                    <w:shd w:val="clear" w:color="auto" w:fill="auto"/>
                    <w:vAlign w:val="bottom"/>
                    <w:hideMark/>
                  </w:tcPr>
                  <w:p>
                    <w:pPr>
                      <w:rPr>
                        <w:color w:val="000000"/>
                      </w:rPr>
                    </w:pPr>
                    <w:r>
                      <w:rPr>
                        <w:color w:val="000000"/>
                      </w:rPr>
                      <w:t>Telšių Vyskupo Vincento Borisevičiaus kunigų seminarija</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55</w:t>
                    </w:r>
                  </w:p>
                </w:tc>
                <w:tc>
                  <w:tcPr>
                    <w:tcW w:w="1170" w:type="dxa"/>
                    <w:tcBorders>
                      <w:top w:val="nil"/>
                      <w:left w:val="nil"/>
                      <w:bottom w:val="nil"/>
                      <w:right w:val="nil"/>
                    </w:tcBorders>
                    <w:shd w:val="clear" w:color="auto" w:fill="auto"/>
                    <w:noWrap/>
                    <w:vAlign w:val="bottom"/>
                    <w:hideMark/>
                  </w:tcPr>
                  <w:p>
                    <w:pPr>
                      <w:ind w:firstLine="120"/>
                      <w:jc w:val="right"/>
                      <w:rPr>
                        <w:color w:val="000000"/>
                      </w:rPr>
                    </w:pPr>
                    <w:r>
                      <w:rPr>
                        <w:color w:val="000000"/>
                      </w:rPr>
                      <w:t>55</w:t>
                    </w:r>
                  </w:p>
                </w:tc>
                <w:tc>
                  <w:tcPr>
                    <w:tcW w:w="1270"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c>
                  <w:tcPr>
                    <w:tcW w:w="1239" w:type="dxa"/>
                    <w:tcBorders>
                      <w:top w:val="nil"/>
                      <w:left w:val="nil"/>
                      <w:bottom w:val="nil"/>
                      <w:right w:val="nil"/>
                    </w:tcBorders>
                    <w:shd w:val="clear" w:color="auto" w:fill="auto"/>
                    <w:noWrap/>
                    <w:vAlign w:val="bottom"/>
                    <w:hideMark/>
                  </w:tcPr>
                  <w:p>
                    <w:pPr>
                      <w:ind w:firstLine="120"/>
                      <w:jc w:val="right"/>
                      <w:rPr>
                        <w:color w:val="000000"/>
                      </w:rPr>
                    </w:pPr>
                    <w:r>
                      <w:rPr>
                        <w:color w:val="000000"/>
                      </w:rPr>
                      <w:t>0</w:t>
                    </w:r>
                  </w:p>
                </w:tc>
              </w:tr>
              <w:tr>
                <w:trPr>
                  <w:trHeight w:val="315"/>
                  <w:jc w:val="center"/>
                </w:trPr>
                <w:tc>
                  <w:tcPr>
                    <w:tcW w:w="5335" w:type="dxa"/>
                    <w:tcBorders>
                      <w:top w:val="nil"/>
                      <w:left w:val="nil"/>
                      <w:bottom w:val="single" w:sz="4" w:space="0" w:color="auto"/>
                      <w:right w:val="nil"/>
                    </w:tcBorders>
                    <w:shd w:val="clear" w:color="auto" w:fill="auto"/>
                    <w:vAlign w:val="bottom"/>
                    <w:hideMark/>
                  </w:tcPr>
                  <w:p>
                    <w:pPr>
                      <w:rPr>
                        <w:color w:val="000000"/>
                      </w:rPr>
                    </w:pPr>
                    <w:r>
                      <w:rPr>
                        <w:color w:val="000000"/>
                      </w:rPr>
                      <w:t>Vilniaus Šv. Juozapo kunigų seminarija</w:t>
                    </w:r>
                  </w:p>
                </w:tc>
                <w:tc>
                  <w:tcPr>
                    <w:tcW w:w="1170" w:type="dxa"/>
                    <w:tcBorders>
                      <w:top w:val="nil"/>
                      <w:left w:val="nil"/>
                      <w:bottom w:val="single" w:sz="4" w:space="0" w:color="auto"/>
                      <w:right w:val="nil"/>
                    </w:tcBorders>
                    <w:shd w:val="clear" w:color="auto" w:fill="auto"/>
                    <w:noWrap/>
                    <w:vAlign w:val="bottom"/>
                    <w:hideMark/>
                  </w:tcPr>
                  <w:p>
                    <w:pPr>
                      <w:ind w:firstLine="120"/>
                      <w:jc w:val="right"/>
                      <w:rPr>
                        <w:color w:val="000000"/>
                      </w:rPr>
                    </w:pPr>
                    <w:r>
                      <w:rPr>
                        <w:color w:val="000000"/>
                      </w:rPr>
                      <w:t>128</w:t>
                    </w:r>
                  </w:p>
                </w:tc>
                <w:tc>
                  <w:tcPr>
                    <w:tcW w:w="1170" w:type="dxa"/>
                    <w:tcBorders>
                      <w:top w:val="nil"/>
                      <w:left w:val="nil"/>
                      <w:bottom w:val="single" w:sz="4" w:space="0" w:color="auto"/>
                      <w:right w:val="nil"/>
                    </w:tcBorders>
                    <w:shd w:val="clear" w:color="auto" w:fill="auto"/>
                    <w:noWrap/>
                    <w:vAlign w:val="bottom"/>
                    <w:hideMark/>
                  </w:tcPr>
                  <w:p>
                    <w:pPr>
                      <w:ind w:firstLine="120"/>
                      <w:jc w:val="right"/>
                      <w:rPr>
                        <w:color w:val="000000"/>
                      </w:rPr>
                    </w:pPr>
                    <w:r>
                      <w:rPr>
                        <w:color w:val="000000"/>
                      </w:rPr>
                      <w:t>128</w:t>
                    </w:r>
                  </w:p>
                </w:tc>
                <w:tc>
                  <w:tcPr>
                    <w:tcW w:w="1270" w:type="dxa"/>
                    <w:tcBorders>
                      <w:top w:val="nil"/>
                      <w:left w:val="nil"/>
                      <w:bottom w:val="single" w:sz="4" w:space="0" w:color="auto"/>
                      <w:right w:val="nil"/>
                    </w:tcBorders>
                    <w:shd w:val="clear" w:color="auto" w:fill="auto"/>
                    <w:noWrap/>
                    <w:vAlign w:val="bottom"/>
                    <w:hideMark/>
                  </w:tcPr>
                  <w:p>
                    <w:pPr>
                      <w:ind w:firstLine="120"/>
                      <w:jc w:val="right"/>
                      <w:rPr>
                        <w:color w:val="000000"/>
                      </w:rPr>
                    </w:pPr>
                    <w:r>
                      <w:rPr>
                        <w:color w:val="000000"/>
                      </w:rPr>
                      <w:t>0</w:t>
                    </w:r>
                  </w:p>
                </w:tc>
                <w:tc>
                  <w:tcPr>
                    <w:tcW w:w="1239" w:type="dxa"/>
                    <w:tcBorders>
                      <w:top w:val="nil"/>
                      <w:left w:val="nil"/>
                      <w:bottom w:val="single" w:sz="4" w:space="0" w:color="auto"/>
                      <w:right w:val="nil"/>
                    </w:tcBorders>
                    <w:shd w:val="clear" w:color="auto" w:fill="auto"/>
                    <w:noWrap/>
                    <w:vAlign w:val="bottom"/>
                    <w:hideMark/>
                  </w:tcPr>
                  <w:p>
                    <w:pPr>
                      <w:ind w:firstLine="120"/>
                      <w:jc w:val="right"/>
                      <w:rPr>
                        <w:color w:val="000000"/>
                      </w:rPr>
                    </w:pPr>
                    <w:r>
                      <w:rPr>
                        <w:color w:val="000000"/>
                      </w:rPr>
                      <w:t>0</w:t>
                    </w:r>
                  </w:p>
                </w:tc>
              </w:tr>
              <w:tr>
                <w:trPr>
                  <w:trHeight w:val="315"/>
                  <w:jc w:val="center"/>
                </w:trPr>
                <w:tc>
                  <w:tcPr>
                    <w:tcW w:w="5335" w:type="dxa"/>
                    <w:tcBorders>
                      <w:top w:val="single" w:sz="4" w:space="0" w:color="auto"/>
                      <w:left w:val="nil"/>
                      <w:bottom w:val="nil"/>
                      <w:right w:val="nil"/>
                    </w:tcBorders>
                    <w:shd w:val="clear" w:color="auto" w:fill="auto"/>
                    <w:noWrap/>
                    <w:vAlign w:val="bottom"/>
                    <w:hideMark/>
                  </w:tcPr>
                  <w:p>
                    <w:pPr>
                      <w:rPr>
                        <w:color w:val="000000"/>
                      </w:rPr>
                    </w:pPr>
                    <w:r>
                      <w:rPr>
                        <w:color w:val="000000"/>
                      </w:rPr>
                      <w:t>IŠ VISO</w:t>
                    </w:r>
                  </w:p>
                </w:tc>
                <w:tc>
                  <w:tcPr>
                    <w:tcW w:w="1170" w:type="dxa"/>
                    <w:tcBorders>
                      <w:top w:val="single" w:sz="4" w:space="0" w:color="auto"/>
                      <w:left w:val="nil"/>
                      <w:bottom w:val="nil"/>
                      <w:right w:val="nil"/>
                    </w:tcBorders>
                    <w:shd w:val="clear" w:color="auto" w:fill="auto"/>
                    <w:noWrap/>
                    <w:vAlign w:val="bottom"/>
                    <w:hideMark/>
                  </w:tcPr>
                  <w:p>
                    <w:pPr>
                      <w:jc w:val="right"/>
                      <w:rPr>
                        <w:color w:val="000000"/>
                      </w:rPr>
                    </w:pPr>
                    <w:r>
                      <w:rPr>
                        <w:color w:val="000000"/>
                      </w:rPr>
                      <w:t>8 686 661</w:t>
                    </w:r>
                  </w:p>
                </w:tc>
                <w:tc>
                  <w:tcPr>
                    <w:tcW w:w="1170" w:type="dxa"/>
                    <w:tcBorders>
                      <w:top w:val="single" w:sz="4" w:space="0" w:color="auto"/>
                      <w:left w:val="nil"/>
                      <w:bottom w:val="nil"/>
                      <w:right w:val="nil"/>
                    </w:tcBorders>
                    <w:shd w:val="clear" w:color="auto" w:fill="auto"/>
                    <w:noWrap/>
                    <w:vAlign w:val="bottom"/>
                    <w:hideMark/>
                  </w:tcPr>
                  <w:p>
                    <w:pPr>
                      <w:ind w:firstLine="60"/>
                      <w:jc w:val="right"/>
                      <w:rPr>
                        <w:color w:val="000000"/>
                      </w:rPr>
                    </w:pPr>
                    <w:r>
                      <w:rPr>
                        <w:color w:val="000000"/>
                      </w:rPr>
                      <w:t>8 050 615</w:t>
                    </w:r>
                  </w:p>
                </w:tc>
                <w:tc>
                  <w:tcPr>
                    <w:tcW w:w="1270" w:type="dxa"/>
                    <w:tcBorders>
                      <w:top w:val="single" w:sz="4" w:space="0" w:color="auto"/>
                      <w:left w:val="nil"/>
                      <w:bottom w:val="nil"/>
                      <w:right w:val="nil"/>
                    </w:tcBorders>
                    <w:shd w:val="clear" w:color="auto" w:fill="auto"/>
                    <w:noWrap/>
                    <w:vAlign w:val="bottom"/>
                    <w:hideMark/>
                  </w:tcPr>
                  <w:p>
                    <w:pPr>
                      <w:ind w:firstLine="60"/>
                      <w:jc w:val="right"/>
                      <w:rPr>
                        <w:color w:val="000000"/>
                      </w:rPr>
                    </w:pPr>
                    <w:r>
                      <w:rPr>
                        <w:color w:val="000000"/>
                      </w:rPr>
                      <w:t>1 008 007</w:t>
                    </w:r>
                  </w:p>
                </w:tc>
                <w:tc>
                  <w:tcPr>
                    <w:tcW w:w="1239" w:type="dxa"/>
                    <w:tcBorders>
                      <w:top w:val="single" w:sz="4" w:space="0" w:color="auto"/>
                      <w:left w:val="nil"/>
                      <w:bottom w:val="nil"/>
                      <w:right w:val="nil"/>
                    </w:tcBorders>
                    <w:shd w:val="clear" w:color="auto" w:fill="auto"/>
                    <w:noWrap/>
                    <w:vAlign w:val="bottom"/>
                    <w:hideMark/>
                  </w:tcPr>
                  <w:p>
                    <w:pPr>
                      <w:ind w:firstLine="60"/>
                      <w:jc w:val="right"/>
                      <w:rPr>
                        <w:color w:val="000000"/>
                      </w:rPr>
                    </w:pPr>
                    <w:r>
                      <w:rPr>
                        <w:color w:val="000000"/>
                      </w:rPr>
                      <w:t>636 046</w:t>
                    </w:r>
                  </w:p>
                </w:tc>
              </w:tr>
            </w:tbl>
            <w:p/>
            <w:p/>
            <w:p>
              <w:pPr>
                <w:jc w:val="both"/>
                <w:rPr>
                  <w:rFonts w:eastAsia="Calibri"/>
                  <w:szCs w:val="24"/>
                  <w:lang w:eastAsia="lt-LT"/>
                </w:rPr>
                <w:sectPr>
                  <w:pgSz w:w="11906" w:h="16838" w:code="9"/>
                  <w:pgMar w:top="1134" w:right="849" w:bottom="1134" w:left="1701" w:header="567" w:footer="567" w:gutter="0"/>
                  <w:pgNumType w:start="1"/>
                  <w:cols w:space="1296"/>
                  <w:titlePg/>
                  <w:docGrid w:linePitch="360"/>
                </w:sectPr>
              </w:pPr>
            </w:p>
            <w:p>
              <w:pPr>
                <w:tabs>
                  <w:tab w:val="center" w:pos="4153"/>
                  <w:tab w:val="right" w:pos="8306"/>
                </w:tabs>
                <w:rPr>
                  <w:rFonts w:ascii="TimesLT" w:hAnsi="TimesLT"/>
                  <w:lang w:val="en-US"/>
                </w:rPr>
              </w:pPr>
            </w:p>
          </w:sdtContent>
        </w:sdt>
      </w:sdtContent>
    </w:sdt>
    <w:sdt>
      <w:sdtPr>
        <w:alias w:val="2 pr."/>
        <w:tag w:val="part_c0dffdd6f88a486d891b8a3a79f33b2f"/>
        <w:lock w:val="sdtLocked"/>
        <w:richText/>
      </w:sdtPr>
      <w:sdtContent>
        <w:p>
          <w:pPr>
            <w:ind w:firstLine="5670"/>
          </w:pPr>
          <w:r>
            <w:t>Lietuvos Respublikos</w:t>
          </w:r>
        </w:p>
        <w:p>
          <w:pPr>
            <w:ind w:firstLine="5670"/>
          </w:pPr>
          <w:r>
            <w:t>2016 metų valstybės biudžeto ir</w:t>
          </w:r>
        </w:p>
        <w:p>
          <w:pPr>
            <w:ind w:firstLine="5670"/>
          </w:pPr>
          <w:r>
            <w:t>savivaldybių biudžetų finansinių</w:t>
          </w:r>
        </w:p>
        <w:p>
          <w:pPr>
            <w:ind w:firstLine="5670"/>
          </w:pPr>
          <w:r>
            <w:t>rodiklių patvirtinimo įstatymo</w:t>
          </w:r>
        </w:p>
        <w:p>
          <w:pPr>
            <w:ind w:firstLine="5670"/>
          </w:pPr>
          <w:sdt>
            <w:sdtPr>
              <w:alias w:val="Numeris"/>
              <w:tag w:val="nr_c0dffdd6f88a486d891b8a3a79f33b2f"/>
              <w:lock w:val="sdtLocked"/>
              <w:richText/>
            </w:sdtPr>
            <w:sdtContent>
              <w:r>
                <w:t>2</w:t>
              </w:r>
            </w:sdtContent>
          </w:sdt>
          <w:r>
            <w:t xml:space="preserve"> priedas</w:t>
          </w:r>
        </w:p>
        <w:p/>
        <w:p>
          <w:pPr>
            <w:jc w:val="center"/>
            <w:rPr>
              <w:b/>
            </w:rPr>
          </w:pPr>
          <w:sdt>
            <w:sdtPr>
              <w:alias w:val="Pavadinimas"/>
              <w:tag w:val="title_c0dffdd6f88a486d891b8a3a79f33b2f"/>
              <w:lock w:val="sdtLocked"/>
              <w:richText/>
            </w:sdtPr>
            <w:sdtContent>
              <w:r>
                <w:rPr>
                  <w:b/>
                </w:rPr>
                <w:t>2016 METŲ BIUDŽETINIŲ ĮSTAIGŲ PAJAMŲ ĮMOKOS Į VALSTYBĖS BIUDŽETĄ, VALSTYBĖS BIUDŽETO PAJAMŲ IŠ MOKESČIŲ DALIS IR KITOS LĖŠOS, ĮSTATYMAIS, NUTARIMAIS IR KITAIS TEISĖS AKTAIS SKIRIAMOS PROGRAMOMS FINANSUOTI, PAGAL ASIGNAVIMŲ VALDYTOJUS</w:t>
              </w:r>
            </w:sdtContent>
          </w:sdt>
        </w:p>
        <w:p/>
        <w:tbl>
          <w:tblPr>
            <w:tblW w:w="9127" w:type="dxa"/>
            <w:jc w:val="center"/>
            <w:tblCellMar>
              <w:left w:w="28" w:type="dxa"/>
              <w:right w:w="28" w:type="dxa"/>
            </w:tblCellMar>
            <w:tblLook w:val="04A0" w:firstRow="1" w:lastRow="0" w:firstColumn="1" w:lastColumn="0" w:noHBand="0" w:noVBand="1"/>
          </w:tblPr>
          <w:tblGrid>
            <w:gridCol w:w="4055"/>
            <w:gridCol w:w="1450"/>
            <w:gridCol w:w="1300"/>
            <w:gridCol w:w="1161"/>
            <w:gridCol w:w="1161"/>
          </w:tblGrid>
          <w:tr>
            <w:trPr>
              <w:trHeight w:val="315"/>
              <w:tblHeader/>
              <w:jc w:val="center"/>
            </w:trPr>
            <w:tc>
              <w:tcPr>
                <w:tcW w:w="4055" w:type="dxa"/>
                <w:tcBorders>
                  <w:top w:val="nil"/>
                  <w:left w:val="nil"/>
                  <w:bottom w:val="nil"/>
                  <w:right w:val="nil"/>
                </w:tcBorders>
                <w:shd w:val="clear" w:color="auto" w:fill="auto"/>
                <w:noWrap/>
                <w:vAlign w:val="bottom"/>
                <w:hideMark/>
              </w:tcPr>
              <w:p>
                <w:pPr>
                  <w:rPr>
                    <w:color w:val="000000"/>
                  </w:rPr>
                </w:pPr>
              </w:p>
            </w:tc>
            <w:tc>
              <w:tcPr>
                <w:tcW w:w="1450" w:type="dxa"/>
                <w:tcBorders>
                  <w:top w:val="nil"/>
                  <w:left w:val="nil"/>
                  <w:bottom w:val="nil"/>
                  <w:right w:val="nil"/>
                </w:tcBorders>
                <w:shd w:val="clear" w:color="auto" w:fill="auto"/>
                <w:noWrap/>
                <w:vAlign w:val="bottom"/>
                <w:hideMark/>
              </w:tcPr>
              <w:p>
                <w:pPr>
                  <w:jc w:val="right"/>
                  <w:rPr>
                    <w:color w:val="000000"/>
                  </w:rPr>
                </w:pPr>
              </w:p>
            </w:tc>
            <w:tc>
              <w:tcPr>
                <w:tcW w:w="1300" w:type="dxa"/>
                <w:tcBorders>
                  <w:top w:val="nil"/>
                  <w:left w:val="nil"/>
                  <w:bottom w:val="nil"/>
                  <w:right w:val="nil"/>
                </w:tcBorders>
                <w:shd w:val="clear" w:color="auto" w:fill="auto"/>
                <w:noWrap/>
                <w:vAlign w:val="bottom"/>
                <w:hideMark/>
              </w:tcPr>
              <w:p>
                <w:pPr>
                  <w:jc w:val="right"/>
                  <w:rPr>
                    <w:color w:val="000000"/>
                  </w:rPr>
                </w:pPr>
              </w:p>
            </w:tc>
            <w:tc>
              <w:tcPr>
                <w:tcW w:w="2322" w:type="dxa"/>
                <w:gridSpan w:val="2"/>
                <w:tcBorders>
                  <w:top w:val="nil"/>
                  <w:left w:val="nil"/>
                  <w:bottom w:val="nil"/>
                  <w:right w:val="nil"/>
                </w:tcBorders>
                <w:shd w:val="clear" w:color="auto" w:fill="auto"/>
                <w:noWrap/>
                <w:vAlign w:val="bottom"/>
                <w:hideMark/>
              </w:tcPr>
              <w:p>
                <w:pPr>
                  <w:jc w:val="right"/>
                  <w:rPr>
                    <w:color w:val="000000"/>
                  </w:rPr>
                </w:pPr>
                <w:r>
                  <w:rPr>
                    <w:color w:val="000000"/>
                  </w:rPr>
                  <w:t>Tūkst. Eur</w:t>
                </w:r>
              </w:p>
            </w:tc>
          </w:tr>
          <w:tr>
            <w:trPr>
              <w:trHeight w:val="315"/>
              <w:tblHeader/>
              <w:jc w:val="center"/>
            </w:trPr>
            <w:tc>
              <w:tcPr>
                <w:tcW w:w="4055"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pPr>
                  <w:jc w:val="center"/>
                  <w:rPr>
                    <w:color w:val="000000"/>
                  </w:rPr>
                </w:pPr>
                <w:r>
                  <w:rPr>
                    <w:color w:val="000000"/>
                  </w:rPr>
                  <w:t>Valstybės institucijos ir įstaigos</w:t>
                </w:r>
              </w:p>
            </w:tc>
            <w:tc>
              <w:tcPr>
                <w:tcW w:w="145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pPr>
                  <w:jc w:val="center"/>
                  <w:rPr>
                    <w:color w:val="000000"/>
                  </w:rPr>
                </w:pPr>
                <w:r>
                  <w:rPr>
                    <w:color w:val="000000"/>
                  </w:rPr>
                  <w:t>Iš viso</w:t>
                </w:r>
              </w:p>
            </w:tc>
            <w:tc>
              <w:tcPr>
                <w:tcW w:w="3622" w:type="dxa"/>
                <w:gridSpan w:val="3"/>
                <w:tcBorders>
                  <w:top w:val="single" w:sz="4" w:space="0" w:color="auto"/>
                  <w:left w:val="nil"/>
                  <w:bottom w:val="single" w:sz="4" w:space="0" w:color="auto"/>
                  <w:right w:val="single" w:sz="4" w:space="0" w:color="000000"/>
                </w:tcBorders>
                <w:shd w:val="clear" w:color="auto" w:fill="auto"/>
                <w:noWrap/>
                <w:vAlign w:val="center"/>
                <w:hideMark/>
              </w:tcPr>
              <w:p>
                <w:pPr>
                  <w:jc w:val="center"/>
                  <w:rPr>
                    <w:color w:val="000000"/>
                  </w:rPr>
                </w:pPr>
                <w:r>
                  <w:rPr>
                    <w:color w:val="000000"/>
                  </w:rPr>
                  <w:t>iš jų:</w:t>
                </w:r>
              </w:p>
            </w:tc>
          </w:tr>
          <w:tr>
            <w:trPr>
              <w:trHeight w:val="315"/>
              <w:tblHeader/>
              <w:jc w:val="center"/>
            </w:trPr>
            <w:tc>
              <w:tcPr>
                <w:tcW w:w="4055" w:type="dxa"/>
                <w:vMerge/>
                <w:tcBorders>
                  <w:top w:val="single" w:sz="4" w:space="0" w:color="auto"/>
                  <w:left w:val="single" w:sz="4" w:space="0" w:color="auto"/>
                  <w:bottom w:val="single" w:sz="4" w:space="0" w:color="000000"/>
                  <w:right w:val="single" w:sz="4" w:space="0" w:color="auto"/>
                </w:tcBorders>
                <w:vAlign w:val="center"/>
                <w:hideMark/>
              </w:tcPr>
              <w:p>
                <w:pPr>
                  <w:jc w:val="center"/>
                  <w:rPr>
                    <w:color w:val="000000"/>
                  </w:rPr>
                </w:pPr>
              </w:p>
            </w:tc>
            <w:tc>
              <w:tcPr>
                <w:tcW w:w="1450" w:type="dxa"/>
                <w:vMerge/>
                <w:tcBorders>
                  <w:top w:val="single" w:sz="4" w:space="0" w:color="auto"/>
                  <w:left w:val="single" w:sz="4" w:space="0" w:color="auto"/>
                  <w:bottom w:val="single" w:sz="4" w:space="0" w:color="000000"/>
                  <w:right w:val="single" w:sz="4" w:space="0" w:color="auto"/>
                </w:tcBorders>
                <w:vAlign w:val="center"/>
                <w:hideMark/>
              </w:tcPr>
              <w:p>
                <w:pPr>
                  <w:jc w:val="center"/>
                  <w:rPr>
                    <w:color w:val="000000"/>
                  </w:rPr>
                </w:pPr>
              </w:p>
            </w:tc>
            <w:tc>
              <w:tcPr>
                <w:tcW w:w="1300" w:type="dxa"/>
                <w:vMerge w:val="restart"/>
                <w:tcBorders>
                  <w:top w:val="nil"/>
                  <w:left w:val="single" w:sz="4" w:space="0" w:color="auto"/>
                  <w:bottom w:val="single" w:sz="4" w:space="0" w:color="000000"/>
                  <w:right w:val="single" w:sz="4" w:space="0" w:color="auto"/>
                </w:tcBorders>
                <w:shd w:val="clear" w:color="auto" w:fill="auto"/>
                <w:vAlign w:val="center"/>
                <w:hideMark/>
              </w:tcPr>
              <w:p>
                <w:pPr>
                  <w:jc w:val="center"/>
                  <w:rPr>
                    <w:color w:val="000000"/>
                  </w:rPr>
                </w:pPr>
                <w:r>
                  <w:rPr>
                    <w:color w:val="000000"/>
                  </w:rPr>
                  <w:t>valstybės biudžeto pajamų iš mokesčių dalis ir kitos lėšos, įstatymais, nutarimais ir kitais teisės aktais skiriamos programoms finansuoti</w:t>
                </w:r>
              </w:p>
            </w:tc>
            <w:tc>
              <w:tcPr>
                <w:tcW w:w="2322" w:type="dxa"/>
                <w:gridSpan w:val="2"/>
                <w:tcBorders>
                  <w:top w:val="single" w:sz="4" w:space="0" w:color="auto"/>
                  <w:left w:val="nil"/>
                  <w:bottom w:val="single" w:sz="4" w:space="0" w:color="auto"/>
                  <w:right w:val="single" w:sz="4" w:space="0" w:color="000000"/>
                </w:tcBorders>
                <w:shd w:val="clear" w:color="auto" w:fill="auto"/>
                <w:vAlign w:val="center"/>
                <w:hideMark/>
              </w:tcPr>
              <w:p>
                <w:pPr>
                  <w:jc w:val="center"/>
                  <w:rPr>
                    <w:color w:val="000000"/>
                  </w:rPr>
                </w:pPr>
                <w:r>
                  <w:rPr>
                    <w:color w:val="000000"/>
                  </w:rPr>
                  <w:t>biudžetinių įstaigų pajamų įmokos</w:t>
                </w:r>
              </w:p>
            </w:tc>
          </w:tr>
          <w:tr>
            <w:trPr>
              <w:trHeight w:val="2863"/>
              <w:tblHeader/>
              <w:jc w:val="center"/>
            </w:trPr>
            <w:tc>
              <w:tcPr>
                <w:tcW w:w="4055" w:type="dxa"/>
                <w:vMerge/>
                <w:tcBorders>
                  <w:top w:val="single" w:sz="4" w:space="0" w:color="auto"/>
                  <w:left w:val="single" w:sz="4" w:space="0" w:color="auto"/>
                  <w:bottom w:val="single" w:sz="4" w:space="0" w:color="000000"/>
                  <w:right w:val="single" w:sz="4" w:space="0" w:color="auto"/>
                </w:tcBorders>
                <w:vAlign w:val="center"/>
                <w:hideMark/>
              </w:tcPr>
              <w:p>
                <w:pPr>
                  <w:jc w:val="center"/>
                  <w:rPr>
                    <w:color w:val="000000"/>
                  </w:rPr>
                </w:pPr>
              </w:p>
            </w:tc>
            <w:tc>
              <w:tcPr>
                <w:tcW w:w="1450" w:type="dxa"/>
                <w:vMerge/>
                <w:tcBorders>
                  <w:top w:val="single" w:sz="4" w:space="0" w:color="auto"/>
                  <w:left w:val="single" w:sz="4" w:space="0" w:color="auto"/>
                  <w:bottom w:val="single" w:sz="4" w:space="0" w:color="000000"/>
                  <w:right w:val="single" w:sz="4" w:space="0" w:color="auto"/>
                </w:tcBorders>
                <w:vAlign w:val="center"/>
                <w:hideMark/>
              </w:tcPr>
              <w:p>
                <w:pPr>
                  <w:jc w:val="center"/>
                  <w:rPr>
                    <w:color w:val="000000"/>
                  </w:rPr>
                </w:pPr>
              </w:p>
            </w:tc>
            <w:tc>
              <w:tcPr>
                <w:tcW w:w="1300" w:type="dxa"/>
                <w:vMerge/>
                <w:tcBorders>
                  <w:top w:val="nil"/>
                  <w:left w:val="single" w:sz="4" w:space="0" w:color="auto"/>
                  <w:bottom w:val="single" w:sz="4" w:space="0" w:color="000000"/>
                  <w:right w:val="single" w:sz="4" w:space="0" w:color="auto"/>
                </w:tcBorders>
                <w:vAlign w:val="center"/>
                <w:hideMark/>
              </w:tcPr>
              <w:p>
                <w:pPr>
                  <w:jc w:val="center"/>
                  <w:rPr>
                    <w:color w:val="000000"/>
                  </w:rPr>
                </w:pPr>
              </w:p>
            </w:tc>
            <w:tc>
              <w:tcPr>
                <w:tcW w:w="1161" w:type="dxa"/>
                <w:tcBorders>
                  <w:top w:val="nil"/>
                  <w:left w:val="nil"/>
                  <w:bottom w:val="single" w:sz="4" w:space="0" w:color="auto"/>
                  <w:right w:val="single" w:sz="4" w:space="0" w:color="auto"/>
                </w:tcBorders>
                <w:shd w:val="clear" w:color="auto" w:fill="auto"/>
                <w:vAlign w:val="center"/>
                <w:hideMark/>
              </w:tcPr>
              <w:p>
                <w:pPr>
                  <w:jc w:val="center"/>
                  <w:rPr>
                    <w:color w:val="000000"/>
                  </w:rPr>
                </w:pPr>
                <w:r>
                  <w:rPr>
                    <w:color w:val="000000"/>
                  </w:rPr>
                  <w:t>iš viso</w:t>
                </w:r>
              </w:p>
            </w:tc>
            <w:tc>
              <w:tcPr>
                <w:tcW w:w="1161" w:type="dxa"/>
                <w:tcBorders>
                  <w:top w:val="nil"/>
                  <w:left w:val="nil"/>
                  <w:bottom w:val="single" w:sz="4" w:space="0" w:color="auto"/>
                  <w:right w:val="single" w:sz="4" w:space="0" w:color="auto"/>
                </w:tcBorders>
                <w:shd w:val="clear" w:color="auto" w:fill="auto"/>
                <w:vAlign w:val="center"/>
                <w:hideMark/>
              </w:tcPr>
              <w:p>
                <w:pPr>
                  <w:jc w:val="center"/>
                  <w:rPr>
                    <w:color w:val="000000"/>
                  </w:rPr>
                </w:pPr>
                <w:r>
                  <w:rPr>
                    <w:color w:val="000000"/>
                  </w:rPr>
                  <w:t>iš jų: pagal įstatymus, nutarimus ir kitus teisės aktus</w:t>
                </w: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Lietuvos Respublikos Prezidento kanceliarija</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Lietuvos Respublikos Seimo kanceliarija</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348</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348</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Lietuvos Respublikos valstybės kontrolė</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5</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5</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Lietuvos radijo ir televizijos komisija</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724</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724</w:t>
                </w: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724</w:t>
                </w: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Valstybinė kainų ir energetikos kontrolės komisija</w:t>
                </w:r>
              </w:p>
            </w:tc>
            <w:tc>
              <w:tcPr>
                <w:tcW w:w="1450" w:type="dxa"/>
                <w:tcBorders>
                  <w:top w:val="nil"/>
                  <w:left w:val="nil"/>
                  <w:bottom w:val="nil"/>
                  <w:right w:val="nil"/>
                </w:tcBorders>
                <w:shd w:val="clear" w:color="auto" w:fill="auto"/>
                <w:noWrap/>
                <w:vAlign w:val="bottom"/>
                <w:hideMark/>
              </w:tcPr>
              <w:p>
                <w:pPr>
                  <w:jc w:val="right"/>
                  <w:rPr>
                    <w:color w:val="000000"/>
                  </w:rPr>
                </w:pPr>
                <w:r>
                  <w:rPr>
                    <w:color w:val="000000"/>
                  </w:rPr>
                  <w:t>3 231</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jc w:val="right"/>
                  <w:rPr>
                    <w:color w:val="000000"/>
                  </w:rPr>
                </w:pPr>
                <w:r>
                  <w:rPr>
                    <w:color w:val="000000"/>
                  </w:rPr>
                  <w:t>3 231</w:t>
                </w:r>
              </w:p>
            </w:tc>
            <w:tc>
              <w:tcPr>
                <w:tcW w:w="1161" w:type="dxa"/>
                <w:tcBorders>
                  <w:top w:val="nil"/>
                  <w:left w:val="nil"/>
                  <w:bottom w:val="nil"/>
                  <w:right w:val="nil"/>
                </w:tcBorders>
                <w:shd w:val="clear" w:color="auto" w:fill="auto"/>
                <w:noWrap/>
                <w:vAlign w:val="bottom"/>
                <w:hideMark/>
              </w:tcPr>
              <w:p>
                <w:pPr>
                  <w:jc w:val="right"/>
                  <w:rPr>
                    <w:color w:val="000000"/>
                  </w:rPr>
                </w:pPr>
                <w:r>
                  <w:rPr>
                    <w:color w:val="000000"/>
                  </w:rPr>
                  <w:t>3 231</w:t>
                </w:r>
              </w:p>
            </w:tc>
          </w:tr>
          <w:tr>
            <w:trPr>
              <w:trHeight w:val="630"/>
              <w:jc w:val="center"/>
            </w:trPr>
            <w:tc>
              <w:tcPr>
                <w:tcW w:w="4055" w:type="dxa"/>
                <w:tcBorders>
                  <w:top w:val="nil"/>
                  <w:left w:val="nil"/>
                  <w:bottom w:val="nil"/>
                  <w:right w:val="nil"/>
                </w:tcBorders>
                <w:shd w:val="clear" w:color="auto" w:fill="auto"/>
                <w:vAlign w:val="bottom"/>
                <w:hideMark/>
              </w:tcPr>
              <w:p>
                <w:pPr>
                  <w:rPr>
                    <w:color w:val="000000"/>
                  </w:rPr>
                </w:pPr>
                <w:r>
                  <w:rPr>
                    <w:color w:val="000000"/>
                  </w:rPr>
                  <w:t>Lietuvos Respublikos valstybės saugumo departamentas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50</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50</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Lietuvos Respublikos specialiųjų tyrimų tarnyba</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3</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3</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Aplinkos ministerija</w:t>
                </w:r>
              </w:p>
            </w:tc>
            <w:tc>
              <w:tcPr>
                <w:tcW w:w="1450" w:type="dxa"/>
                <w:tcBorders>
                  <w:top w:val="nil"/>
                  <w:left w:val="nil"/>
                  <w:bottom w:val="nil"/>
                  <w:right w:val="nil"/>
                </w:tcBorders>
                <w:shd w:val="clear" w:color="auto" w:fill="auto"/>
                <w:noWrap/>
                <w:vAlign w:val="bottom"/>
                <w:hideMark/>
              </w:tcPr>
              <w:p>
                <w:pPr>
                  <w:jc w:val="right"/>
                  <w:rPr>
                    <w:color w:val="000000"/>
                  </w:rPr>
                </w:pPr>
                <w:r>
                  <w:rPr>
                    <w:color w:val="000000"/>
                  </w:rPr>
                  <w:t>49 510</w:t>
                </w:r>
              </w:p>
            </w:tc>
            <w:tc>
              <w:tcPr>
                <w:tcW w:w="1300" w:type="dxa"/>
                <w:tcBorders>
                  <w:top w:val="nil"/>
                  <w:left w:val="nil"/>
                  <w:bottom w:val="nil"/>
                  <w:right w:val="nil"/>
                </w:tcBorders>
                <w:shd w:val="clear" w:color="auto" w:fill="auto"/>
                <w:noWrap/>
                <w:vAlign w:val="bottom"/>
                <w:hideMark/>
              </w:tcPr>
              <w:p>
                <w:pPr>
                  <w:jc w:val="right"/>
                  <w:rPr>
                    <w:color w:val="000000"/>
                  </w:rPr>
                </w:pPr>
                <w:r>
                  <w:rPr>
                    <w:color w:val="000000"/>
                  </w:rPr>
                  <w:t>47 699</w:t>
                </w:r>
              </w:p>
            </w:tc>
            <w:tc>
              <w:tcPr>
                <w:tcW w:w="1161" w:type="dxa"/>
                <w:tcBorders>
                  <w:top w:val="nil"/>
                  <w:left w:val="nil"/>
                  <w:bottom w:val="nil"/>
                  <w:right w:val="nil"/>
                </w:tcBorders>
                <w:shd w:val="clear" w:color="auto" w:fill="auto"/>
                <w:noWrap/>
                <w:vAlign w:val="bottom"/>
                <w:hideMark/>
              </w:tcPr>
              <w:p>
                <w:pPr>
                  <w:jc w:val="right"/>
                  <w:rPr>
                    <w:color w:val="000000"/>
                  </w:rPr>
                </w:pPr>
                <w:r>
                  <w:rPr>
                    <w:color w:val="000000"/>
                  </w:rPr>
                  <w:t>1 811</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Finansų ministerija</w:t>
                </w:r>
              </w:p>
            </w:tc>
            <w:tc>
              <w:tcPr>
                <w:tcW w:w="1450" w:type="dxa"/>
                <w:tcBorders>
                  <w:top w:val="nil"/>
                  <w:left w:val="nil"/>
                  <w:bottom w:val="nil"/>
                  <w:right w:val="nil"/>
                </w:tcBorders>
                <w:shd w:val="clear" w:color="auto" w:fill="auto"/>
                <w:noWrap/>
                <w:vAlign w:val="bottom"/>
                <w:hideMark/>
              </w:tcPr>
              <w:p>
                <w:pPr>
                  <w:jc w:val="right"/>
                  <w:rPr>
                    <w:color w:val="000000"/>
                  </w:rPr>
                </w:pPr>
                <w:r>
                  <w:rPr>
                    <w:color w:val="000000"/>
                  </w:rPr>
                  <w:t>66 611</w:t>
                </w:r>
              </w:p>
            </w:tc>
            <w:tc>
              <w:tcPr>
                <w:tcW w:w="1300" w:type="dxa"/>
                <w:tcBorders>
                  <w:top w:val="nil"/>
                  <w:left w:val="nil"/>
                  <w:bottom w:val="nil"/>
                  <w:right w:val="nil"/>
                </w:tcBorders>
                <w:shd w:val="clear" w:color="auto" w:fill="auto"/>
                <w:noWrap/>
                <w:vAlign w:val="bottom"/>
                <w:hideMark/>
              </w:tcPr>
              <w:p>
                <w:pPr>
                  <w:jc w:val="right"/>
                  <w:rPr>
                    <w:color w:val="000000"/>
                  </w:rPr>
                </w:pPr>
                <w:r>
                  <w:rPr>
                    <w:color w:val="000000"/>
                  </w:rPr>
                  <w:t>63 652</w:t>
                </w:r>
              </w:p>
            </w:tc>
            <w:tc>
              <w:tcPr>
                <w:tcW w:w="1161" w:type="dxa"/>
                <w:tcBorders>
                  <w:top w:val="nil"/>
                  <w:left w:val="nil"/>
                  <w:bottom w:val="nil"/>
                  <w:right w:val="nil"/>
                </w:tcBorders>
                <w:shd w:val="clear" w:color="auto" w:fill="auto"/>
                <w:noWrap/>
                <w:vAlign w:val="bottom"/>
                <w:hideMark/>
              </w:tcPr>
              <w:p>
                <w:pPr>
                  <w:jc w:val="right"/>
                  <w:rPr>
                    <w:color w:val="000000"/>
                  </w:rPr>
                </w:pPr>
                <w:r>
                  <w:rPr>
                    <w:color w:val="000000"/>
                  </w:rPr>
                  <w:t>2 959</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Krašto apsaugos ministerija</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324</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324</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Kultūros ministerija</w:t>
                </w:r>
              </w:p>
            </w:tc>
            <w:tc>
              <w:tcPr>
                <w:tcW w:w="1450" w:type="dxa"/>
                <w:tcBorders>
                  <w:top w:val="nil"/>
                  <w:left w:val="nil"/>
                  <w:bottom w:val="nil"/>
                  <w:right w:val="nil"/>
                </w:tcBorders>
                <w:shd w:val="clear" w:color="auto" w:fill="auto"/>
                <w:noWrap/>
                <w:vAlign w:val="bottom"/>
                <w:hideMark/>
              </w:tcPr>
              <w:p>
                <w:pPr>
                  <w:jc w:val="right"/>
                  <w:rPr>
                    <w:color w:val="000000"/>
                  </w:rPr>
                </w:pPr>
                <w:r>
                  <w:rPr>
                    <w:color w:val="000000"/>
                  </w:rPr>
                  <w:t>24 775</w:t>
                </w:r>
              </w:p>
            </w:tc>
            <w:tc>
              <w:tcPr>
                <w:tcW w:w="1300" w:type="dxa"/>
                <w:tcBorders>
                  <w:top w:val="nil"/>
                  <w:left w:val="nil"/>
                  <w:bottom w:val="nil"/>
                  <w:right w:val="nil"/>
                </w:tcBorders>
                <w:shd w:val="clear" w:color="auto" w:fill="auto"/>
                <w:noWrap/>
                <w:vAlign w:val="bottom"/>
                <w:hideMark/>
              </w:tcPr>
              <w:p>
                <w:pPr>
                  <w:jc w:val="right"/>
                  <w:rPr>
                    <w:color w:val="000000"/>
                  </w:rPr>
                </w:pPr>
                <w:r>
                  <w:rPr>
                    <w:color w:val="000000"/>
                  </w:rPr>
                  <w:t>15 727</w:t>
                </w:r>
              </w:p>
            </w:tc>
            <w:tc>
              <w:tcPr>
                <w:tcW w:w="1161" w:type="dxa"/>
                <w:tcBorders>
                  <w:top w:val="nil"/>
                  <w:left w:val="nil"/>
                  <w:bottom w:val="nil"/>
                  <w:right w:val="nil"/>
                </w:tcBorders>
                <w:shd w:val="clear" w:color="auto" w:fill="auto"/>
                <w:noWrap/>
                <w:vAlign w:val="bottom"/>
                <w:hideMark/>
              </w:tcPr>
              <w:p>
                <w:pPr>
                  <w:jc w:val="right"/>
                  <w:rPr>
                    <w:color w:val="000000"/>
                  </w:rPr>
                </w:pPr>
                <w:r>
                  <w:rPr>
                    <w:color w:val="000000"/>
                  </w:rPr>
                  <w:t>9 048</w:t>
                </w:r>
              </w:p>
            </w:tc>
            <w:tc>
              <w:tcPr>
                <w:tcW w:w="1161" w:type="dxa"/>
                <w:tcBorders>
                  <w:top w:val="nil"/>
                  <w:left w:val="nil"/>
                  <w:bottom w:val="nil"/>
                  <w:right w:val="nil"/>
                </w:tcBorders>
                <w:shd w:val="clear" w:color="auto" w:fill="auto"/>
                <w:noWrap/>
                <w:vAlign w:val="bottom"/>
                <w:hideMark/>
              </w:tcPr>
              <w:p>
                <w:pPr>
                  <w:ind w:firstLine="60"/>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Socialinės apsaugos ir darbo ministerija</w:t>
                </w:r>
              </w:p>
            </w:tc>
            <w:tc>
              <w:tcPr>
                <w:tcW w:w="1450" w:type="dxa"/>
                <w:tcBorders>
                  <w:top w:val="nil"/>
                  <w:left w:val="nil"/>
                  <w:bottom w:val="nil"/>
                  <w:right w:val="nil"/>
                </w:tcBorders>
                <w:shd w:val="clear" w:color="auto" w:fill="auto"/>
                <w:noWrap/>
                <w:vAlign w:val="bottom"/>
                <w:hideMark/>
              </w:tcPr>
              <w:p>
                <w:pPr>
                  <w:jc w:val="right"/>
                  <w:rPr>
                    <w:color w:val="000000"/>
                  </w:rPr>
                </w:pPr>
                <w:r>
                  <w:rPr>
                    <w:color w:val="000000"/>
                  </w:rPr>
                  <w:t>19 704</w:t>
                </w:r>
              </w:p>
            </w:tc>
            <w:tc>
              <w:tcPr>
                <w:tcW w:w="1300" w:type="dxa"/>
                <w:tcBorders>
                  <w:top w:val="nil"/>
                  <w:left w:val="nil"/>
                  <w:bottom w:val="nil"/>
                  <w:right w:val="nil"/>
                </w:tcBorders>
                <w:shd w:val="clear" w:color="auto" w:fill="auto"/>
                <w:noWrap/>
                <w:vAlign w:val="bottom"/>
                <w:hideMark/>
              </w:tcPr>
              <w:p>
                <w:pPr>
                  <w:jc w:val="right"/>
                  <w:rPr>
                    <w:color w:val="000000"/>
                  </w:rPr>
                </w:pPr>
                <w:r>
                  <w:rPr>
                    <w:color w:val="000000"/>
                  </w:rPr>
                  <w:t>2 988</w:t>
                </w:r>
              </w:p>
            </w:tc>
            <w:tc>
              <w:tcPr>
                <w:tcW w:w="1161" w:type="dxa"/>
                <w:tcBorders>
                  <w:top w:val="nil"/>
                  <w:left w:val="nil"/>
                  <w:bottom w:val="nil"/>
                  <w:right w:val="nil"/>
                </w:tcBorders>
                <w:shd w:val="clear" w:color="auto" w:fill="auto"/>
                <w:noWrap/>
                <w:vAlign w:val="bottom"/>
                <w:hideMark/>
              </w:tcPr>
              <w:p>
                <w:pPr>
                  <w:jc w:val="right"/>
                  <w:rPr>
                    <w:color w:val="000000"/>
                  </w:rPr>
                </w:pPr>
                <w:r>
                  <w:rPr>
                    <w:color w:val="000000"/>
                  </w:rPr>
                  <w:t>16 716</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Susisiekimo ministerija</w:t>
                </w:r>
              </w:p>
            </w:tc>
            <w:tc>
              <w:tcPr>
                <w:tcW w:w="1450" w:type="dxa"/>
                <w:tcBorders>
                  <w:top w:val="nil"/>
                  <w:left w:val="nil"/>
                  <w:bottom w:val="nil"/>
                  <w:right w:val="nil"/>
                </w:tcBorders>
                <w:shd w:val="clear" w:color="auto" w:fill="auto"/>
                <w:noWrap/>
                <w:vAlign w:val="bottom"/>
                <w:hideMark/>
              </w:tcPr>
              <w:p>
                <w:pPr>
                  <w:jc w:val="right"/>
                  <w:rPr>
                    <w:color w:val="000000"/>
                  </w:rPr>
                </w:pPr>
                <w:r>
                  <w:rPr>
                    <w:color w:val="000000"/>
                  </w:rPr>
                  <w:t>481 387*</w:t>
                </w:r>
              </w:p>
            </w:tc>
            <w:tc>
              <w:tcPr>
                <w:tcW w:w="1300" w:type="dxa"/>
                <w:tcBorders>
                  <w:top w:val="nil"/>
                  <w:left w:val="nil"/>
                  <w:bottom w:val="nil"/>
                  <w:right w:val="nil"/>
                </w:tcBorders>
                <w:shd w:val="clear" w:color="auto" w:fill="auto"/>
                <w:noWrap/>
                <w:vAlign w:val="bottom"/>
                <w:hideMark/>
              </w:tcPr>
              <w:p>
                <w:pPr>
                  <w:jc w:val="right"/>
                  <w:rPr>
                    <w:color w:val="000000"/>
                  </w:rPr>
                </w:pPr>
                <w:r>
                  <w:rPr>
                    <w:color w:val="000000"/>
                  </w:rPr>
                  <w:t>478 588*</w:t>
                </w:r>
              </w:p>
            </w:tc>
            <w:tc>
              <w:tcPr>
                <w:tcW w:w="1161" w:type="dxa"/>
                <w:tcBorders>
                  <w:top w:val="nil"/>
                  <w:left w:val="nil"/>
                  <w:bottom w:val="nil"/>
                  <w:right w:val="nil"/>
                </w:tcBorders>
                <w:shd w:val="clear" w:color="auto" w:fill="auto"/>
                <w:noWrap/>
                <w:vAlign w:val="bottom"/>
                <w:hideMark/>
              </w:tcPr>
              <w:p>
                <w:pPr>
                  <w:jc w:val="right"/>
                  <w:rPr>
                    <w:color w:val="000000"/>
                  </w:rPr>
                </w:pPr>
                <w:r>
                  <w:rPr>
                    <w:color w:val="000000"/>
                  </w:rPr>
                  <w:t>2 799</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Sveikatos apsaugos ministerija</w:t>
                </w:r>
              </w:p>
            </w:tc>
            <w:tc>
              <w:tcPr>
                <w:tcW w:w="1450" w:type="dxa"/>
                <w:tcBorders>
                  <w:top w:val="nil"/>
                  <w:left w:val="nil"/>
                  <w:bottom w:val="nil"/>
                  <w:right w:val="nil"/>
                </w:tcBorders>
                <w:shd w:val="clear" w:color="auto" w:fill="auto"/>
                <w:noWrap/>
                <w:vAlign w:val="bottom"/>
                <w:hideMark/>
              </w:tcPr>
              <w:p>
                <w:pPr>
                  <w:jc w:val="right"/>
                  <w:rPr>
                    <w:color w:val="000000"/>
                  </w:rPr>
                </w:pPr>
                <w:r>
                  <w:rPr>
                    <w:color w:val="000000"/>
                  </w:rPr>
                  <w:t>5 580</w:t>
                </w:r>
              </w:p>
            </w:tc>
            <w:tc>
              <w:tcPr>
                <w:tcW w:w="1300" w:type="dxa"/>
                <w:tcBorders>
                  <w:top w:val="nil"/>
                  <w:left w:val="nil"/>
                  <w:bottom w:val="nil"/>
                  <w:right w:val="nil"/>
                </w:tcBorders>
                <w:shd w:val="clear" w:color="auto" w:fill="auto"/>
                <w:noWrap/>
                <w:vAlign w:val="bottom"/>
                <w:hideMark/>
              </w:tcPr>
              <w:p>
                <w:pPr>
                  <w:jc w:val="right"/>
                  <w:rPr>
                    <w:color w:val="000000"/>
                  </w:rPr>
                </w:pPr>
                <w:r>
                  <w:rPr>
                    <w:color w:val="000000"/>
                  </w:rPr>
                  <w:t>1 285</w:t>
                </w:r>
              </w:p>
            </w:tc>
            <w:tc>
              <w:tcPr>
                <w:tcW w:w="1161" w:type="dxa"/>
                <w:tcBorders>
                  <w:top w:val="nil"/>
                  <w:left w:val="nil"/>
                  <w:bottom w:val="nil"/>
                  <w:right w:val="nil"/>
                </w:tcBorders>
                <w:shd w:val="clear" w:color="auto" w:fill="auto"/>
                <w:noWrap/>
                <w:vAlign w:val="bottom"/>
                <w:hideMark/>
              </w:tcPr>
              <w:p>
                <w:pPr>
                  <w:jc w:val="right"/>
                  <w:rPr>
                    <w:color w:val="000000"/>
                  </w:rPr>
                </w:pPr>
                <w:r>
                  <w:rPr>
                    <w:color w:val="000000"/>
                  </w:rPr>
                  <w:t>4 295</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Švietimo ir mokslo ministerija</w:t>
                </w:r>
              </w:p>
            </w:tc>
            <w:tc>
              <w:tcPr>
                <w:tcW w:w="1450" w:type="dxa"/>
                <w:tcBorders>
                  <w:top w:val="nil"/>
                  <w:left w:val="nil"/>
                  <w:bottom w:val="nil"/>
                  <w:right w:val="nil"/>
                </w:tcBorders>
                <w:shd w:val="clear" w:color="auto" w:fill="auto"/>
                <w:noWrap/>
                <w:vAlign w:val="bottom"/>
                <w:hideMark/>
              </w:tcPr>
              <w:p>
                <w:pPr>
                  <w:jc w:val="right"/>
                  <w:rPr>
                    <w:color w:val="000000"/>
                  </w:rPr>
                </w:pPr>
                <w:r>
                  <w:rPr>
                    <w:color w:val="000000"/>
                  </w:rPr>
                  <w:t>8 469</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jc w:val="right"/>
                  <w:rPr>
                    <w:color w:val="000000"/>
                  </w:rPr>
                </w:pPr>
                <w:r>
                  <w:rPr>
                    <w:color w:val="000000"/>
                  </w:rPr>
                  <w:t>8 469</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Teisingumo ministerija</w:t>
                </w:r>
              </w:p>
            </w:tc>
            <w:tc>
              <w:tcPr>
                <w:tcW w:w="1450" w:type="dxa"/>
                <w:tcBorders>
                  <w:top w:val="nil"/>
                  <w:left w:val="nil"/>
                  <w:bottom w:val="nil"/>
                  <w:right w:val="nil"/>
                </w:tcBorders>
                <w:shd w:val="clear" w:color="auto" w:fill="auto"/>
                <w:noWrap/>
                <w:vAlign w:val="bottom"/>
                <w:hideMark/>
              </w:tcPr>
              <w:p>
                <w:pPr>
                  <w:jc w:val="right"/>
                  <w:rPr>
                    <w:color w:val="000000"/>
                  </w:rPr>
                </w:pPr>
                <w:r>
                  <w:rPr>
                    <w:color w:val="000000"/>
                  </w:rPr>
                  <w:t>2 470</w:t>
                </w:r>
              </w:p>
            </w:tc>
            <w:tc>
              <w:tcPr>
                <w:tcW w:w="1300" w:type="dxa"/>
                <w:tcBorders>
                  <w:top w:val="nil"/>
                  <w:left w:val="nil"/>
                  <w:bottom w:val="nil"/>
                  <w:right w:val="nil"/>
                </w:tcBorders>
                <w:shd w:val="clear" w:color="auto" w:fill="auto"/>
                <w:noWrap/>
                <w:vAlign w:val="bottom"/>
                <w:hideMark/>
              </w:tcPr>
              <w:p>
                <w:pPr>
                  <w:ind w:firstLine="60"/>
                  <w:jc w:val="right"/>
                  <w:rPr>
                    <w:color w:val="000000"/>
                  </w:rPr>
                </w:pPr>
                <w:r>
                  <w:rPr>
                    <w:color w:val="000000"/>
                  </w:rPr>
                  <w:t>232</w:t>
                </w:r>
              </w:p>
            </w:tc>
            <w:tc>
              <w:tcPr>
                <w:tcW w:w="1161" w:type="dxa"/>
                <w:tcBorders>
                  <w:top w:val="nil"/>
                  <w:left w:val="nil"/>
                  <w:bottom w:val="nil"/>
                  <w:right w:val="nil"/>
                </w:tcBorders>
                <w:shd w:val="clear" w:color="auto" w:fill="auto"/>
                <w:noWrap/>
                <w:vAlign w:val="bottom"/>
                <w:hideMark/>
              </w:tcPr>
              <w:p>
                <w:pPr>
                  <w:jc w:val="right"/>
                  <w:rPr>
                    <w:color w:val="000000"/>
                  </w:rPr>
                </w:pPr>
                <w:r>
                  <w:rPr>
                    <w:color w:val="000000"/>
                  </w:rPr>
                  <w:t>2 238</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Ūkio ministerija</w:t>
                </w:r>
              </w:p>
            </w:tc>
            <w:tc>
              <w:tcPr>
                <w:tcW w:w="1450" w:type="dxa"/>
                <w:tcBorders>
                  <w:top w:val="nil"/>
                  <w:left w:val="nil"/>
                  <w:bottom w:val="nil"/>
                  <w:right w:val="nil"/>
                </w:tcBorders>
                <w:shd w:val="clear" w:color="auto" w:fill="auto"/>
                <w:noWrap/>
                <w:vAlign w:val="bottom"/>
                <w:hideMark/>
              </w:tcPr>
              <w:p>
                <w:pPr>
                  <w:jc w:val="right"/>
                  <w:rPr>
                    <w:color w:val="000000"/>
                  </w:rPr>
                </w:pPr>
                <w:r>
                  <w:rPr>
                    <w:color w:val="000000"/>
                  </w:rPr>
                  <w:t>1 778</w:t>
                </w:r>
              </w:p>
            </w:tc>
            <w:tc>
              <w:tcPr>
                <w:tcW w:w="1300" w:type="dxa"/>
                <w:tcBorders>
                  <w:top w:val="nil"/>
                  <w:left w:val="nil"/>
                  <w:bottom w:val="nil"/>
                  <w:right w:val="nil"/>
                </w:tcBorders>
                <w:shd w:val="clear" w:color="auto" w:fill="auto"/>
                <w:noWrap/>
                <w:vAlign w:val="bottom"/>
                <w:hideMark/>
              </w:tcPr>
              <w:p>
                <w:pPr>
                  <w:jc w:val="right"/>
                  <w:rPr>
                    <w:color w:val="000000"/>
                  </w:rPr>
                </w:pPr>
                <w:r>
                  <w:rPr>
                    <w:color w:val="000000"/>
                  </w:rPr>
                  <w:t>1 369</w:t>
                </w: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409</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Užsienio reikalų ministerija</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25</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25</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Vidaus reikalų ministerija</w:t>
                </w:r>
              </w:p>
            </w:tc>
            <w:tc>
              <w:tcPr>
                <w:tcW w:w="1450" w:type="dxa"/>
                <w:tcBorders>
                  <w:top w:val="nil"/>
                  <w:left w:val="nil"/>
                  <w:bottom w:val="nil"/>
                  <w:right w:val="nil"/>
                </w:tcBorders>
                <w:shd w:val="clear" w:color="auto" w:fill="auto"/>
                <w:noWrap/>
                <w:vAlign w:val="bottom"/>
                <w:hideMark/>
              </w:tcPr>
              <w:p>
                <w:pPr>
                  <w:jc w:val="right"/>
                  <w:rPr>
                    <w:color w:val="000000"/>
                  </w:rPr>
                </w:pPr>
                <w:r>
                  <w:rPr>
                    <w:color w:val="000000"/>
                  </w:rPr>
                  <w:t>3 320</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jc w:val="right"/>
                  <w:rPr>
                    <w:color w:val="000000"/>
                  </w:rPr>
                </w:pPr>
                <w:r>
                  <w:rPr>
                    <w:color w:val="000000"/>
                  </w:rPr>
                  <w:t>3 320</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Žemės ūkio ministerija</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694</w:t>
                </w:r>
              </w:p>
            </w:tc>
            <w:tc>
              <w:tcPr>
                <w:tcW w:w="1300" w:type="dxa"/>
                <w:tcBorders>
                  <w:top w:val="nil"/>
                  <w:left w:val="nil"/>
                  <w:bottom w:val="nil"/>
                  <w:right w:val="nil"/>
                </w:tcBorders>
                <w:shd w:val="clear" w:color="auto" w:fill="auto"/>
                <w:noWrap/>
                <w:vAlign w:val="bottom"/>
                <w:hideMark/>
              </w:tcPr>
              <w:p>
                <w:pPr>
                  <w:jc w:val="right"/>
                  <w:rPr>
                    <w:color w:val="000000"/>
                  </w:rPr>
                </w:pPr>
                <w:r>
                  <w:rPr>
                    <w:color w:val="000000"/>
                  </w:rPr>
                  <w:t>6</w:t>
                </w: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688</w:t>
                </w:r>
              </w:p>
            </w:tc>
            <w:tc>
              <w:tcPr>
                <w:tcW w:w="1161" w:type="dxa"/>
                <w:tcBorders>
                  <w:top w:val="nil"/>
                  <w:left w:val="nil"/>
                  <w:bottom w:val="nil"/>
                  <w:right w:val="nil"/>
                </w:tcBorders>
                <w:shd w:val="clear" w:color="auto" w:fill="auto"/>
                <w:noWrap/>
                <w:vAlign w:val="bottom"/>
                <w:hideMark/>
              </w:tcPr>
              <w:p>
                <w:pPr>
                  <w:ind w:firstLine="180"/>
                  <w:jc w:val="right"/>
                  <w:rPr>
                    <w:color w:val="000000"/>
                  </w:rPr>
                </w:pPr>
              </w:p>
            </w:tc>
          </w:tr>
          <w:tr>
            <w:trPr>
              <w:trHeight w:val="630"/>
              <w:jc w:val="center"/>
            </w:trPr>
            <w:tc>
              <w:tcPr>
                <w:tcW w:w="4055" w:type="dxa"/>
                <w:tcBorders>
                  <w:top w:val="nil"/>
                  <w:left w:val="nil"/>
                  <w:bottom w:val="nil"/>
                  <w:right w:val="nil"/>
                </w:tcBorders>
                <w:shd w:val="clear" w:color="auto" w:fill="auto"/>
                <w:vAlign w:val="bottom"/>
                <w:hideMark/>
              </w:tcPr>
              <w:p>
                <w:pPr>
                  <w:rPr>
                    <w:color w:val="000000"/>
                  </w:rPr>
                </w:pPr>
                <w:r>
                  <w:rPr>
                    <w:color w:val="000000"/>
                  </w:rPr>
                  <w:t>Valstybinė energetikos inspekcija prie Energetikos ministerijos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290</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290</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Lietuvos statistikos departamentas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15</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15</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Lietuvos nacionalinė Martyno Mažvydo biblioteka</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127</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127</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Lietuvos nacionalinis muziejus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290</w:t>
                </w:r>
              </w:p>
            </w:tc>
            <w:tc>
              <w:tcPr>
                <w:tcW w:w="1300" w:type="dxa"/>
                <w:tcBorders>
                  <w:top w:val="nil"/>
                  <w:left w:val="nil"/>
                  <w:bottom w:val="nil"/>
                  <w:right w:val="nil"/>
                </w:tcBorders>
                <w:shd w:val="clear" w:color="auto" w:fill="auto"/>
                <w:noWrap/>
                <w:vAlign w:val="bottom"/>
                <w:hideMark/>
              </w:tcPr>
              <w:p>
                <w:pPr>
                  <w:ind w:firstLine="60"/>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290</w:t>
                </w:r>
              </w:p>
            </w:tc>
            <w:tc>
              <w:tcPr>
                <w:tcW w:w="1161" w:type="dxa"/>
                <w:tcBorders>
                  <w:top w:val="nil"/>
                  <w:left w:val="nil"/>
                  <w:bottom w:val="nil"/>
                  <w:right w:val="nil"/>
                </w:tcBorders>
                <w:shd w:val="clear" w:color="auto" w:fill="auto"/>
                <w:noWrap/>
                <w:vAlign w:val="bottom"/>
                <w:hideMark/>
              </w:tcPr>
              <w:p>
                <w:pPr>
                  <w:ind w:firstLine="60"/>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Lietuvos dailės muziejus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290</w:t>
                </w:r>
              </w:p>
            </w:tc>
            <w:tc>
              <w:tcPr>
                <w:tcW w:w="1300" w:type="dxa"/>
                <w:tcBorders>
                  <w:top w:val="nil"/>
                  <w:left w:val="nil"/>
                  <w:bottom w:val="nil"/>
                  <w:right w:val="nil"/>
                </w:tcBorders>
                <w:shd w:val="clear" w:color="auto" w:fill="auto"/>
                <w:noWrap/>
                <w:vAlign w:val="bottom"/>
                <w:hideMark/>
              </w:tcPr>
              <w:p>
                <w:pPr>
                  <w:ind w:firstLine="60"/>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290</w:t>
                </w:r>
              </w:p>
            </w:tc>
            <w:tc>
              <w:tcPr>
                <w:tcW w:w="1161" w:type="dxa"/>
                <w:tcBorders>
                  <w:top w:val="nil"/>
                  <w:left w:val="nil"/>
                  <w:bottom w:val="nil"/>
                  <w:right w:val="nil"/>
                </w:tcBorders>
                <w:shd w:val="clear" w:color="auto" w:fill="auto"/>
                <w:noWrap/>
                <w:vAlign w:val="bottom"/>
                <w:hideMark/>
              </w:tcPr>
              <w:p>
                <w:pPr>
                  <w:ind w:firstLine="60"/>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Nacionalinis M. K. Čiurlionio dailės muziejus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72</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72</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Lietuvos nacionalinis operos ir baleto teatras</w:t>
                </w:r>
              </w:p>
            </w:tc>
            <w:tc>
              <w:tcPr>
                <w:tcW w:w="1450" w:type="dxa"/>
                <w:tcBorders>
                  <w:top w:val="nil"/>
                  <w:left w:val="nil"/>
                  <w:bottom w:val="nil"/>
                  <w:right w:val="nil"/>
                </w:tcBorders>
                <w:shd w:val="clear" w:color="auto" w:fill="auto"/>
                <w:noWrap/>
                <w:vAlign w:val="bottom"/>
                <w:hideMark/>
              </w:tcPr>
              <w:p>
                <w:pPr>
                  <w:jc w:val="right"/>
                  <w:rPr>
                    <w:color w:val="000000"/>
                  </w:rPr>
                </w:pPr>
                <w:r>
                  <w:rPr>
                    <w:color w:val="000000"/>
                  </w:rPr>
                  <w:t>1 600</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jc w:val="right"/>
                  <w:rPr>
                    <w:color w:val="000000"/>
                  </w:rPr>
                </w:pPr>
                <w:r>
                  <w:rPr>
                    <w:color w:val="000000"/>
                  </w:rPr>
                  <w:t>1 600</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Lietuvos nacionalinis dramos teatras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463</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463</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Nacionalinis Kauno dramos teatras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492</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492</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Koncertinė įstaiga Lietuvos nacionalinė filharmonija</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580</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580</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630"/>
              <w:jc w:val="center"/>
            </w:trPr>
            <w:tc>
              <w:tcPr>
                <w:tcW w:w="4055" w:type="dxa"/>
                <w:tcBorders>
                  <w:top w:val="nil"/>
                  <w:left w:val="nil"/>
                  <w:bottom w:val="nil"/>
                  <w:right w:val="nil"/>
                </w:tcBorders>
                <w:shd w:val="clear" w:color="auto" w:fill="auto"/>
                <w:vAlign w:val="bottom"/>
                <w:hideMark/>
              </w:tcPr>
              <w:p>
                <w:pPr>
                  <w:rPr>
                    <w:color w:val="000000"/>
                  </w:rPr>
                </w:pPr>
                <w:r>
                  <w:rPr>
                    <w:color w:val="000000"/>
                  </w:rPr>
                  <w:t>Nacionalinis muziejus Lietuvos Didžiosios Kunigaikštystės valdovų rūmai</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330</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330</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Lietuvos vyriausiojo archyvaro tarnyba</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480</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480</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630"/>
              <w:jc w:val="center"/>
            </w:trPr>
            <w:tc>
              <w:tcPr>
                <w:tcW w:w="4055" w:type="dxa"/>
                <w:tcBorders>
                  <w:top w:val="nil"/>
                  <w:left w:val="nil"/>
                  <w:bottom w:val="nil"/>
                  <w:right w:val="nil"/>
                </w:tcBorders>
                <w:shd w:val="clear" w:color="auto" w:fill="auto"/>
                <w:vAlign w:val="bottom"/>
                <w:hideMark/>
              </w:tcPr>
              <w:p>
                <w:pPr>
                  <w:rPr>
                    <w:color w:val="000000"/>
                  </w:rPr>
                </w:pPr>
                <w:r>
                  <w:rPr>
                    <w:color w:val="000000"/>
                  </w:rPr>
                  <w:t>Valstybės sienos apsaugos tarnyba prie Vidaus reikalų ministerijos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115</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115</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630"/>
              <w:jc w:val="center"/>
            </w:trPr>
            <w:tc>
              <w:tcPr>
                <w:tcW w:w="4055" w:type="dxa"/>
                <w:tcBorders>
                  <w:top w:val="nil"/>
                  <w:left w:val="nil"/>
                  <w:bottom w:val="nil"/>
                  <w:right w:val="nil"/>
                </w:tcBorders>
                <w:shd w:val="clear" w:color="auto" w:fill="auto"/>
                <w:vAlign w:val="bottom"/>
                <w:hideMark/>
              </w:tcPr>
              <w:p>
                <w:pPr>
                  <w:rPr>
                    <w:color w:val="000000"/>
                  </w:rPr>
                </w:pPr>
                <w:r>
                  <w:rPr>
                    <w:color w:val="000000"/>
                  </w:rPr>
                  <w:t>Priešgaisrinės apsaugos ir gelbėjimo departamentas prie Vidaus reikalų ministerijos</w:t>
                </w:r>
              </w:p>
            </w:tc>
            <w:tc>
              <w:tcPr>
                <w:tcW w:w="1450" w:type="dxa"/>
                <w:tcBorders>
                  <w:top w:val="nil"/>
                  <w:left w:val="nil"/>
                  <w:bottom w:val="nil"/>
                  <w:right w:val="nil"/>
                </w:tcBorders>
                <w:shd w:val="clear" w:color="auto" w:fill="auto"/>
                <w:noWrap/>
                <w:vAlign w:val="bottom"/>
                <w:hideMark/>
              </w:tcPr>
              <w:p>
                <w:pPr>
                  <w:jc w:val="right"/>
                  <w:rPr>
                    <w:color w:val="000000"/>
                  </w:rPr>
                </w:pPr>
                <w:r>
                  <w:rPr>
                    <w:color w:val="000000"/>
                  </w:rPr>
                  <w:t>3 254</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jc w:val="right"/>
                  <w:rPr>
                    <w:color w:val="000000"/>
                  </w:rPr>
                </w:pPr>
                <w:r>
                  <w:rPr>
                    <w:color w:val="000000"/>
                  </w:rPr>
                  <w:t>3 254</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630"/>
              <w:jc w:val="center"/>
            </w:trPr>
            <w:tc>
              <w:tcPr>
                <w:tcW w:w="4055" w:type="dxa"/>
                <w:tcBorders>
                  <w:top w:val="nil"/>
                  <w:left w:val="nil"/>
                  <w:bottom w:val="nil"/>
                  <w:right w:val="nil"/>
                </w:tcBorders>
                <w:shd w:val="clear" w:color="auto" w:fill="auto"/>
                <w:vAlign w:val="bottom"/>
                <w:hideMark/>
              </w:tcPr>
              <w:p>
                <w:pPr>
                  <w:rPr>
                    <w:color w:val="000000"/>
                  </w:rPr>
                </w:pPr>
                <w:r>
                  <w:rPr>
                    <w:color w:val="000000"/>
                  </w:rPr>
                  <w:t>Kūno kultūros ir sporto departamentas prie Lietuvos Respublikos Vyriausybės</w:t>
                </w:r>
              </w:p>
            </w:tc>
            <w:tc>
              <w:tcPr>
                <w:tcW w:w="1450" w:type="dxa"/>
                <w:tcBorders>
                  <w:top w:val="nil"/>
                  <w:left w:val="nil"/>
                  <w:bottom w:val="nil"/>
                  <w:right w:val="nil"/>
                </w:tcBorders>
                <w:shd w:val="clear" w:color="auto" w:fill="auto"/>
                <w:noWrap/>
                <w:vAlign w:val="bottom"/>
                <w:hideMark/>
              </w:tcPr>
              <w:p>
                <w:pPr>
                  <w:jc w:val="right"/>
                  <w:rPr>
                    <w:color w:val="000000"/>
                  </w:rPr>
                </w:pPr>
                <w:r>
                  <w:rPr>
                    <w:color w:val="000000"/>
                  </w:rPr>
                  <w:t>6 642</w:t>
                </w:r>
              </w:p>
            </w:tc>
            <w:tc>
              <w:tcPr>
                <w:tcW w:w="1300" w:type="dxa"/>
                <w:tcBorders>
                  <w:top w:val="nil"/>
                  <w:left w:val="nil"/>
                  <w:bottom w:val="nil"/>
                  <w:right w:val="nil"/>
                </w:tcBorders>
                <w:shd w:val="clear" w:color="auto" w:fill="auto"/>
                <w:noWrap/>
                <w:vAlign w:val="bottom"/>
                <w:hideMark/>
              </w:tcPr>
              <w:p>
                <w:pPr>
                  <w:jc w:val="right"/>
                  <w:rPr>
                    <w:color w:val="000000"/>
                  </w:rPr>
                </w:pPr>
                <w:r>
                  <w:rPr>
                    <w:color w:val="000000"/>
                  </w:rPr>
                  <w:t>6 116</w:t>
                </w: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526</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Valstybės tarnybos departamentas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2</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2</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630"/>
              <w:jc w:val="center"/>
            </w:trPr>
            <w:tc>
              <w:tcPr>
                <w:tcW w:w="4055" w:type="dxa"/>
                <w:tcBorders>
                  <w:top w:val="nil"/>
                  <w:left w:val="nil"/>
                  <w:bottom w:val="nil"/>
                  <w:right w:val="nil"/>
                </w:tcBorders>
                <w:shd w:val="clear" w:color="auto" w:fill="auto"/>
                <w:vAlign w:val="bottom"/>
                <w:hideMark/>
              </w:tcPr>
              <w:p>
                <w:pPr>
                  <w:rPr>
                    <w:color w:val="000000"/>
                  </w:rPr>
                </w:pPr>
                <w:r>
                  <w:rPr>
                    <w:color w:val="000000"/>
                  </w:rPr>
                  <w:t>Policijos departamentas prie Vidaus reikalų ministerijos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459</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459</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630"/>
              <w:jc w:val="center"/>
            </w:trPr>
            <w:tc>
              <w:tcPr>
                <w:tcW w:w="4055" w:type="dxa"/>
                <w:tcBorders>
                  <w:top w:val="nil"/>
                  <w:left w:val="nil"/>
                  <w:bottom w:val="nil"/>
                  <w:right w:val="nil"/>
                </w:tcBorders>
                <w:shd w:val="clear" w:color="auto" w:fill="auto"/>
                <w:vAlign w:val="bottom"/>
                <w:hideMark/>
              </w:tcPr>
              <w:p>
                <w:pPr>
                  <w:rPr>
                    <w:color w:val="000000"/>
                  </w:rPr>
                </w:pPr>
                <w:r>
                  <w:rPr>
                    <w:color w:val="000000"/>
                  </w:rPr>
                  <w:t>Viešojo saugumo tarnyba prie Vidaus reikalų ministerijos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55</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55</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94"/>
              <w:jc w:val="center"/>
            </w:trPr>
            <w:tc>
              <w:tcPr>
                <w:tcW w:w="4055" w:type="dxa"/>
                <w:tcBorders>
                  <w:top w:val="nil"/>
                  <w:left w:val="nil"/>
                  <w:bottom w:val="nil"/>
                  <w:right w:val="nil"/>
                </w:tcBorders>
                <w:shd w:val="clear" w:color="auto" w:fill="auto"/>
                <w:vAlign w:val="bottom"/>
                <w:hideMark/>
              </w:tcPr>
              <w:p>
                <w:pPr>
                  <w:rPr>
                    <w:color w:val="000000"/>
                  </w:rPr>
                </w:pPr>
                <w:r>
                  <w:rPr>
                    <w:color w:val="000000"/>
                  </w:rPr>
                  <w:t>Valstybinė maisto ir veterinarijos tarnyba</w:t>
                </w:r>
              </w:p>
            </w:tc>
            <w:tc>
              <w:tcPr>
                <w:tcW w:w="1450" w:type="dxa"/>
                <w:tcBorders>
                  <w:top w:val="nil"/>
                  <w:left w:val="nil"/>
                  <w:bottom w:val="nil"/>
                  <w:right w:val="nil"/>
                </w:tcBorders>
                <w:shd w:val="clear" w:color="auto" w:fill="auto"/>
                <w:noWrap/>
                <w:vAlign w:val="bottom"/>
                <w:hideMark/>
              </w:tcPr>
              <w:p>
                <w:pPr>
                  <w:jc w:val="right"/>
                  <w:rPr>
                    <w:color w:val="000000"/>
                  </w:rPr>
                </w:pPr>
                <w:r>
                  <w:rPr>
                    <w:color w:val="000000"/>
                  </w:rPr>
                  <w:t>2 462</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jc w:val="right"/>
                  <w:rPr>
                    <w:color w:val="000000"/>
                  </w:rPr>
                </w:pPr>
                <w:r>
                  <w:rPr>
                    <w:color w:val="000000"/>
                  </w:rPr>
                  <w:t>2 462</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441"/>
              <w:jc w:val="center"/>
            </w:trPr>
            <w:tc>
              <w:tcPr>
                <w:tcW w:w="4055" w:type="dxa"/>
                <w:tcBorders>
                  <w:top w:val="nil"/>
                  <w:left w:val="nil"/>
                  <w:bottom w:val="nil"/>
                  <w:right w:val="nil"/>
                </w:tcBorders>
                <w:shd w:val="clear" w:color="auto" w:fill="auto"/>
                <w:vAlign w:val="bottom"/>
                <w:hideMark/>
              </w:tcPr>
              <w:p>
                <w:pPr>
                  <w:rPr>
                    <w:color w:val="000000"/>
                  </w:rPr>
                </w:pPr>
                <w:r>
                  <w:rPr>
                    <w:color w:val="000000"/>
                  </w:rPr>
                  <w:t>Lietuvos Respublikos Konstitucinis Teismas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2</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2</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Lietuvos Respublikos generalinė prokuratūra</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17</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17</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right w:val="nil"/>
                </w:tcBorders>
                <w:shd w:val="clear" w:color="auto" w:fill="auto"/>
                <w:vAlign w:val="bottom"/>
                <w:hideMark/>
              </w:tcPr>
              <w:p>
                <w:pPr>
                  <w:rPr>
                    <w:color w:val="000000"/>
                  </w:rPr>
                </w:pPr>
                <w:r>
                  <w:rPr>
                    <w:color w:val="000000"/>
                  </w:rPr>
                  <w:t>Nacionalinė teismų administracija</w:t>
                </w:r>
              </w:p>
            </w:tc>
            <w:tc>
              <w:tcPr>
                <w:tcW w:w="1450" w:type="dxa"/>
                <w:tcBorders>
                  <w:top w:val="nil"/>
                  <w:left w:val="nil"/>
                  <w:right w:val="nil"/>
                </w:tcBorders>
                <w:shd w:val="clear" w:color="auto" w:fill="auto"/>
                <w:noWrap/>
                <w:vAlign w:val="bottom"/>
                <w:hideMark/>
              </w:tcPr>
              <w:p>
                <w:pPr>
                  <w:ind w:firstLine="60"/>
                  <w:jc w:val="right"/>
                  <w:rPr>
                    <w:color w:val="000000"/>
                  </w:rPr>
                </w:pPr>
                <w:r>
                  <w:rPr>
                    <w:color w:val="000000"/>
                  </w:rPr>
                  <w:t>26</w:t>
                </w:r>
              </w:p>
            </w:tc>
            <w:tc>
              <w:tcPr>
                <w:tcW w:w="1300" w:type="dxa"/>
                <w:tcBorders>
                  <w:top w:val="nil"/>
                  <w:left w:val="nil"/>
                  <w:right w:val="nil"/>
                </w:tcBorders>
                <w:shd w:val="clear" w:color="auto" w:fill="auto"/>
                <w:noWrap/>
                <w:vAlign w:val="bottom"/>
                <w:hideMark/>
              </w:tcPr>
              <w:p>
                <w:pPr>
                  <w:jc w:val="right"/>
                  <w:rPr>
                    <w:color w:val="000000"/>
                  </w:rPr>
                </w:pPr>
              </w:p>
            </w:tc>
            <w:tc>
              <w:tcPr>
                <w:tcW w:w="1161" w:type="dxa"/>
                <w:tcBorders>
                  <w:top w:val="nil"/>
                  <w:left w:val="nil"/>
                  <w:right w:val="nil"/>
                </w:tcBorders>
                <w:shd w:val="clear" w:color="auto" w:fill="auto"/>
                <w:noWrap/>
                <w:vAlign w:val="bottom"/>
                <w:hideMark/>
              </w:tcPr>
              <w:p>
                <w:pPr>
                  <w:ind w:firstLine="60"/>
                  <w:jc w:val="right"/>
                  <w:rPr>
                    <w:color w:val="000000"/>
                  </w:rPr>
                </w:pPr>
                <w:r>
                  <w:rPr>
                    <w:color w:val="000000"/>
                  </w:rPr>
                  <w:t>26</w:t>
                </w:r>
              </w:p>
            </w:tc>
            <w:tc>
              <w:tcPr>
                <w:tcW w:w="1161" w:type="dxa"/>
                <w:tcBorders>
                  <w:top w:val="nil"/>
                  <w:left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000000" w:fill="auto"/>
                <w:vAlign w:val="bottom"/>
                <w:hideMark/>
              </w:tcPr>
              <w:p>
                <w:pPr>
                  <w:rPr>
                    <w:color w:val="000000"/>
                  </w:rPr>
                </w:pPr>
                <w:r>
                  <w:rPr>
                    <w:color w:val="000000"/>
                  </w:rPr>
                  <w:t>Teismai</w:t>
                </w:r>
              </w:p>
            </w:tc>
            <w:tc>
              <w:tcPr>
                <w:tcW w:w="1450" w:type="dxa"/>
                <w:tcBorders>
                  <w:top w:val="nil"/>
                  <w:left w:val="nil"/>
                  <w:bottom w:val="nil"/>
                  <w:right w:val="nil"/>
                </w:tcBorders>
                <w:shd w:val="clear" w:color="000000" w:fill="auto"/>
                <w:noWrap/>
                <w:vAlign w:val="bottom"/>
                <w:hideMark/>
              </w:tcPr>
              <w:p>
                <w:pPr>
                  <w:ind w:firstLine="60"/>
                  <w:jc w:val="right"/>
                  <w:rPr>
                    <w:color w:val="000000"/>
                  </w:rPr>
                </w:pPr>
                <w:r>
                  <w:rPr>
                    <w:color w:val="000000"/>
                  </w:rPr>
                  <w:t>103</w:t>
                </w:r>
              </w:p>
            </w:tc>
            <w:tc>
              <w:tcPr>
                <w:tcW w:w="1300" w:type="dxa"/>
                <w:tcBorders>
                  <w:top w:val="nil"/>
                  <w:left w:val="nil"/>
                  <w:bottom w:val="nil"/>
                  <w:right w:val="nil"/>
                </w:tcBorders>
                <w:shd w:val="clear" w:color="000000" w:fill="auto"/>
                <w:noWrap/>
                <w:vAlign w:val="bottom"/>
                <w:hideMark/>
              </w:tcPr>
              <w:p>
                <w:pPr>
                  <w:ind w:firstLine="60"/>
                  <w:jc w:val="right"/>
                  <w:rPr>
                    <w:color w:val="000000"/>
                  </w:rPr>
                </w:pPr>
              </w:p>
            </w:tc>
            <w:tc>
              <w:tcPr>
                <w:tcW w:w="1161" w:type="dxa"/>
                <w:tcBorders>
                  <w:top w:val="nil"/>
                  <w:left w:val="nil"/>
                  <w:bottom w:val="nil"/>
                  <w:right w:val="nil"/>
                </w:tcBorders>
                <w:shd w:val="clear" w:color="000000" w:fill="auto"/>
                <w:noWrap/>
                <w:vAlign w:val="bottom"/>
                <w:hideMark/>
              </w:tcPr>
              <w:p>
                <w:pPr>
                  <w:ind w:firstLine="60"/>
                  <w:jc w:val="right"/>
                  <w:rPr>
                    <w:color w:val="000000"/>
                  </w:rPr>
                </w:pPr>
                <w:r>
                  <w:rPr>
                    <w:color w:val="000000"/>
                  </w:rPr>
                  <w:t>103</w:t>
                </w:r>
              </w:p>
            </w:tc>
            <w:tc>
              <w:tcPr>
                <w:tcW w:w="1161" w:type="dxa"/>
                <w:tcBorders>
                  <w:top w:val="nil"/>
                  <w:left w:val="nil"/>
                  <w:bottom w:val="nil"/>
                  <w:right w:val="nil"/>
                </w:tcBorders>
                <w:shd w:val="clear" w:color="000000" w:fill="auto"/>
                <w:noWrap/>
                <w:vAlign w:val="bottom"/>
                <w:hideMark/>
              </w:tcPr>
              <w:p>
                <w:pPr>
                  <w:ind w:firstLine="60"/>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iš jų:</w:t>
                </w:r>
              </w:p>
            </w:tc>
            <w:tc>
              <w:tcPr>
                <w:tcW w:w="1450" w:type="dxa"/>
                <w:tcBorders>
                  <w:top w:val="nil"/>
                  <w:left w:val="nil"/>
                  <w:bottom w:val="nil"/>
                  <w:right w:val="nil"/>
                </w:tcBorders>
                <w:shd w:val="clear" w:color="auto" w:fill="auto"/>
                <w:noWrap/>
                <w:vAlign w:val="bottom"/>
                <w:hideMark/>
              </w:tcPr>
              <w:p>
                <w:pPr>
                  <w:jc w:val="right"/>
                  <w:rPr>
                    <w:color w:val="000000"/>
                  </w:rPr>
                </w:pP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Lietuvos Aukščiausiasis Teismas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5</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5</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Lietuvos vyriausiasis administracinis teismas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Lietuvos apeliacinis teismas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13</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13</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Vilniaus apygardos teismas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4</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4</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Kauno apygardos teismas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2</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2</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Klaipėdos apygardos teismas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7</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7</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Šiaulių apygardos teismas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2</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2</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Panevėžio apygardos teismas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Vilniaus miesto apylinkės teismas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7</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7</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Kauno apylinkės teismas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8</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8</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Klaipėdos miesto apylinkės teismas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2</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2</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Šiaulių apylinkės teismas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Panevėžio miesto apylinkės teismas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Druskininkų miesto apylinkės teismas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Palangos miesto apylinkės teismas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Alytaus rajono apylinkės teismas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2</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2</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Biržų rajono apylinkės teismas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Joniškio rajono apylinkės teismas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Kaišiadorių rajono apylinkės teismas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Klaipėdos rajono apylinkės teismas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Lazdijų rajono apylinkės teismas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Marijampolės rajono apylinkės teismas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Mažeikių rajono apylinkės teismas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Molėtų rajono apylinkės teismas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Rokiškio rajono apylinkės teismas</w:t>
                </w:r>
              </w:p>
            </w:tc>
            <w:tc>
              <w:tcPr>
                <w:tcW w:w="1450" w:type="dxa"/>
                <w:tcBorders>
                  <w:top w:val="nil"/>
                  <w:left w:val="nil"/>
                  <w:right w:val="nil"/>
                </w:tcBorders>
                <w:shd w:val="clear" w:color="auto" w:fill="auto"/>
                <w:noWrap/>
                <w:vAlign w:val="bottom"/>
                <w:hideMark/>
              </w:tcPr>
              <w:p>
                <w:pPr>
                  <w:ind w:firstLine="60"/>
                  <w:jc w:val="right"/>
                  <w:rPr>
                    <w:color w:val="000000"/>
                  </w:rPr>
                </w:pPr>
                <w:r>
                  <w:rPr>
                    <w:color w:val="000000"/>
                  </w:rPr>
                  <w:t>1</w:t>
                </w:r>
              </w:p>
            </w:tc>
            <w:tc>
              <w:tcPr>
                <w:tcW w:w="1300" w:type="dxa"/>
                <w:tcBorders>
                  <w:top w:val="nil"/>
                  <w:left w:val="nil"/>
                  <w:right w:val="nil"/>
                </w:tcBorders>
                <w:shd w:val="clear" w:color="auto" w:fill="auto"/>
                <w:noWrap/>
                <w:vAlign w:val="bottom"/>
                <w:hideMark/>
              </w:tcPr>
              <w:p>
                <w:pPr>
                  <w:jc w:val="right"/>
                  <w:rPr>
                    <w:color w:val="000000"/>
                  </w:rPr>
                </w:pPr>
              </w:p>
            </w:tc>
            <w:tc>
              <w:tcPr>
                <w:tcW w:w="1161" w:type="dxa"/>
                <w:tcBorders>
                  <w:top w:val="nil"/>
                  <w:left w:val="nil"/>
                  <w:right w:val="nil"/>
                </w:tcBorders>
                <w:shd w:val="clear" w:color="auto" w:fill="auto"/>
                <w:noWrap/>
                <w:vAlign w:val="bottom"/>
                <w:hideMark/>
              </w:tcPr>
              <w:p>
                <w:pPr>
                  <w:ind w:firstLine="60"/>
                  <w:jc w:val="right"/>
                  <w:rPr>
                    <w:color w:val="000000"/>
                  </w:rPr>
                </w:pPr>
                <w:r>
                  <w:rPr>
                    <w:color w:val="000000"/>
                  </w:rPr>
                  <w:t>1</w:t>
                </w:r>
              </w:p>
            </w:tc>
            <w:tc>
              <w:tcPr>
                <w:tcW w:w="1161" w:type="dxa"/>
                <w:tcBorders>
                  <w:top w:val="nil"/>
                  <w:left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tcBorders>
                <w:shd w:val="clear" w:color="auto" w:fill="auto"/>
                <w:vAlign w:val="bottom"/>
                <w:hideMark/>
              </w:tcPr>
              <w:p>
                <w:pPr>
                  <w:rPr>
                    <w:color w:val="000000"/>
                  </w:rPr>
                </w:pPr>
                <w:r>
                  <w:rPr>
                    <w:color w:val="000000"/>
                  </w:rPr>
                  <w:t>Skuodo rajono apylinkės teismas</w:t>
                </w:r>
              </w:p>
            </w:tc>
            <w:tc>
              <w:tcPr>
                <w:tcW w:w="1450" w:type="dxa"/>
                <w:shd w:val="clear" w:color="auto" w:fill="auto"/>
                <w:noWrap/>
                <w:vAlign w:val="bottom"/>
                <w:hideMark/>
              </w:tcPr>
              <w:p>
                <w:pPr>
                  <w:ind w:firstLine="60"/>
                  <w:jc w:val="right"/>
                  <w:rPr>
                    <w:color w:val="000000"/>
                  </w:rPr>
                </w:pPr>
                <w:r>
                  <w:rPr>
                    <w:color w:val="000000"/>
                  </w:rPr>
                  <w:t>5</w:t>
                </w:r>
              </w:p>
            </w:tc>
            <w:tc>
              <w:tcPr>
                <w:tcW w:w="1300" w:type="dxa"/>
                <w:shd w:val="clear" w:color="auto" w:fill="auto"/>
                <w:noWrap/>
                <w:vAlign w:val="bottom"/>
                <w:hideMark/>
              </w:tcPr>
              <w:p>
                <w:pPr>
                  <w:jc w:val="right"/>
                  <w:rPr>
                    <w:color w:val="000000"/>
                  </w:rPr>
                </w:pPr>
              </w:p>
            </w:tc>
            <w:tc>
              <w:tcPr>
                <w:tcW w:w="1161" w:type="dxa"/>
                <w:shd w:val="clear" w:color="auto" w:fill="auto"/>
                <w:noWrap/>
                <w:vAlign w:val="bottom"/>
                <w:hideMark/>
              </w:tcPr>
              <w:p>
                <w:pPr>
                  <w:ind w:firstLine="60"/>
                  <w:jc w:val="right"/>
                  <w:rPr>
                    <w:color w:val="000000"/>
                  </w:rPr>
                </w:pPr>
                <w:r>
                  <w:rPr>
                    <w:color w:val="000000"/>
                  </w:rPr>
                  <w:t>5</w:t>
                </w:r>
              </w:p>
            </w:tc>
            <w:tc>
              <w:tcPr>
                <w:tcW w:w="1161" w:type="dxa"/>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Šalčininkų rajono apylinkės teismas</w:t>
                </w:r>
              </w:p>
            </w:tc>
            <w:tc>
              <w:tcPr>
                <w:tcW w:w="1450" w:type="dxa"/>
                <w:tcBorders>
                  <w:left w:val="nil"/>
                  <w:bottom w:val="nil"/>
                  <w:right w:val="nil"/>
                </w:tcBorders>
                <w:shd w:val="clear" w:color="auto" w:fill="auto"/>
                <w:noWrap/>
                <w:vAlign w:val="bottom"/>
                <w:hideMark/>
              </w:tcPr>
              <w:p>
                <w:pPr>
                  <w:ind w:firstLine="60"/>
                  <w:jc w:val="right"/>
                  <w:rPr>
                    <w:color w:val="000000"/>
                  </w:rPr>
                </w:pPr>
                <w:r>
                  <w:rPr>
                    <w:color w:val="000000"/>
                  </w:rPr>
                  <w:t>1</w:t>
                </w:r>
              </w:p>
            </w:tc>
            <w:tc>
              <w:tcPr>
                <w:tcW w:w="1300" w:type="dxa"/>
                <w:tcBorders>
                  <w:left w:val="nil"/>
                  <w:bottom w:val="nil"/>
                  <w:right w:val="nil"/>
                </w:tcBorders>
                <w:shd w:val="clear" w:color="auto" w:fill="auto"/>
                <w:noWrap/>
                <w:vAlign w:val="bottom"/>
                <w:hideMark/>
              </w:tcPr>
              <w:p>
                <w:pPr>
                  <w:jc w:val="right"/>
                  <w:rPr>
                    <w:color w:val="000000"/>
                  </w:rPr>
                </w:pPr>
              </w:p>
            </w:tc>
            <w:tc>
              <w:tcPr>
                <w:tcW w:w="1161" w:type="dxa"/>
                <w:tcBorders>
                  <w:left w:val="nil"/>
                  <w:bottom w:val="nil"/>
                  <w:right w:val="nil"/>
                </w:tcBorders>
                <w:shd w:val="clear" w:color="auto" w:fill="auto"/>
                <w:noWrap/>
                <w:vAlign w:val="bottom"/>
                <w:hideMark/>
              </w:tcPr>
              <w:p>
                <w:pPr>
                  <w:ind w:firstLine="60"/>
                  <w:jc w:val="right"/>
                  <w:rPr>
                    <w:color w:val="000000"/>
                  </w:rPr>
                </w:pPr>
                <w:r>
                  <w:rPr>
                    <w:color w:val="000000"/>
                  </w:rPr>
                  <w:t>1</w:t>
                </w:r>
              </w:p>
            </w:tc>
            <w:tc>
              <w:tcPr>
                <w:tcW w:w="1161" w:type="dxa"/>
                <w:tcBorders>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Šilutės rajono apylinkės teismas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Švenčionių rajono apylinkės teismas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Tauragės rajono apylinkės teismas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Telšių rajono apylinkės teismas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Trakų rajono apylinkės teismas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Utenos rajono apylinkės teismas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Varėnos rajono apylinkės teismas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Vilkaviškio rajono apylinkės teismas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3</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3</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Vilniaus rajono apylinkės teismas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Vilniaus apygardos administracinis teismas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16</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16</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Kauno apygardos administracinis teismas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Klaipėdos apygardos administracinis teismas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Šiaulių apygardos administracinis teismas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1</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630"/>
              <w:jc w:val="center"/>
            </w:trPr>
            <w:tc>
              <w:tcPr>
                <w:tcW w:w="4055" w:type="dxa"/>
                <w:tcBorders>
                  <w:top w:val="nil"/>
                  <w:left w:val="nil"/>
                  <w:bottom w:val="nil"/>
                  <w:right w:val="nil"/>
                </w:tcBorders>
                <w:shd w:val="clear" w:color="auto" w:fill="auto"/>
                <w:vAlign w:val="bottom"/>
                <w:hideMark/>
              </w:tcPr>
              <w:p>
                <w:pPr>
                  <w:rPr>
                    <w:color w:val="000000"/>
                  </w:rPr>
                </w:pPr>
                <w:r>
                  <w:rPr>
                    <w:color w:val="000000"/>
                  </w:rPr>
                  <w:t>Lietuvos gyventojų genocido ir rezistencijos tyrimo centras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104</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104</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Lietuvos Respublikos ryšių reguliavimo tarnyba</w:t>
                </w:r>
              </w:p>
            </w:tc>
            <w:tc>
              <w:tcPr>
                <w:tcW w:w="1450" w:type="dxa"/>
                <w:tcBorders>
                  <w:top w:val="nil"/>
                  <w:left w:val="nil"/>
                  <w:bottom w:val="nil"/>
                  <w:right w:val="nil"/>
                </w:tcBorders>
                <w:shd w:val="clear" w:color="auto" w:fill="auto"/>
                <w:noWrap/>
                <w:vAlign w:val="bottom"/>
                <w:hideMark/>
              </w:tcPr>
              <w:p>
                <w:pPr>
                  <w:jc w:val="right"/>
                  <w:rPr>
                    <w:color w:val="000000"/>
                  </w:rPr>
                </w:pPr>
                <w:r>
                  <w:rPr>
                    <w:color w:val="000000"/>
                  </w:rPr>
                  <w:t>7 300</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jc w:val="right"/>
                  <w:rPr>
                    <w:color w:val="000000"/>
                  </w:rPr>
                </w:pPr>
                <w:r>
                  <w:rPr>
                    <w:color w:val="000000"/>
                  </w:rPr>
                  <w:t>7 300</w:t>
                </w:r>
              </w:p>
            </w:tc>
            <w:tc>
              <w:tcPr>
                <w:tcW w:w="1161" w:type="dxa"/>
                <w:tcBorders>
                  <w:top w:val="nil"/>
                  <w:left w:val="nil"/>
                  <w:bottom w:val="nil"/>
                  <w:right w:val="nil"/>
                </w:tcBorders>
                <w:shd w:val="clear" w:color="auto" w:fill="auto"/>
                <w:noWrap/>
                <w:vAlign w:val="bottom"/>
                <w:hideMark/>
              </w:tcPr>
              <w:p>
                <w:pPr>
                  <w:jc w:val="right"/>
                  <w:rPr>
                    <w:color w:val="000000"/>
                  </w:rPr>
                </w:pPr>
                <w:r>
                  <w:rPr>
                    <w:color w:val="000000"/>
                  </w:rPr>
                  <w:t>7 293</w:t>
                </w: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Lietuvos energetikos institutas</w:t>
                </w:r>
              </w:p>
            </w:tc>
            <w:tc>
              <w:tcPr>
                <w:tcW w:w="1450" w:type="dxa"/>
                <w:tcBorders>
                  <w:top w:val="nil"/>
                  <w:left w:val="nil"/>
                  <w:bottom w:val="nil"/>
                  <w:right w:val="nil"/>
                </w:tcBorders>
                <w:shd w:val="clear" w:color="auto" w:fill="auto"/>
                <w:noWrap/>
                <w:vAlign w:val="bottom"/>
                <w:hideMark/>
              </w:tcPr>
              <w:p>
                <w:pPr>
                  <w:jc w:val="right"/>
                  <w:rPr>
                    <w:color w:val="000000"/>
                  </w:rPr>
                </w:pPr>
                <w:r>
                  <w:rPr>
                    <w:color w:val="000000"/>
                  </w:rPr>
                  <w:t>1 100</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jc w:val="right"/>
                  <w:rPr>
                    <w:color w:val="000000"/>
                  </w:rPr>
                </w:pPr>
                <w:r>
                  <w:rPr>
                    <w:color w:val="000000"/>
                  </w:rPr>
                  <w:t>1 100</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Nacionalinis vėžio institutas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420</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420</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Lietuvos kultūros tyrimų institutas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15</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15</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Lietuvos istorijos institutas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31</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31</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Lietuvių literatūros ir tautosakos institutas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29</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29</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Lietuvių kalbos institutas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29</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29</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Lietuvos agrarinės ekonomikos institutas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58</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58</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Lietuvos teisės institutas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29</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29</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Lietuvos socialinių tyrimų centras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29</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29</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630"/>
              <w:jc w:val="center"/>
            </w:trPr>
            <w:tc>
              <w:tcPr>
                <w:tcW w:w="4055" w:type="dxa"/>
                <w:tcBorders>
                  <w:top w:val="nil"/>
                  <w:left w:val="nil"/>
                  <w:bottom w:val="nil"/>
                  <w:right w:val="nil"/>
                </w:tcBorders>
                <w:shd w:val="clear" w:color="auto" w:fill="auto"/>
                <w:vAlign w:val="bottom"/>
                <w:hideMark/>
              </w:tcPr>
              <w:p>
                <w:pPr>
                  <w:rPr>
                    <w:color w:val="000000"/>
                  </w:rPr>
                </w:pPr>
                <w:r>
                  <w:rPr>
                    <w:color w:val="000000"/>
                  </w:rPr>
                  <w:t>Valstybinis mokslinių tyrimų institutas Inovatyvios medicinos centras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100</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100</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Lietuvos agrarinių ir miškų mokslų centras</w:t>
                </w:r>
              </w:p>
            </w:tc>
            <w:tc>
              <w:tcPr>
                <w:tcW w:w="1450" w:type="dxa"/>
                <w:tcBorders>
                  <w:top w:val="nil"/>
                  <w:left w:val="nil"/>
                  <w:bottom w:val="nil"/>
                  <w:right w:val="nil"/>
                </w:tcBorders>
                <w:shd w:val="clear" w:color="auto" w:fill="auto"/>
                <w:noWrap/>
                <w:vAlign w:val="bottom"/>
                <w:hideMark/>
              </w:tcPr>
              <w:p>
                <w:pPr>
                  <w:jc w:val="right"/>
                  <w:rPr>
                    <w:color w:val="000000"/>
                  </w:rPr>
                </w:pPr>
                <w:r>
                  <w:rPr>
                    <w:color w:val="000000"/>
                  </w:rPr>
                  <w:t>3 600</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jc w:val="right"/>
                  <w:rPr>
                    <w:color w:val="000000"/>
                  </w:rPr>
                </w:pPr>
                <w:r>
                  <w:rPr>
                    <w:color w:val="000000"/>
                  </w:rPr>
                  <w:t>3 600</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Gamtos tyrimų centras</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700</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700</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630"/>
              <w:jc w:val="center"/>
            </w:trPr>
            <w:tc>
              <w:tcPr>
                <w:tcW w:w="4055" w:type="dxa"/>
                <w:tcBorders>
                  <w:top w:val="nil"/>
                  <w:left w:val="nil"/>
                  <w:bottom w:val="nil"/>
                  <w:right w:val="nil"/>
                </w:tcBorders>
                <w:shd w:val="clear" w:color="auto" w:fill="auto"/>
                <w:vAlign w:val="bottom"/>
                <w:hideMark/>
              </w:tcPr>
              <w:p>
                <w:pPr>
                  <w:rPr>
                    <w:color w:val="000000"/>
                  </w:rPr>
                </w:pPr>
                <w:r>
                  <w:rPr>
                    <w:color w:val="000000"/>
                  </w:rPr>
                  <w:t>Valstybinis mokslinių tyrimų institutas Fizinių ir technologijos mokslų centras</w:t>
                </w:r>
              </w:p>
            </w:tc>
            <w:tc>
              <w:tcPr>
                <w:tcW w:w="1450" w:type="dxa"/>
                <w:tcBorders>
                  <w:top w:val="nil"/>
                  <w:left w:val="nil"/>
                  <w:bottom w:val="nil"/>
                  <w:right w:val="nil"/>
                </w:tcBorders>
                <w:shd w:val="clear" w:color="auto" w:fill="auto"/>
                <w:noWrap/>
                <w:vAlign w:val="bottom"/>
                <w:hideMark/>
              </w:tcPr>
              <w:p>
                <w:pPr>
                  <w:jc w:val="right"/>
                  <w:rPr>
                    <w:color w:val="000000"/>
                  </w:rPr>
                </w:pPr>
                <w:r>
                  <w:rPr>
                    <w:color w:val="000000"/>
                  </w:rPr>
                  <w:t>1 200</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jc w:val="right"/>
                  <w:rPr>
                    <w:color w:val="000000"/>
                  </w:rPr>
                </w:pPr>
                <w:r>
                  <w:rPr>
                    <w:color w:val="000000"/>
                  </w:rPr>
                  <w:t>1 200</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nil"/>
                  <w:left w:val="nil"/>
                  <w:bottom w:val="nil"/>
                  <w:right w:val="nil"/>
                </w:tcBorders>
                <w:shd w:val="clear" w:color="auto" w:fill="auto"/>
                <w:vAlign w:val="bottom"/>
                <w:hideMark/>
              </w:tcPr>
              <w:p>
                <w:pPr>
                  <w:rPr>
                    <w:color w:val="000000"/>
                  </w:rPr>
                </w:pPr>
                <w:r>
                  <w:rPr>
                    <w:color w:val="000000"/>
                  </w:rPr>
                  <w:t>Lietuvos mokslų akademija</w:t>
                </w:r>
              </w:p>
            </w:tc>
            <w:tc>
              <w:tcPr>
                <w:tcW w:w="1450" w:type="dxa"/>
                <w:tcBorders>
                  <w:top w:val="nil"/>
                  <w:left w:val="nil"/>
                  <w:bottom w:val="nil"/>
                  <w:right w:val="nil"/>
                </w:tcBorders>
                <w:shd w:val="clear" w:color="auto" w:fill="auto"/>
                <w:noWrap/>
                <w:vAlign w:val="bottom"/>
                <w:hideMark/>
              </w:tcPr>
              <w:p>
                <w:pPr>
                  <w:ind w:firstLine="60"/>
                  <w:jc w:val="right"/>
                  <w:rPr>
                    <w:color w:val="000000"/>
                  </w:rPr>
                </w:pPr>
                <w:r>
                  <w:rPr>
                    <w:color w:val="000000"/>
                  </w:rPr>
                  <w:t>88</w:t>
                </w:r>
              </w:p>
            </w:tc>
            <w:tc>
              <w:tcPr>
                <w:tcW w:w="1300" w:type="dxa"/>
                <w:tcBorders>
                  <w:top w:val="nil"/>
                  <w:left w:val="nil"/>
                  <w:bottom w:val="nil"/>
                  <w:right w:val="nil"/>
                </w:tcBorders>
                <w:shd w:val="clear" w:color="auto" w:fill="auto"/>
                <w:noWrap/>
                <w:vAlign w:val="bottom"/>
                <w:hideMark/>
              </w:tcPr>
              <w:p>
                <w:pPr>
                  <w:jc w:val="right"/>
                  <w:rPr>
                    <w:color w:val="000000"/>
                  </w:rPr>
                </w:pPr>
              </w:p>
            </w:tc>
            <w:tc>
              <w:tcPr>
                <w:tcW w:w="1161" w:type="dxa"/>
                <w:tcBorders>
                  <w:top w:val="nil"/>
                  <w:left w:val="nil"/>
                  <w:bottom w:val="nil"/>
                  <w:right w:val="nil"/>
                </w:tcBorders>
                <w:shd w:val="clear" w:color="auto" w:fill="auto"/>
                <w:noWrap/>
                <w:vAlign w:val="bottom"/>
                <w:hideMark/>
              </w:tcPr>
              <w:p>
                <w:pPr>
                  <w:ind w:firstLine="60"/>
                  <w:jc w:val="right"/>
                  <w:rPr>
                    <w:color w:val="000000"/>
                  </w:rPr>
                </w:pPr>
                <w:r>
                  <w:rPr>
                    <w:color w:val="000000"/>
                  </w:rPr>
                  <w:t>88</w:t>
                </w:r>
              </w:p>
            </w:tc>
            <w:tc>
              <w:tcPr>
                <w:tcW w:w="1161" w:type="dxa"/>
                <w:tcBorders>
                  <w:top w:val="nil"/>
                  <w:left w:val="nil"/>
                  <w:bottom w:val="nil"/>
                  <w:right w:val="nil"/>
                </w:tcBorders>
                <w:shd w:val="clear" w:color="auto" w:fill="auto"/>
                <w:noWrap/>
                <w:vAlign w:val="bottom"/>
                <w:hideMark/>
              </w:tcPr>
              <w:p>
                <w:pPr>
                  <w:jc w:val="right"/>
                  <w:rPr>
                    <w:color w:val="000000"/>
                  </w:rPr>
                </w:pPr>
              </w:p>
            </w:tc>
          </w:tr>
          <w:tr>
            <w:trPr>
              <w:trHeight w:val="315"/>
              <w:jc w:val="center"/>
            </w:trPr>
            <w:tc>
              <w:tcPr>
                <w:tcW w:w="4055" w:type="dxa"/>
                <w:tcBorders>
                  <w:top w:val="single" w:sz="4" w:space="0" w:color="auto"/>
                  <w:left w:val="nil"/>
                  <w:bottom w:val="nil"/>
                  <w:right w:val="nil"/>
                </w:tcBorders>
                <w:shd w:val="clear" w:color="auto" w:fill="auto"/>
                <w:vAlign w:val="bottom"/>
                <w:hideMark/>
              </w:tcPr>
              <w:p>
                <w:pPr>
                  <w:rPr>
                    <w:color w:val="000000"/>
                  </w:rPr>
                </w:pPr>
                <w:r>
                  <w:rPr>
                    <w:color w:val="000000"/>
                  </w:rPr>
                  <w:t>IŠ VISO</w:t>
                </w:r>
              </w:p>
            </w:tc>
            <w:tc>
              <w:tcPr>
                <w:tcW w:w="1450" w:type="dxa"/>
                <w:tcBorders>
                  <w:top w:val="single" w:sz="4" w:space="0" w:color="auto"/>
                  <w:left w:val="nil"/>
                  <w:bottom w:val="nil"/>
                  <w:right w:val="nil"/>
                </w:tcBorders>
                <w:shd w:val="clear" w:color="auto" w:fill="auto"/>
                <w:noWrap/>
                <w:vAlign w:val="bottom"/>
                <w:hideMark/>
              </w:tcPr>
              <w:p>
                <w:pPr>
                  <w:jc w:val="right"/>
                  <w:rPr>
                    <w:color w:val="000000"/>
                  </w:rPr>
                </w:pPr>
                <w:r>
                  <w:rPr>
                    <w:color w:val="000000"/>
                  </w:rPr>
                  <w:t>702 007</w:t>
                </w:r>
              </w:p>
            </w:tc>
            <w:tc>
              <w:tcPr>
                <w:tcW w:w="1300" w:type="dxa"/>
                <w:tcBorders>
                  <w:top w:val="single" w:sz="4" w:space="0" w:color="auto"/>
                  <w:left w:val="nil"/>
                  <w:bottom w:val="nil"/>
                  <w:right w:val="nil"/>
                </w:tcBorders>
                <w:shd w:val="clear" w:color="auto" w:fill="auto"/>
                <w:noWrap/>
                <w:vAlign w:val="bottom"/>
                <w:hideMark/>
              </w:tcPr>
              <w:p>
                <w:pPr>
                  <w:jc w:val="right"/>
                  <w:rPr>
                    <w:color w:val="000000"/>
                  </w:rPr>
                </w:pPr>
                <w:r>
                  <w:rPr>
                    <w:color w:val="000000"/>
                  </w:rPr>
                  <w:t>617 662</w:t>
                </w:r>
              </w:p>
            </w:tc>
            <w:tc>
              <w:tcPr>
                <w:tcW w:w="1161" w:type="dxa"/>
                <w:tcBorders>
                  <w:top w:val="single" w:sz="4" w:space="0" w:color="auto"/>
                  <w:left w:val="nil"/>
                  <w:bottom w:val="nil"/>
                  <w:right w:val="nil"/>
                </w:tcBorders>
                <w:shd w:val="clear" w:color="auto" w:fill="auto"/>
                <w:noWrap/>
                <w:vAlign w:val="bottom"/>
                <w:hideMark/>
              </w:tcPr>
              <w:p>
                <w:pPr>
                  <w:jc w:val="right"/>
                  <w:rPr>
                    <w:color w:val="000000"/>
                  </w:rPr>
                </w:pPr>
                <w:r>
                  <w:rPr>
                    <w:color w:val="000000"/>
                  </w:rPr>
                  <w:t>84 345</w:t>
                </w:r>
              </w:p>
            </w:tc>
            <w:tc>
              <w:tcPr>
                <w:tcW w:w="1161" w:type="dxa"/>
                <w:tcBorders>
                  <w:top w:val="single" w:sz="4" w:space="0" w:color="auto"/>
                  <w:left w:val="nil"/>
                  <w:bottom w:val="nil"/>
                  <w:right w:val="nil"/>
                </w:tcBorders>
                <w:shd w:val="clear" w:color="auto" w:fill="auto"/>
                <w:noWrap/>
                <w:vAlign w:val="bottom"/>
                <w:hideMark/>
              </w:tcPr>
              <w:p>
                <w:pPr>
                  <w:jc w:val="right"/>
                  <w:rPr>
                    <w:color w:val="000000"/>
                  </w:rPr>
                </w:pPr>
                <w:r>
                  <w:rPr>
                    <w:color w:val="000000"/>
                  </w:rPr>
                  <w:t>11 248</w:t>
                </w:r>
              </w:p>
            </w:tc>
          </w:tr>
        </w:tbl>
        <w:p/>
        <w:p>
          <w:r>
            <w:t>* Iš šių lėšų skiriama bendroms biudžeto reikmėms:</w:t>
          </w:r>
        </w:p>
        <w:p>
          <w:pPr>
            <w:jc w:val="both"/>
          </w:pPr>
          <w:r>
            <w:t>Lietuvos Respublikos susisiekimo ministerijos – 50 439 tūkst. eurų (iš Kelių priežiūros ir plėtros programos). Nepasitvirtinus pajamų surinkimo prognozėms, proporcingai mažinama šių lėšų suma.</w:t>
          </w:r>
        </w:p>
        <w:p/>
        <w:p>
          <w:pPr>
            <w:sectPr>
              <w:pgSz w:w="11906" w:h="16838" w:code="9"/>
              <w:pgMar w:top="1134" w:right="1134" w:bottom="1134" w:left="1701" w:header="567" w:footer="567" w:gutter="0"/>
              <w:pgNumType w:start="1"/>
              <w:cols w:space="1296"/>
              <w:titlePg/>
              <w:docGrid w:linePitch="360"/>
            </w:sectPr>
          </w:pPr>
        </w:p>
        <w:p>
          <w:pPr>
            <w:tabs>
              <w:tab w:val="center" w:pos="4153"/>
              <w:tab w:val="right" w:pos="8306"/>
            </w:tabs>
            <w:rPr>
              <w:rFonts w:ascii="TimesLT" w:hAnsi="TimesLT"/>
              <w:lang w:val="en-US"/>
            </w:rPr>
          </w:pPr>
        </w:p>
      </w:sdtContent>
    </w:sdt>
    <w:sdt>
      <w:sdtPr>
        <w:alias w:val="3 pr."/>
        <w:tag w:val="part_0b12ef2b52c54d6fb678cd745d2e96fb"/>
        <w:lock w:val="sdtLocked"/>
        <w:richText/>
      </w:sdtPr>
      <w:sdtContent>
        <w:p>
          <w:pPr>
            <w:ind w:firstLine="5670"/>
          </w:pPr>
          <w:r>
            <w:t>Lietuvos Respublikos</w:t>
          </w:r>
        </w:p>
        <w:p>
          <w:pPr>
            <w:ind w:firstLine="5670"/>
          </w:pPr>
          <w:r>
            <w:t>2016 metų valstybės biudžeto ir</w:t>
          </w:r>
        </w:p>
        <w:p>
          <w:pPr>
            <w:ind w:firstLine="5670"/>
          </w:pPr>
          <w:r>
            <w:t>savivaldybių biudžetų finansinių</w:t>
          </w:r>
        </w:p>
        <w:p>
          <w:pPr>
            <w:ind w:firstLine="5670"/>
          </w:pPr>
          <w:r>
            <w:t>rodiklių patvirtinimo įstatymo</w:t>
          </w:r>
        </w:p>
        <w:p>
          <w:pPr>
            <w:ind w:firstLine="5670"/>
          </w:pPr>
          <w:sdt>
            <w:sdtPr>
              <w:alias w:val="Numeris"/>
              <w:tag w:val="nr_0b12ef2b52c54d6fb678cd745d2e96fb"/>
              <w:lock w:val="sdtLocked"/>
              <w:richText/>
            </w:sdtPr>
            <w:sdtContent>
              <w:r>
                <w:t>3</w:t>
              </w:r>
            </w:sdtContent>
          </w:sdt>
          <w:r>
            <w:t xml:space="preserve"> priedas</w:t>
          </w:r>
        </w:p>
        <w:p/>
        <w:sdt>
          <w:sdtPr>
            <w:alias w:val="Pavadinimas"/>
            <w:tag w:val="title_0b12ef2b52c54d6fb678cd745d2e96fb"/>
            <w:lock w:val="sdtLocked"/>
            <w:richText/>
          </w:sdtPr>
          <w:sdtContent>
            <w:p>
              <w:pPr>
                <w:jc w:val="center"/>
                <w:rPr>
                  <w:b/>
                </w:rPr>
              </w:pPr>
              <w:r>
                <w:rPr>
                  <w:b/>
                </w:rPr>
                <w:t>LIETUVOS RESPUBLIKOS</w:t>
              </w:r>
            </w:p>
            <w:p>
              <w:pPr>
                <w:jc w:val="center"/>
                <w:rPr>
                  <w:b/>
                </w:rPr>
              </w:pPr>
              <w:r>
                <w:rPr>
                  <w:b/>
                </w:rPr>
                <w:t>2016 METŲ VALSTYBĖS BIUDŽETO ASIGNAVIMAI TEISMAMS</w:t>
              </w:r>
            </w:p>
          </w:sdtContent>
        </w:sdt>
        <w:p/>
        <w:tbl>
          <w:tblPr>
            <w:tblW w:w="9488" w:type="dxa"/>
            <w:jc w:val="center"/>
            <w:tblCellMar>
              <w:left w:w="28" w:type="dxa"/>
              <w:right w:w="28" w:type="dxa"/>
            </w:tblCellMar>
            <w:tblLook w:val="04A0" w:firstRow="1" w:lastRow="0" w:firstColumn="1" w:lastColumn="0" w:noHBand="0" w:noVBand="1"/>
          </w:tblPr>
          <w:tblGrid>
            <w:gridCol w:w="4578"/>
            <w:gridCol w:w="47"/>
            <w:gridCol w:w="1113"/>
            <w:gridCol w:w="57"/>
            <w:gridCol w:w="1103"/>
            <w:gridCol w:w="67"/>
            <w:gridCol w:w="1186"/>
            <w:gridCol w:w="84"/>
            <w:gridCol w:w="1126"/>
            <w:gridCol w:w="127"/>
          </w:tblGrid>
          <w:tr>
            <w:trPr>
              <w:trHeight w:val="315"/>
              <w:tblHeader/>
              <w:jc w:val="center"/>
            </w:trPr>
            <w:tc>
              <w:tcPr>
                <w:tcW w:w="4625" w:type="dxa"/>
                <w:gridSpan w:val="2"/>
                <w:tcBorders>
                  <w:top w:val="nil"/>
                  <w:left w:val="nil"/>
                  <w:bottom w:val="nil"/>
                  <w:right w:val="nil"/>
                </w:tcBorders>
                <w:shd w:val="clear" w:color="auto" w:fill="auto"/>
                <w:noWrap/>
                <w:vAlign w:val="bottom"/>
                <w:hideMark/>
              </w:tcPr>
              <w:p>
                <w:pPr>
                  <w:rPr>
                    <w:color w:val="000000"/>
                  </w:rPr>
                </w:pPr>
              </w:p>
            </w:tc>
            <w:tc>
              <w:tcPr>
                <w:tcW w:w="1170" w:type="dxa"/>
                <w:gridSpan w:val="2"/>
                <w:tcBorders>
                  <w:top w:val="nil"/>
                  <w:left w:val="nil"/>
                  <w:bottom w:val="nil"/>
                  <w:right w:val="nil"/>
                </w:tcBorders>
                <w:shd w:val="clear" w:color="auto" w:fill="auto"/>
                <w:noWrap/>
                <w:vAlign w:val="bottom"/>
                <w:hideMark/>
              </w:tcPr>
              <w:p>
                <w:pPr>
                  <w:rPr>
                    <w:color w:val="000000"/>
                  </w:rPr>
                </w:pPr>
              </w:p>
            </w:tc>
            <w:tc>
              <w:tcPr>
                <w:tcW w:w="1170" w:type="dxa"/>
                <w:gridSpan w:val="2"/>
                <w:tcBorders>
                  <w:top w:val="nil"/>
                  <w:left w:val="nil"/>
                  <w:bottom w:val="nil"/>
                  <w:right w:val="nil"/>
                </w:tcBorders>
                <w:shd w:val="clear" w:color="auto" w:fill="auto"/>
                <w:noWrap/>
                <w:vAlign w:val="bottom"/>
                <w:hideMark/>
              </w:tcPr>
              <w:p>
                <w:pPr>
                  <w:rPr>
                    <w:color w:val="000000"/>
                  </w:rPr>
                </w:pPr>
              </w:p>
            </w:tc>
            <w:tc>
              <w:tcPr>
                <w:tcW w:w="1270" w:type="dxa"/>
                <w:gridSpan w:val="2"/>
                <w:tcBorders>
                  <w:top w:val="nil"/>
                  <w:left w:val="nil"/>
                  <w:bottom w:val="nil"/>
                  <w:right w:val="nil"/>
                </w:tcBorders>
                <w:shd w:val="clear" w:color="auto" w:fill="auto"/>
                <w:noWrap/>
                <w:vAlign w:val="bottom"/>
                <w:hideMark/>
              </w:tcPr>
              <w:p>
                <w:pPr>
                  <w:rPr>
                    <w:color w:val="000000"/>
                  </w:rPr>
                </w:pPr>
              </w:p>
            </w:tc>
            <w:tc>
              <w:tcPr>
                <w:tcW w:w="1253" w:type="dxa"/>
                <w:gridSpan w:val="2"/>
                <w:tcBorders>
                  <w:top w:val="nil"/>
                  <w:left w:val="nil"/>
                  <w:bottom w:val="nil"/>
                  <w:right w:val="nil"/>
                </w:tcBorders>
                <w:shd w:val="clear" w:color="auto" w:fill="auto"/>
                <w:noWrap/>
                <w:vAlign w:val="bottom"/>
                <w:hideMark/>
              </w:tcPr>
              <w:p>
                <w:pPr>
                  <w:jc w:val="center"/>
                  <w:rPr>
                    <w:color w:val="000000"/>
                  </w:rPr>
                </w:pPr>
                <w:r>
                  <w:rPr>
                    <w:color w:val="000000"/>
                  </w:rPr>
                  <w:t>Tūkst. Eur</w:t>
                </w:r>
              </w:p>
            </w:tc>
          </w:tr>
          <w:tr>
            <w:trPr>
              <w:trHeight w:val="315"/>
              <w:tblHeader/>
              <w:jc w:val="center"/>
            </w:trPr>
            <w:tc>
              <w:tcPr>
                <w:tcW w:w="4625"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color w:val="000000"/>
                  </w:rPr>
                </w:pPr>
                <w:r>
                  <w:rPr>
                    <w:color w:val="000000"/>
                  </w:rPr>
                  <w:t>Valstybės institucijos ir įstaigos pavadinimas</w:t>
                </w:r>
              </w:p>
            </w:tc>
            <w:tc>
              <w:tcPr>
                <w:tcW w:w="117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color w:val="000000"/>
                  </w:rPr>
                </w:pPr>
                <w:r>
                  <w:rPr>
                    <w:color w:val="000000"/>
                  </w:rPr>
                  <w:t>Iš viso</w:t>
                </w:r>
              </w:p>
            </w:tc>
            <w:tc>
              <w:tcPr>
                <w:tcW w:w="3693" w:type="dxa"/>
                <w:gridSpan w:val="6"/>
                <w:tcBorders>
                  <w:top w:val="single" w:sz="4" w:space="0" w:color="auto"/>
                  <w:left w:val="nil"/>
                  <w:bottom w:val="single" w:sz="4" w:space="0" w:color="auto"/>
                  <w:right w:val="single" w:sz="4" w:space="0" w:color="auto"/>
                </w:tcBorders>
                <w:shd w:val="clear" w:color="auto" w:fill="auto"/>
                <w:vAlign w:val="center"/>
                <w:hideMark/>
              </w:tcPr>
              <w:p>
                <w:pPr>
                  <w:jc w:val="center"/>
                  <w:rPr>
                    <w:color w:val="000000"/>
                  </w:rPr>
                </w:pPr>
                <w:r>
                  <w:rPr>
                    <w:color w:val="000000"/>
                  </w:rPr>
                  <w:t>iš jų:</w:t>
                </w:r>
              </w:p>
            </w:tc>
          </w:tr>
          <w:tr>
            <w:trPr>
              <w:trHeight w:val="315"/>
              <w:tblHeader/>
              <w:jc w:val="center"/>
            </w:trPr>
            <w:tc>
              <w:tcPr>
                <w:tcW w:w="4625" w:type="dxa"/>
                <w:gridSpan w:val="2"/>
                <w:vMerge/>
                <w:tcBorders>
                  <w:top w:val="single" w:sz="4" w:space="0" w:color="auto"/>
                  <w:left w:val="single" w:sz="4" w:space="0" w:color="auto"/>
                  <w:bottom w:val="single" w:sz="4" w:space="0" w:color="auto"/>
                  <w:right w:val="single" w:sz="4" w:space="0" w:color="auto"/>
                </w:tcBorders>
                <w:vAlign w:val="center"/>
                <w:hideMark/>
              </w:tcPr>
              <w:p>
                <w:pPr>
                  <w:rPr>
                    <w:color w:val="000000"/>
                  </w:rPr>
                </w:pPr>
              </w:p>
            </w:tc>
            <w:tc>
              <w:tcPr>
                <w:tcW w:w="1170" w:type="dxa"/>
                <w:gridSpan w:val="2"/>
                <w:vMerge/>
                <w:tcBorders>
                  <w:top w:val="single" w:sz="4" w:space="0" w:color="auto"/>
                  <w:left w:val="single" w:sz="4" w:space="0" w:color="auto"/>
                  <w:bottom w:val="single" w:sz="4" w:space="0" w:color="auto"/>
                  <w:right w:val="single" w:sz="4" w:space="0" w:color="auto"/>
                </w:tcBorders>
                <w:vAlign w:val="center"/>
                <w:hideMark/>
              </w:tcPr>
              <w:p>
                <w:pPr>
                  <w:rPr>
                    <w:color w:val="000000"/>
                  </w:rPr>
                </w:pPr>
              </w:p>
            </w:tc>
            <w:tc>
              <w:tcPr>
                <w:tcW w:w="2440" w:type="dxa"/>
                <w:gridSpan w:val="4"/>
                <w:tcBorders>
                  <w:top w:val="single" w:sz="4" w:space="0" w:color="auto"/>
                  <w:left w:val="nil"/>
                  <w:bottom w:val="single" w:sz="4" w:space="0" w:color="auto"/>
                  <w:right w:val="single" w:sz="4" w:space="0" w:color="auto"/>
                </w:tcBorders>
                <w:shd w:val="clear" w:color="auto" w:fill="auto"/>
                <w:vAlign w:val="center"/>
                <w:hideMark/>
              </w:tcPr>
              <w:p>
                <w:pPr>
                  <w:jc w:val="center"/>
                  <w:rPr>
                    <w:color w:val="000000"/>
                  </w:rPr>
                </w:pPr>
                <w:r>
                  <w:rPr>
                    <w:color w:val="000000"/>
                  </w:rPr>
                  <w:t>asignavimai išlaidoms</w:t>
                </w:r>
              </w:p>
            </w:tc>
            <w:tc>
              <w:tcPr>
                <w:tcW w:w="1253"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pPr>
                  <w:jc w:val="center"/>
                  <w:rPr>
                    <w:color w:val="000000"/>
                  </w:rPr>
                </w:pPr>
                <w:r>
                  <w:rPr>
                    <w:color w:val="000000"/>
                  </w:rPr>
                  <w:t>asignavimai turtui įsigyti</w:t>
                </w:r>
              </w:p>
            </w:tc>
          </w:tr>
          <w:tr>
            <w:trPr>
              <w:trHeight w:val="315"/>
              <w:tblHeader/>
              <w:jc w:val="center"/>
            </w:trPr>
            <w:tc>
              <w:tcPr>
                <w:tcW w:w="4625" w:type="dxa"/>
                <w:gridSpan w:val="2"/>
                <w:vMerge/>
                <w:tcBorders>
                  <w:top w:val="single" w:sz="4" w:space="0" w:color="auto"/>
                  <w:left w:val="single" w:sz="4" w:space="0" w:color="auto"/>
                  <w:bottom w:val="single" w:sz="4" w:space="0" w:color="auto"/>
                  <w:right w:val="single" w:sz="4" w:space="0" w:color="auto"/>
                </w:tcBorders>
                <w:vAlign w:val="center"/>
                <w:hideMark/>
              </w:tcPr>
              <w:p>
                <w:pPr>
                  <w:rPr>
                    <w:color w:val="000000"/>
                  </w:rPr>
                </w:pPr>
              </w:p>
            </w:tc>
            <w:tc>
              <w:tcPr>
                <w:tcW w:w="1170" w:type="dxa"/>
                <w:gridSpan w:val="2"/>
                <w:vMerge/>
                <w:tcBorders>
                  <w:top w:val="single" w:sz="4" w:space="0" w:color="auto"/>
                  <w:left w:val="single" w:sz="4" w:space="0" w:color="auto"/>
                  <w:bottom w:val="single" w:sz="4" w:space="0" w:color="auto"/>
                  <w:right w:val="single" w:sz="4" w:space="0" w:color="auto"/>
                </w:tcBorders>
                <w:vAlign w:val="center"/>
                <w:hideMark/>
              </w:tcPr>
              <w:p>
                <w:pPr>
                  <w:rPr>
                    <w:color w:val="000000"/>
                  </w:rPr>
                </w:pPr>
              </w:p>
            </w:tc>
            <w:tc>
              <w:tcPr>
                <w:tcW w:w="1170"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pPr>
                  <w:jc w:val="center"/>
                  <w:rPr>
                    <w:color w:val="000000"/>
                  </w:rPr>
                </w:pPr>
                <w:r>
                  <w:rPr>
                    <w:color w:val="000000"/>
                  </w:rPr>
                  <w:t>iš viso</w:t>
                </w:r>
              </w:p>
            </w:tc>
            <w:tc>
              <w:tcPr>
                <w:tcW w:w="1270"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pPr>
                  <w:jc w:val="center"/>
                  <w:rPr>
                    <w:color w:val="000000"/>
                  </w:rPr>
                </w:pPr>
                <w:r>
                  <w:rPr>
                    <w:color w:val="000000"/>
                  </w:rPr>
                  <w:t>iš jų darbo užmokesčiui</w:t>
                </w:r>
              </w:p>
            </w:tc>
            <w:tc>
              <w:tcPr>
                <w:tcW w:w="1253" w:type="dxa"/>
                <w:gridSpan w:val="2"/>
                <w:vMerge/>
                <w:tcBorders>
                  <w:top w:val="nil"/>
                  <w:left w:val="single" w:sz="4" w:space="0" w:color="auto"/>
                  <w:bottom w:val="single" w:sz="4" w:space="0" w:color="auto"/>
                  <w:right w:val="single" w:sz="4" w:space="0" w:color="auto"/>
                </w:tcBorders>
                <w:vAlign w:val="center"/>
                <w:hideMark/>
              </w:tcPr>
              <w:p>
                <w:pPr>
                  <w:rPr>
                    <w:color w:val="000000"/>
                  </w:rPr>
                </w:pPr>
              </w:p>
            </w:tc>
          </w:tr>
          <w:tr>
            <w:trPr>
              <w:trHeight w:val="315"/>
              <w:tblHeader/>
              <w:jc w:val="center"/>
            </w:trPr>
            <w:tc>
              <w:tcPr>
                <w:tcW w:w="4625" w:type="dxa"/>
                <w:gridSpan w:val="2"/>
                <w:vMerge/>
                <w:tcBorders>
                  <w:top w:val="single" w:sz="4" w:space="0" w:color="auto"/>
                  <w:left w:val="single" w:sz="4" w:space="0" w:color="auto"/>
                  <w:bottom w:val="single" w:sz="4" w:space="0" w:color="auto"/>
                  <w:right w:val="single" w:sz="4" w:space="0" w:color="auto"/>
                </w:tcBorders>
                <w:vAlign w:val="center"/>
                <w:hideMark/>
              </w:tcPr>
              <w:p>
                <w:pPr>
                  <w:rPr>
                    <w:color w:val="000000"/>
                  </w:rPr>
                </w:pPr>
              </w:p>
            </w:tc>
            <w:tc>
              <w:tcPr>
                <w:tcW w:w="1170" w:type="dxa"/>
                <w:gridSpan w:val="2"/>
                <w:vMerge/>
                <w:tcBorders>
                  <w:top w:val="single" w:sz="4" w:space="0" w:color="auto"/>
                  <w:left w:val="single" w:sz="4" w:space="0" w:color="auto"/>
                  <w:bottom w:val="single" w:sz="4" w:space="0" w:color="auto"/>
                  <w:right w:val="single" w:sz="4" w:space="0" w:color="auto"/>
                </w:tcBorders>
                <w:vAlign w:val="center"/>
                <w:hideMark/>
              </w:tcPr>
              <w:p>
                <w:pPr>
                  <w:rPr>
                    <w:color w:val="000000"/>
                  </w:rPr>
                </w:pPr>
              </w:p>
            </w:tc>
            <w:tc>
              <w:tcPr>
                <w:tcW w:w="1170" w:type="dxa"/>
                <w:gridSpan w:val="2"/>
                <w:vMerge/>
                <w:tcBorders>
                  <w:top w:val="nil"/>
                  <w:left w:val="single" w:sz="4" w:space="0" w:color="auto"/>
                  <w:bottom w:val="single" w:sz="4" w:space="0" w:color="auto"/>
                  <w:right w:val="single" w:sz="4" w:space="0" w:color="auto"/>
                </w:tcBorders>
                <w:vAlign w:val="center"/>
                <w:hideMark/>
              </w:tcPr>
              <w:p>
                <w:pPr>
                  <w:rPr>
                    <w:color w:val="000000"/>
                  </w:rPr>
                </w:pPr>
              </w:p>
            </w:tc>
            <w:tc>
              <w:tcPr>
                <w:tcW w:w="1270" w:type="dxa"/>
                <w:gridSpan w:val="2"/>
                <w:vMerge/>
                <w:tcBorders>
                  <w:top w:val="nil"/>
                  <w:left w:val="single" w:sz="4" w:space="0" w:color="auto"/>
                  <w:bottom w:val="single" w:sz="4" w:space="0" w:color="auto"/>
                  <w:right w:val="single" w:sz="4" w:space="0" w:color="auto"/>
                </w:tcBorders>
                <w:vAlign w:val="center"/>
                <w:hideMark/>
              </w:tcPr>
              <w:p>
                <w:pPr>
                  <w:rPr>
                    <w:color w:val="000000"/>
                  </w:rPr>
                </w:pPr>
              </w:p>
            </w:tc>
            <w:tc>
              <w:tcPr>
                <w:tcW w:w="1253" w:type="dxa"/>
                <w:gridSpan w:val="2"/>
                <w:vMerge/>
                <w:tcBorders>
                  <w:top w:val="nil"/>
                  <w:left w:val="single" w:sz="4" w:space="0" w:color="auto"/>
                  <w:bottom w:val="single" w:sz="4" w:space="0" w:color="auto"/>
                  <w:right w:val="single" w:sz="4" w:space="0" w:color="auto"/>
                </w:tcBorders>
                <w:vAlign w:val="center"/>
                <w:hideMark/>
              </w:tcPr>
              <w:p>
                <w:pPr>
                  <w:rPr>
                    <w:color w:val="000000"/>
                  </w:rPr>
                </w:pP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Lietuvos Aukščiausiasis Teismas</w:t>
                </w:r>
              </w:p>
            </w:tc>
            <w:tc>
              <w:tcPr>
                <w:tcW w:w="1160"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3 676</w:t>
                </w:r>
              </w:p>
            </w:tc>
            <w:tc>
              <w:tcPr>
                <w:tcW w:w="1160"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3 676</w:t>
                </w:r>
              </w:p>
            </w:tc>
            <w:tc>
              <w:tcPr>
                <w:tcW w:w="1253"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2 678</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Lietuvos vyriausiasis administracinis teismas</w:t>
                </w:r>
              </w:p>
            </w:tc>
            <w:tc>
              <w:tcPr>
                <w:tcW w:w="1160"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2 002</w:t>
                </w:r>
              </w:p>
            </w:tc>
            <w:tc>
              <w:tcPr>
                <w:tcW w:w="1160"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2 002</w:t>
                </w:r>
              </w:p>
            </w:tc>
            <w:tc>
              <w:tcPr>
                <w:tcW w:w="1253"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1 440</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Lietuvos apeliacinis teismas</w:t>
                </w:r>
              </w:p>
            </w:tc>
            <w:tc>
              <w:tcPr>
                <w:tcW w:w="1160"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3 364</w:t>
                </w:r>
              </w:p>
            </w:tc>
            <w:tc>
              <w:tcPr>
                <w:tcW w:w="1160"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3 351</w:t>
                </w:r>
              </w:p>
            </w:tc>
            <w:tc>
              <w:tcPr>
                <w:tcW w:w="1253"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2 448</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13</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Vilniaus apygardos teismas</w:t>
                </w:r>
              </w:p>
            </w:tc>
            <w:tc>
              <w:tcPr>
                <w:tcW w:w="1160"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4 625</w:t>
                </w:r>
              </w:p>
            </w:tc>
            <w:tc>
              <w:tcPr>
                <w:tcW w:w="1160"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4 625</w:t>
                </w:r>
              </w:p>
            </w:tc>
            <w:tc>
              <w:tcPr>
                <w:tcW w:w="1253"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3 268</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Kauno apygardos teismas</w:t>
                </w:r>
              </w:p>
            </w:tc>
            <w:tc>
              <w:tcPr>
                <w:tcW w:w="1160"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3 609</w:t>
                </w:r>
              </w:p>
            </w:tc>
            <w:tc>
              <w:tcPr>
                <w:tcW w:w="1160"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3 609</w:t>
                </w:r>
              </w:p>
            </w:tc>
            <w:tc>
              <w:tcPr>
                <w:tcW w:w="1253"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2 584</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Klaipėdos apygardos teismas</w:t>
                </w:r>
              </w:p>
            </w:tc>
            <w:tc>
              <w:tcPr>
                <w:tcW w:w="1160"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2 160</w:t>
                </w:r>
              </w:p>
            </w:tc>
            <w:tc>
              <w:tcPr>
                <w:tcW w:w="1160"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2 160</w:t>
                </w:r>
              </w:p>
            </w:tc>
            <w:tc>
              <w:tcPr>
                <w:tcW w:w="1253"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1 569</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Šiaulių apygardos teismas</w:t>
                </w:r>
              </w:p>
            </w:tc>
            <w:tc>
              <w:tcPr>
                <w:tcW w:w="1160"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1 665</w:t>
                </w:r>
              </w:p>
            </w:tc>
            <w:tc>
              <w:tcPr>
                <w:tcW w:w="1160"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1 663</w:t>
                </w:r>
              </w:p>
            </w:tc>
            <w:tc>
              <w:tcPr>
                <w:tcW w:w="1253"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1 192</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2</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Panevėžio apygardos teismas</w:t>
                </w:r>
              </w:p>
            </w:tc>
            <w:tc>
              <w:tcPr>
                <w:tcW w:w="1160"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1 596</w:t>
                </w:r>
              </w:p>
            </w:tc>
            <w:tc>
              <w:tcPr>
                <w:tcW w:w="1160"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1 596</w:t>
                </w:r>
              </w:p>
            </w:tc>
            <w:tc>
              <w:tcPr>
                <w:tcW w:w="1253"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1 167</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Vilniaus miesto apylinkės teismas</w:t>
                </w:r>
              </w:p>
            </w:tc>
            <w:tc>
              <w:tcPr>
                <w:tcW w:w="1160"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7 345</w:t>
                </w:r>
              </w:p>
            </w:tc>
            <w:tc>
              <w:tcPr>
                <w:tcW w:w="1160"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7 345</w:t>
                </w:r>
              </w:p>
            </w:tc>
            <w:tc>
              <w:tcPr>
                <w:tcW w:w="1253"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5 147</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Kauno apylinkės teismas</w:t>
                </w:r>
              </w:p>
            </w:tc>
            <w:tc>
              <w:tcPr>
                <w:tcW w:w="1160"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4 379</w:t>
                </w:r>
              </w:p>
            </w:tc>
            <w:tc>
              <w:tcPr>
                <w:tcW w:w="1160"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4 379</w:t>
                </w:r>
              </w:p>
            </w:tc>
            <w:tc>
              <w:tcPr>
                <w:tcW w:w="1253"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3 091</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Klaipėdos miesto apylinkės teismas</w:t>
                </w:r>
              </w:p>
            </w:tc>
            <w:tc>
              <w:tcPr>
                <w:tcW w:w="1160"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2 464</w:t>
                </w:r>
              </w:p>
            </w:tc>
            <w:tc>
              <w:tcPr>
                <w:tcW w:w="1160"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2 462</w:t>
                </w:r>
              </w:p>
            </w:tc>
            <w:tc>
              <w:tcPr>
                <w:tcW w:w="1253"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1 763</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2</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Šiaulių apylinkės teismas</w:t>
                </w:r>
              </w:p>
            </w:tc>
            <w:tc>
              <w:tcPr>
                <w:tcW w:w="1160"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1 943</w:t>
                </w:r>
              </w:p>
            </w:tc>
            <w:tc>
              <w:tcPr>
                <w:tcW w:w="1160"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1 943</w:t>
                </w:r>
              </w:p>
            </w:tc>
            <w:tc>
              <w:tcPr>
                <w:tcW w:w="1253"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1 381</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Panevėžio miesto apylinkės teismas</w:t>
                </w:r>
              </w:p>
            </w:tc>
            <w:tc>
              <w:tcPr>
                <w:tcW w:w="1160"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1 629</w:t>
                </w:r>
              </w:p>
            </w:tc>
            <w:tc>
              <w:tcPr>
                <w:tcW w:w="1160"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1 628</w:t>
                </w:r>
              </w:p>
            </w:tc>
            <w:tc>
              <w:tcPr>
                <w:tcW w:w="1253"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1 141</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1</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Druskininkų miesto apylinkės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344</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344</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240</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Palangos miesto apylinkės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273</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273</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190</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Akmenės rajono apylinkės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328</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328</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230</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Alytaus rajono apylinkės teismas</w:t>
                </w:r>
              </w:p>
            </w:tc>
            <w:tc>
              <w:tcPr>
                <w:tcW w:w="1160"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1 024</w:t>
                </w:r>
              </w:p>
            </w:tc>
            <w:tc>
              <w:tcPr>
                <w:tcW w:w="1160"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1 024</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722</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Anykščių rajono apylinkės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341</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341</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237</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Biržų rajono apylinkės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358</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358</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251</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Ignalinos rajono apylinkės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346</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346</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248</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Jonavos rajono apylinkės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603</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603</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431</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Joniškio rajono apylinkės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286</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286</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194</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Jurbarko rajono apylinkės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339</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339</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236</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Kaišiadorių rajono apylinkės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470</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470</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323</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Kėdainių rajono apylinkės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594</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594</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426</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Kelmės rajono apylinkės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318</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318</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220</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Klaipėdos rajono apylinkės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484</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484</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335</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Kretingos rajono apylinkės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382</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382</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272</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Kupiškio rajono apylinkės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258</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258</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181</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Lazdijų rajono apylinkės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324</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324</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216</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Marijampolės rajono apylinkės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957</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957</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675</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Mažeikių rajono apylinkės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599</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599</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420</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Molėtų rajono apylinkės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280</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280</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192</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Pakruojo rajono apylinkės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296</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296</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204</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Pasvalio rajono apylinkės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346</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346</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236</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Plungės rajono apylinkės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470</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470</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325</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Prienų rajono apylinkės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373</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373</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261</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Radviliškio rajono apylinkės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474</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474</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339</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Raseinių rajono apylinkės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343</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343</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240</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Rokiškio rajono apylinkės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416</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416</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293</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Skuodo rajono apylinkės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248</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247</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170</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1</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Šakių rajono apylinkės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339</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339</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232</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Šalčininkų rajono apylinkės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413</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413</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289</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Šilalės rajono apylinkės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279</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279</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192</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Šilutės rajono apylinkės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609</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609</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426</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Širvintų rajono apylinkės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268</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268</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187</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Švenčionių rajono apylinkės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326</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326</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228</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Tauragės rajono apylinkės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637</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637</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445</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Telšių rajono apylinkės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463</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463</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328</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Trakų rajono apylinkės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565</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565</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387</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Ukmergės rajono apylinkės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448</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448</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318</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Utenos rajono apylinkės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568</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568</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405</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Varėnos rajono apylinkės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335</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335</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233</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Vilkaviškio rajono apylinkės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423</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420</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294</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3</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Vilniaus rajono apylinkės teismas</w:t>
                </w:r>
              </w:p>
            </w:tc>
            <w:tc>
              <w:tcPr>
                <w:tcW w:w="1160"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1 031</w:t>
                </w:r>
              </w:p>
            </w:tc>
            <w:tc>
              <w:tcPr>
                <w:tcW w:w="1160"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1 031</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596</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Visagino miesto apylinkės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345</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345</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245</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Zarasų rajono apylinkės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287</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287</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201</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Vilniaus apygardos administracinis teismas</w:t>
                </w:r>
              </w:p>
            </w:tc>
            <w:tc>
              <w:tcPr>
                <w:tcW w:w="1160"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2 128</w:t>
                </w:r>
              </w:p>
            </w:tc>
            <w:tc>
              <w:tcPr>
                <w:tcW w:w="1160"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2 123</w:t>
                </w:r>
              </w:p>
            </w:tc>
            <w:tc>
              <w:tcPr>
                <w:tcW w:w="1253" w:type="dxa"/>
                <w:gridSpan w:val="2"/>
                <w:tcBorders>
                  <w:top w:val="nil"/>
                  <w:left w:val="nil"/>
                  <w:bottom w:val="nil"/>
                  <w:right w:val="nil"/>
                </w:tcBorders>
                <w:shd w:val="clear" w:color="auto" w:fill="auto"/>
                <w:noWrap/>
                <w:vAlign w:val="bottom"/>
              </w:tcPr>
              <w:p>
                <w:pPr>
                  <w:ind w:firstLine="60"/>
                  <w:jc w:val="right"/>
                  <w:rPr>
                    <w:color w:val="000000"/>
                  </w:rPr>
                </w:pPr>
                <w:r>
                  <w:rPr>
                    <w:color w:val="000000"/>
                  </w:rPr>
                  <w:t>1 537</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5</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Kauno apygardos administracinis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793</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793</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557</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Klaipėdos apygardos administracinis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528</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528</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377</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nil"/>
                  <w:right w:val="nil"/>
                </w:tcBorders>
                <w:shd w:val="clear" w:color="auto" w:fill="auto"/>
                <w:vAlign w:val="bottom"/>
                <w:hideMark/>
              </w:tcPr>
              <w:p>
                <w:pPr>
                  <w:rPr>
                    <w:color w:val="000000"/>
                  </w:rPr>
                </w:pPr>
                <w:r>
                  <w:rPr>
                    <w:color w:val="000000"/>
                  </w:rPr>
                  <w:t>Šiaulių apygardos administracinis teismas</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484</w:t>
                </w:r>
              </w:p>
            </w:tc>
            <w:tc>
              <w:tcPr>
                <w:tcW w:w="116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484</w:t>
                </w:r>
              </w:p>
            </w:tc>
            <w:tc>
              <w:tcPr>
                <w:tcW w:w="1253"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349</w:t>
                </w:r>
              </w:p>
            </w:tc>
            <w:tc>
              <w:tcPr>
                <w:tcW w:w="1210" w:type="dxa"/>
                <w:gridSpan w:val="2"/>
                <w:tcBorders>
                  <w:top w:val="nil"/>
                  <w:left w:val="nil"/>
                  <w:bottom w:val="nil"/>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nil"/>
                  <w:left w:val="nil"/>
                  <w:bottom w:val="single" w:sz="4" w:space="0" w:color="auto"/>
                  <w:right w:val="nil"/>
                </w:tcBorders>
                <w:shd w:val="clear" w:color="auto" w:fill="auto"/>
                <w:vAlign w:val="bottom"/>
                <w:hideMark/>
              </w:tcPr>
              <w:p>
                <w:pPr>
                  <w:rPr>
                    <w:color w:val="000000"/>
                  </w:rPr>
                </w:pPr>
                <w:r>
                  <w:rPr>
                    <w:color w:val="000000"/>
                  </w:rPr>
                  <w:t>Panevėžio apygardos administracinis teismas</w:t>
                </w:r>
              </w:p>
            </w:tc>
            <w:tc>
              <w:tcPr>
                <w:tcW w:w="1160" w:type="dxa"/>
                <w:gridSpan w:val="2"/>
                <w:tcBorders>
                  <w:top w:val="nil"/>
                  <w:left w:val="nil"/>
                  <w:bottom w:val="single" w:sz="4" w:space="0" w:color="auto"/>
                  <w:right w:val="nil"/>
                </w:tcBorders>
                <w:shd w:val="clear" w:color="auto" w:fill="auto"/>
                <w:noWrap/>
                <w:vAlign w:val="bottom"/>
              </w:tcPr>
              <w:p>
                <w:pPr>
                  <w:ind w:firstLine="120"/>
                  <w:jc w:val="right"/>
                  <w:rPr>
                    <w:color w:val="000000"/>
                  </w:rPr>
                </w:pPr>
                <w:r>
                  <w:rPr>
                    <w:color w:val="000000"/>
                  </w:rPr>
                  <w:t>383</w:t>
                </w:r>
              </w:p>
            </w:tc>
            <w:tc>
              <w:tcPr>
                <w:tcW w:w="1160" w:type="dxa"/>
                <w:gridSpan w:val="2"/>
                <w:tcBorders>
                  <w:top w:val="nil"/>
                  <w:left w:val="nil"/>
                  <w:bottom w:val="single" w:sz="4" w:space="0" w:color="auto"/>
                  <w:right w:val="nil"/>
                </w:tcBorders>
                <w:shd w:val="clear" w:color="auto" w:fill="auto"/>
                <w:noWrap/>
                <w:vAlign w:val="bottom"/>
              </w:tcPr>
              <w:p>
                <w:pPr>
                  <w:ind w:firstLine="120"/>
                  <w:jc w:val="right"/>
                  <w:rPr>
                    <w:color w:val="000000"/>
                  </w:rPr>
                </w:pPr>
                <w:r>
                  <w:rPr>
                    <w:color w:val="000000"/>
                  </w:rPr>
                  <w:t>383</w:t>
                </w:r>
              </w:p>
            </w:tc>
            <w:tc>
              <w:tcPr>
                <w:tcW w:w="1253" w:type="dxa"/>
                <w:gridSpan w:val="2"/>
                <w:tcBorders>
                  <w:top w:val="nil"/>
                  <w:left w:val="nil"/>
                  <w:bottom w:val="single" w:sz="4" w:space="0" w:color="auto"/>
                  <w:right w:val="nil"/>
                </w:tcBorders>
                <w:shd w:val="clear" w:color="auto" w:fill="auto"/>
                <w:noWrap/>
                <w:vAlign w:val="bottom"/>
              </w:tcPr>
              <w:p>
                <w:pPr>
                  <w:ind w:firstLine="120"/>
                  <w:jc w:val="right"/>
                  <w:rPr>
                    <w:color w:val="000000"/>
                  </w:rPr>
                </w:pPr>
                <w:r>
                  <w:rPr>
                    <w:color w:val="000000"/>
                  </w:rPr>
                  <w:t>276</w:t>
                </w:r>
              </w:p>
            </w:tc>
            <w:tc>
              <w:tcPr>
                <w:tcW w:w="1210" w:type="dxa"/>
                <w:gridSpan w:val="2"/>
                <w:tcBorders>
                  <w:top w:val="nil"/>
                  <w:left w:val="nil"/>
                  <w:bottom w:val="single" w:sz="4" w:space="0" w:color="auto"/>
                  <w:right w:val="nil"/>
                </w:tcBorders>
                <w:shd w:val="clear" w:color="auto" w:fill="auto"/>
                <w:noWrap/>
                <w:vAlign w:val="bottom"/>
              </w:tcPr>
              <w:p>
                <w:pPr>
                  <w:ind w:firstLine="120"/>
                  <w:jc w:val="right"/>
                  <w:rPr>
                    <w:color w:val="000000"/>
                  </w:rPr>
                </w:pPr>
                <w:r>
                  <w:rPr>
                    <w:color w:val="000000"/>
                  </w:rPr>
                  <w:t>0</w:t>
                </w:r>
              </w:p>
            </w:tc>
          </w:tr>
          <w:tr>
            <w:trPr>
              <w:gridAfter w:val="1"/>
              <w:wAfter w:w="127" w:type="dxa"/>
              <w:trHeight w:val="315"/>
              <w:jc w:val="center"/>
            </w:trPr>
            <w:tc>
              <w:tcPr>
                <w:tcW w:w="4578" w:type="dxa"/>
                <w:tcBorders>
                  <w:top w:val="single" w:sz="4" w:space="0" w:color="auto"/>
                  <w:left w:val="nil"/>
                  <w:bottom w:val="nil"/>
                  <w:right w:val="nil"/>
                </w:tcBorders>
                <w:shd w:val="clear" w:color="auto" w:fill="auto"/>
                <w:noWrap/>
                <w:vAlign w:val="bottom"/>
                <w:hideMark/>
              </w:tcPr>
              <w:p>
                <w:pPr>
                  <w:rPr>
                    <w:bCs/>
                    <w:color w:val="000000"/>
                  </w:rPr>
                </w:pPr>
                <w:r>
                  <w:rPr>
                    <w:bCs/>
                    <w:color w:val="000000"/>
                  </w:rPr>
                  <w:t>IŠ VISO</w:t>
                </w:r>
              </w:p>
            </w:tc>
            <w:tc>
              <w:tcPr>
                <w:tcW w:w="1160" w:type="dxa"/>
                <w:gridSpan w:val="2"/>
                <w:tcBorders>
                  <w:top w:val="single" w:sz="4" w:space="0" w:color="auto"/>
                  <w:left w:val="nil"/>
                  <w:bottom w:val="nil"/>
                  <w:right w:val="nil"/>
                </w:tcBorders>
                <w:shd w:val="clear" w:color="auto" w:fill="auto"/>
                <w:noWrap/>
                <w:vAlign w:val="bottom"/>
                <w:hideMark/>
              </w:tcPr>
              <w:p>
                <w:pPr>
                  <w:jc w:val="right"/>
                  <w:rPr>
                    <w:bCs/>
                    <w:color w:val="000000"/>
                  </w:rPr>
                </w:pPr>
                <w:r>
                  <w:rPr>
                    <w:bCs/>
                    <w:color w:val="000000"/>
                  </w:rPr>
                  <w:t>63 983</w:t>
                </w:r>
              </w:p>
            </w:tc>
            <w:tc>
              <w:tcPr>
                <w:tcW w:w="1160" w:type="dxa"/>
                <w:gridSpan w:val="2"/>
                <w:tcBorders>
                  <w:top w:val="single" w:sz="4" w:space="0" w:color="auto"/>
                  <w:left w:val="nil"/>
                  <w:bottom w:val="nil"/>
                  <w:right w:val="nil"/>
                </w:tcBorders>
                <w:shd w:val="clear" w:color="auto" w:fill="auto"/>
                <w:noWrap/>
                <w:vAlign w:val="bottom"/>
                <w:hideMark/>
              </w:tcPr>
              <w:p>
                <w:pPr>
                  <w:jc w:val="right"/>
                  <w:rPr>
                    <w:bCs/>
                    <w:color w:val="000000"/>
                  </w:rPr>
                </w:pPr>
                <w:r>
                  <w:rPr>
                    <w:bCs/>
                    <w:color w:val="000000"/>
                  </w:rPr>
                  <w:t>63 956</w:t>
                </w:r>
              </w:p>
            </w:tc>
            <w:tc>
              <w:tcPr>
                <w:tcW w:w="1253" w:type="dxa"/>
                <w:gridSpan w:val="2"/>
                <w:tcBorders>
                  <w:top w:val="single" w:sz="4" w:space="0" w:color="auto"/>
                  <w:left w:val="nil"/>
                  <w:bottom w:val="nil"/>
                  <w:right w:val="nil"/>
                </w:tcBorders>
                <w:shd w:val="clear" w:color="auto" w:fill="auto"/>
                <w:noWrap/>
                <w:vAlign w:val="bottom"/>
                <w:hideMark/>
              </w:tcPr>
              <w:p>
                <w:pPr>
                  <w:jc w:val="right"/>
                  <w:rPr>
                    <w:bCs/>
                    <w:color w:val="000000"/>
                  </w:rPr>
                </w:pPr>
                <w:r>
                  <w:rPr>
                    <w:bCs/>
                    <w:color w:val="000000"/>
                  </w:rPr>
                  <w:t>45 278</w:t>
                </w:r>
              </w:p>
            </w:tc>
            <w:tc>
              <w:tcPr>
                <w:tcW w:w="1210" w:type="dxa"/>
                <w:gridSpan w:val="2"/>
                <w:tcBorders>
                  <w:top w:val="single" w:sz="4" w:space="0" w:color="auto"/>
                  <w:left w:val="nil"/>
                  <w:bottom w:val="nil"/>
                  <w:right w:val="nil"/>
                </w:tcBorders>
                <w:shd w:val="clear" w:color="auto" w:fill="auto"/>
                <w:noWrap/>
                <w:vAlign w:val="bottom"/>
                <w:hideMark/>
              </w:tcPr>
              <w:p>
                <w:pPr>
                  <w:ind w:firstLine="60"/>
                  <w:jc w:val="right"/>
                  <w:rPr>
                    <w:bCs/>
                    <w:color w:val="000000"/>
                  </w:rPr>
                </w:pPr>
                <w:r>
                  <w:rPr>
                    <w:bCs/>
                    <w:color w:val="000000"/>
                  </w:rPr>
                  <w:t>27</w:t>
                </w:r>
              </w:p>
            </w:tc>
          </w:tr>
        </w:tbl>
        <w:p/>
        <w:p/>
        <w:p>
          <w:pPr>
            <w:sectPr>
              <w:pgSz w:w="11906" w:h="16838" w:code="9"/>
              <w:pgMar w:top="1134" w:right="1134" w:bottom="1134" w:left="1701" w:header="567" w:footer="567" w:gutter="0"/>
              <w:pgNumType w:start="1"/>
              <w:cols w:space="1296"/>
              <w:titlePg/>
              <w:docGrid w:linePitch="360"/>
            </w:sectPr>
          </w:pPr>
        </w:p>
        <w:p>
          <w:pPr>
            <w:tabs>
              <w:tab w:val="center" w:pos="4153"/>
              <w:tab w:val="right" w:pos="8306"/>
            </w:tabs>
            <w:rPr>
              <w:rFonts w:ascii="TimesLT" w:hAnsi="TimesLT"/>
              <w:lang w:val="en-US"/>
            </w:rPr>
          </w:pPr>
        </w:p>
      </w:sdtContent>
    </w:sdt>
    <w:sdt>
      <w:sdtPr>
        <w:alias w:val="4 pr."/>
        <w:tag w:val="part_0d9f3d84ebf54bce8e539eaa21cb5cd6"/>
        <w:lock w:val="sdtLocked"/>
        <w:richText/>
      </w:sdtPr>
      <w:sdtContent>
        <w:p>
          <w:pPr>
            <w:ind w:firstLine="5670"/>
          </w:pPr>
          <w:r>
            <w:t>Lietuvos Respublikos</w:t>
          </w:r>
        </w:p>
        <w:p>
          <w:pPr>
            <w:ind w:firstLine="5670"/>
          </w:pPr>
          <w:r>
            <w:t>2016 metų valstybės biudžeto ir</w:t>
          </w:r>
        </w:p>
        <w:p>
          <w:pPr>
            <w:ind w:firstLine="5670"/>
          </w:pPr>
          <w:r>
            <w:t>savivaldybių biudžetų finansinių</w:t>
          </w:r>
        </w:p>
        <w:p>
          <w:pPr>
            <w:ind w:firstLine="5670"/>
          </w:pPr>
          <w:r>
            <w:t>rodiklių patvirtinimo įstatymo</w:t>
          </w:r>
        </w:p>
        <w:p>
          <w:pPr>
            <w:ind w:firstLine="5670"/>
          </w:pPr>
          <w:sdt>
            <w:sdtPr>
              <w:alias w:val="Numeris"/>
              <w:tag w:val="nr_0d9f3d84ebf54bce8e539eaa21cb5cd6"/>
              <w:lock w:val="sdtLocked"/>
              <w:richText/>
            </w:sdtPr>
            <w:sdtContent>
              <w:r>
                <w:t>4</w:t>
              </w:r>
            </w:sdtContent>
          </w:sdt>
          <w:r>
            <w:t xml:space="preserve"> priedas</w:t>
          </w:r>
        </w:p>
        <w:p/>
        <w:sdt>
          <w:sdtPr>
            <w:alias w:val="Pavadinimas"/>
            <w:tag w:val="title_0d9f3d84ebf54bce8e539eaa21cb5cd6"/>
            <w:lock w:val="sdtLocked"/>
            <w:richText/>
          </w:sdtPr>
          <w:sdtContent>
            <w:p>
              <w:pPr>
                <w:jc w:val="center"/>
                <w:rPr>
                  <w:b/>
                </w:rPr>
              </w:pPr>
              <w:r>
                <w:rPr>
                  <w:b/>
                </w:rPr>
                <w:t>LIETUVOS RESPUBLIKOS</w:t>
              </w:r>
            </w:p>
            <w:p>
              <w:pPr>
                <w:jc w:val="center"/>
                <w:rPr>
                  <w:b/>
                </w:rPr>
              </w:pPr>
              <w:r>
                <w:rPr>
                  <w:b/>
                </w:rPr>
                <w:t>2016 METŲ VALSTYBĖS BIUDŽETO SPECIALIOS TIKSLINĖS DOTACIJOS SAVIVALDYBIŲ BIUDŽETAMS</w:t>
              </w:r>
            </w:p>
          </w:sdtContent>
        </w:sdt>
        <w:p/>
        <w:tbl>
          <w:tblPr>
            <w:tblW w:w="9012" w:type="dxa"/>
            <w:jc w:val="center"/>
            <w:tblInd w:w="533" w:type="dxa"/>
            <w:tblLook w:val="04A0" w:firstRow="1" w:lastRow="0" w:firstColumn="1" w:lastColumn="0" w:noHBand="0" w:noVBand="1"/>
          </w:tblPr>
          <w:tblGrid>
            <w:gridCol w:w="2900"/>
            <w:gridCol w:w="4840"/>
            <w:gridCol w:w="1272"/>
          </w:tblGrid>
          <w:tr>
            <w:trPr>
              <w:trHeight w:val="330"/>
              <w:tblHeader/>
              <w:jc w:val="center"/>
            </w:trPr>
            <w:tc>
              <w:tcPr>
                <w:tcW w:w="2900" w:type="dxa"/>
                <w:tcBorders>
                  <w:top w:val="nil"/>
                  <w:left w:val="nil"/>
                  <w:bottom w:val="nil"/>
                  <w:right w:val="nil"/>
                </w:tcBorders>
                <w:shd w:val="clear" w:color="auto" w:fill="auto"/>
                <w:noWrap/>
                <w:vAlign w:val="bottom"/>
                <w:hideMark/>
              </w:tcPr>
              <w:p/>
            </w:tc>
            <w:tc>
              <w:tcPr>
                <w:tcW w:w="4840" w:type="dxa"/>
                <w:tcBorders>
                  <w:top w:val="nil"/>
                  <w:left w:val="nil"/>
                  <w:bottom w:val="nil"/>
                  <w:right w:val="nil"/>
                </w:tcBorders>
                <w:shd w:val="clear" w:color="auto" w:fill="auto"/>
                <w:noWrap/>
                <w:vAlign w:val="bottom"/>
                <w:hideMark/>
              </w:tcPr>
              <w:p/>
            </w:tc>
            <w:tc>
              <w:tcPr>
                <w:tcW w:w="1272" w:type="dxa"/>
                <w:tcBorders>
                  <w:top w:val="nil"/>
                  <w:left w:val="nil"/>
                  <w:bottom w:val="nil"/>
                  <w:right w:val="nil"/>
                </w:tcBorders>
                <w:shd w:val="clear" w:color="auto" w:fill="auto"/>
                <w:vAlign w:val="center"/>
                <w:hideMark/>
              </w:tcPr>
              <w:p>
                <w:pPr>
                  <w:jc w:val="right"/>
                </w:pPr>
                <w:r>
                  <w:t>Tūkst. Eur</w:t>
                </w:r>
              </w:p>
            </w:tc>
          </w:tr>
          <w:tr>
            <w:trPr>
              <w:trHeight w:val="645"/>
              <w:tblHeader/>
              <w:jc w:val="center"/>
            </w:trPr>
            <w:tc>
              <w:tcPr>
                <w:tcW w:w="2900" w:type="dxa"/>
                <w:tcBorders>
                  <w:top w:val="single" w:sz="8" w:space="0" w:color="auto"/>
                  <w:left w:val="single" w:sz="8" w:space="0" w:color="auto"/>
                  <w:bottom w:val="single" w:sz="8" w:space="0" w:color="auto"/>
                  <w:right w:val="single" w:sz="8" w:space="0" w:color="auto"/>
                </w:tcBorders>
                <w:shd w:val="clear" w:color="auto" w:fill="auto"/>
                <w:vAlign w:val="center"/>
                <w:hideMark/>
              </w:tcPr>
              <w:p>
                <w:pPr>
                  <w:jc w:val="center"/>
                </w:pPr>
                <w:r>
                  <w:t>Valstybės institucijos ir įstaigos pavadinimas</w:t>
                </w:r>
              </w:p>
            </w:tc>
            <w:tc>
              <w:tcPr>
                <w:tcW w:w="4840" w:type="dxa"/>
                <w:tcBorders>
                  <w:top w:val="single" w:sz="8" w:space="0" w:color="auto"/>
                  <w:left w:val="nil"/>
                  <w:bottom w:val="single" w:sz="8" w:space="0" w:color="auto"/>
                  <w:right w:val="single" w:sz="8" w:space="0" w:color="auto"/>
                </w:tcBorders>
                <w:shd w:val="clear" w:color="auto" w:fill="auto"/>
                <w:vAlign w:val="center"/>
                <w:hideMark/>
              </w:tcPr>
              <w:p>
                <w:pPr>
                  <w:jc w:val="center"/>
                </w:pPr>
                <w:r>
                  <w:t>Dotacijos paskirties pavadinimas</w:t>
                </w:r>
              </w:p>
            </w:tc>
            <w:tc>
              <w:tcPr>
                <w:tcW w:w="1272" w:type="dxa"/>
                <w:tcBorders>
                  <w:top w:val="single" w:sz="8" w:space="0" w:color="auto"/>
                  <w:left w:val="nil"/>
                  <w:bottom w:val="single" w:sz="8" w:space="0" w:color="auto"/>
                  <w:right w:val="single" w:sz="8" w:space="0" w:color="auto"/>
                </w:tcBorders>
                <w:shd w:val="clear" w:color="auto" w:fill="auto"/>
                <w:vAlign w:val="center"/>
                <w:hideMark/>
              </w:tcPr>
              <w:p>
                <w:pPr>
                  <w:jc w:val="center"/>
                </w:pPr>
                <w:r>
                  <w:t>Iš viso</w:t>
                </w:r>
              </w:p>
            </w:tc>
          </w:tr>
          <w:tr>
            <w:trPr>
              <w:trHeight w:val="645"/>
              <w:jc w:val="center"/>
            </w:trPr>
            <w:tc>
              <w:tcPr>
                <w:tcW w:w="2900" w:type="dxa"/>
                <w:tcBorders>
                  <w:top w:val="nil"/>
                  <w:left w:val="nil"/>
                  <w:bottom w:val="single" w:sz="8" w:space="0" w:color="auto"/>
                  <w:right w:val="nil"/>
                </w:tcBorders>
                <w:shd w:val="clear" w:color="auto" w:fill="auto"/>
                <w:vAlign w:val="center"/>
                <w:hideMark/>
              </w:tcPr>
              <w:p>
                <w:pPr>
                  <w:rPr>
                    <w:b/>
                    <w:bCs/>
                  </w:rPr>
                </w:pPr>
                <w:r>
                  <w:rPr>
                    <w:b/>
                    <w:bCs/>
                  </w:rPr>
                  <w:t>Lietuvos Respublikos</w:t>
                </w:r>
                <w:r>
                  <w:t xml:space="preserve"> </w:t>
                </w:r>
                <w:r>
                  <w:rPr>
                    <w:b/>
                    <w:bCs/>
                  </w:rPr>
                  <w:t>konkurencijos taryba</w:t>
                </w:r>
              </w:p>
            </w:tc>
            <w:tc>
              <w:tcPr>
                <w:tcW w:w="4840" w:type="dxa"/>
                <w:tcBorders>
                  <w:top w:val="nil"/>
                  <w:left w:val="nil"/>
                  <w:bottom w:val="single" w:sz="8" w:space="0" w:color="auto"/>
                  <w:right w:val="nil"/>
                </w:tcBorders>
                <w:shd w:val="clear" w:color="auto" w:fill="auto"/>
                <w:vAlign w:val="center"/>
                <w:hideMark/>
              </w:tcPr>
              <w:p>
                <w:r>
                  <w:t>duomenims Suteiktos valstybės pagalbos registrui teikti</w:t>
                </w:r>
              </w:p>
            </w:tc>
            <w:tc>
              <w:tcPr>
                <w:tcW w:w="1272" w:type="dxa"/>
                <w:tcBorders>
                  <w:top w:val="nil"/>
                  <w:left w:val="nil"/>
                  <w:bottom w:val="single" w:sz="8" w:space="0" w:color="auto"/>
                  <w:right w:val="nil"/>
                </w:tcBorders>
                <w:shd w:val="clear" w:color="auto" w:fill="auto"/>
                <w:vAlign w:val="bottom"/>
                <w:hideMark/>
              </w:tcPr>
              <w:p>
                <w:pPr>
                  <w:ind w:firstLine="120"/>
                  <w:jc w:val="right"/>
                  <w:rPr>
                    <w:b/>
                    <w:bCs/>
                  </w:rPr>
                </w:pPr>
                <w:r>
                  <w:rPr>
                    <w:b/>
                    <w:bCs/>
                  </w:rPr>
                  <w:t>35</w:t>
                </w:r>
              </w:p>
            </w:tc>
          </w:tr>
          <w:tr>
            <w:trPr>
              <w:trHeight w:val="630"/>
              <w:jc w:val="center"/>
            </w:trPr>
            <w:tc>
              <w:tcPr>
                <w:tcW w:w="2900" w:type="dxa"/>
                <w:tcBorders>
                  <w:top w:val="nil"/>
                  <w:left w:val="nil"/>
                  <w:bottom w:val="nil"/>
                  <w:right w:val="nil"/>
                </w:tcBorders>
                <w:shd w:val="clear" w:color="auto" w:fill="auto"/>
                <w:vAlign w:val="center"/>
                <w:hideMark/>
              </w:tcPr>
              <w:p>
                <w:pPr>
                  <w:rPr>
                    <w:b/>
                    <w:bCs/>
                  </w:rPr>
                </w:pPr>
                <w:r>
                  <w:rPr>
                    <w:b/>
                    <w:bCs/>
                  </w:rPr>
                  <w:t>Lietuvos Respublikos</w:t>
                </w:r>
                <w:r>
                  <w:t xml:space="preserve"> </w:t>
                </w:r>
                <w:r>
                  <w:rPr>
                    <w:b/>
                    <w:bCs/>
                  </w:rPr>
                  <w:t xml:space="preserve">aplinkos ministerija </w:t>
                </w:r>
              </w:p>
            </w:tc>
            <w:tc>
              <w:tcPr>
                <w:tcW w:w="4840" w:type="dxa"/>
                <w:tcBorders>
                  <w:top w:val="nil"/>
                  <w:left w:val="nil"/>
                  <w:bottom w:val="nil"/>
                  <w:right w:val="nil"/>
                </w:tcBorders>
                <w:shd w:val="clear" w:color="auto" w:fill="auto"/>
                <w:vAlign w:val="center"/>
                <w:hideMark/>
              </w:tcPr>
              <w:p/>
            </w:tc>
            <w:tc>
              <w:tcPr>
                <w:tcW w:w="1272" w:type="dxa"/>
                <w:tcBorders>
                  <w:top w:val="nil"/>
                  <w:left w:val="nil"/>
                  <w:bottom w:val="nil"/>
                  <w:right w:val="nil"/>
                </w:tcBorders>
                <w:shd w:val="clear" w:color="auto" w:fill="auto"/>
                <w:vAlign w:val="bottom"/>
                <w:hideMark/>
              </w:tcPr>
              <w:p>
                <w:pPr>
                  <w:ind w:firstLine="120"/>
                  <w:jc w:val="right"/>
                  <w:rPr>
                    <w:b/>
                    <w:bCs/>
                  </w:rPr>
                </w:pPr>
                <w:r>
                  <w:rPr>
                    <w:b/>
                    <w:bCs/>
                  </w:rPr>
                  <w:t>59</w:t>
                </w:r>
              </w:p>
            </w:tc>
          </w:tr>
          <w:tr>
            <w:trPr>
              <w:trHeight w:val="315"/>
              <w:jc w:val="center"/>
            </w:trPr>
            <w:tc>
              <w:tcPr>
                <w:tcW w:w="2900" w:type="dxa"/>
                <w:tcBorders>
                  <w:top w:val="nil"/>
                  <w:left w:val="nil"/>
                  <w:bottom w:val="nil"/>
                  <w:right w:val="nil"/>
                </w:tcBorders>
                <w:shd w:val="clear" w:color="auto" w:fill="auto"/>
                <w:vAlign w:val="center"/>
                <w:hideMark/>
              </w:tcPr>
              <w:p/>
            </w:tc>
            <w:tc>
              <w:tcPr>
                <w:tcW w:w="4840" w:type="dxa"/>
                <w:tcBorders>
                  <w:top w:val="nil"/>
                  <w:left w:val="nil"/>
                  <w:bottom w:val="nil"/>
                  <w:right w:val="nil"/>
                </w:tcBorders>
                <w:shd w:val="clear" w:color="auto" w:fill="auto"/>
                <w:vAlign w:val="center"/>
                <w:hideMark/>
              </w:tcPr>
              <w:p>
                <w:r>
                  <w:t>iš jų:</w:t>
                </w:r>
              </w:p>
            </w:tc>
            <w:tc>
              <w:tcPr>
                <w:tcW w:w="1272" w:type="dxa"/>
                <w:tcBorders>
                  <w:top w:val="nil"/>
                  <w:left w:val="nil"/>
                  <w:bottom w:val="nil"/>
                  <w:right w:val="nil"/>
                </w:tcBorders>
                <w:shd w:val="clear" w:color="auto" w:fill="auto"/>
                <w:vAlign w:val="bottom"/>
                <w:hideMark/>
              </w:tcPr>
              <w:p>
                <w:pPr>
                  <w:jc w:val="right"/>
                </w:pPr>
              </w:p>
            </w:tc>
          </w:tr>
          <w:tr>
            <w:trPr>
              <w:trHeight w:val="900"/>
              <w:jc w:val="center"/>
            </w:trPr>
            <w:tc>
              <w:tcPr>
                <w:tcW w:w="2900" w:type="dxa"/>
                <w:tcBorders>
                  <w:top w:val="nil"/>
                  <w:left w:val="nil"/>
                  <w:bottom w:val="nil"/>
                  <w:right w:val="nil"/>
                </w:tcBorders>
                <w:shd w:val="clear" w:color="auto" w:fill="auto"/>
                <w:vAlign w:val="center"/>
                <w:hideMark/>
              </w:tcPr>
              <w:p/>
            </w:tc>
            <w:tc>
              <w:tcPr>
                <w:tcW w:w="4840" w:type="dxa"/>
                <w:tcBorders>
                  <w:top w:val="nil"/>
                  <w:left w:val="nil"/>
                  <w:bottom w:val="nil"/>
                  <w:right w:val="nil"/>
                </w:tcBorders>
                <w:shd w:val="clear" w:color="auto" w:fill="auto"/>
                <w:vAlign w:val="center"/>
                <w:hideMark/>
              </w:tcPr>
              <w:p>
                <w:r>
                  <w:t>piliečių prašymams atkurti nuosavybės teises į išlikusį nekilnojamąjį turtą nagrinėti ir sprendimams dėl nuosavybės teisių atkūrimo priimti</w:t>
                </w:r>
              </w:p>
            </w:tc>
            <w:tc>
              <w:tcPr>
                <w:tcW w:w="1272" w:type="dxa"/>
                <w:tcBorders>
                  <w:top w:val="nil"/>
                  <w:left w:val="nil"/>
                  <w:bottom w:val="nil"/>
                  <w:right w:val="nil"/>
                </w:tcBorders>
                <w:shd w:val="clear" w:color="auto" w:fill="auto"/>
                <w:vAlign w:val="bottom"/>
                <w:hideMark/>
              </w:tcPr>
              <w:p>
                <w:pPr>
                  <w:ind w:firstLine="120"/>
                  <w:jc w:val="right"/>
                </w:pPr>
                <w:r>
                  <w:t>33</w:t>
                </w:r>
              </w:p>
            </w:tc>
          </w:tr>
          <w:tr>
            <w:trPr>
              <w:trHeight w:val="960"/>
              <w:jc w:val="center"/>
            </w:trPr>
            <w:tc>
              <w:tcPr>
                <w:tcW w:w="2900" w:type="dxa"/>
                <w:tcBorders>
                  <w:top w:val="nil"/>
                  <w:left w:val="nil"/>
                  <w:bottom w:val="single" w:sz="8" w:space="0" w:color="auto"/>
                  <w:right w:val="nil"/>
                </w:tcBorders>
                <w:shd w:val="clear" w:color="auto" w:fill="auto"/>
                <w:vAlign w:val="center"/>
                <w:hideMark/>
              </w:tcPr>
              <w:p>
                <w:pPr>
                  <w:ind w:firstLine="60"/>
                </w:pPr>
              </w:p>
            </w:tc>
            <w:tc>
              <w:tcPr>
                <w:tcW w:w="4840" w:type="dxa"/>
                <w:tcBorders>
                  <w:top w:val="nil"/>
                  <w:left w:val="nil"/>
                  <w:bottom w:val="single" w:sz="8" w:space="0" w:color="auto"/>
                  <w:right w:val="nil"/>
                </w:tcBorders>
                <w:shd w:val="clear" w:color="auto" w:fill="auto"/>
                <w:vAlign w:val="center"/>
                <w:hideMark/>
              </w:tcPr>
              <w:p>
                <w:r>
                  <w:t>valstybės garantijoms nuomininkams, išsikeliantiems iš savininkams grąžintų gyvenamųjų namų ar jų dalių ir butų, vykdyti</w:t>
                </w:r>
              </w:p>
            </w:tc>
            <w:tc>
              <w:tcPr>
                <w:tcW w:w="1272" w:type="dxa"/>
                <w:tcBorders>
                  <w:top w:val="nil"/>
                  <w:left w:val="nil"/>
                  <w:bottom w:val="single" w:sz="8" w:space="0" w:color="auto"/>
                  <w:right w:val="nil"/>
                </w:tcBorders>
                <w:shd w:val="clear" w:color="auto" w:fill="auto"/>
                <w:vAlign w:val="bottom"/>
                <w:hideMark/>
              </w:tcPr>
              <w:p>
                <w:pPr>
                  <w:ind w:firstLine="120"/>
                  <w:jc w:val="right"/>
                </w:pPr>
                <w:r>
                  <w:t>26</w:t>
                </w:r>
              </w:p>
            </w:tc>
          </w:tr>
          <w:tr>
            <w:trPr>
              <w:trHeight w:val="750"/>
              <w:jc w:val="center"/>
            </w:trPr>
            <w:tc>
              <w:tcPr>
                <w:tcW w:w="2900" w:type="dxa"/>
                <w:tcBorders>
                  <w:top w:val="nil"/>
                  <w:left w:val="nil"/>
                  <w:bottom w:val="single" w:sz="8" w:space="0" w:color="auto"/>
                  <w:right w:val="nil"/>
                </w:tcBorders>
                <w:shd w:val="clear" w:color="auto" w:fill="auto"/>
                <w:vAlign w:val="center"/>
                <w:hideMark/>
              </w:tcPr>
              <w:p>
                <w:pPr>
                  <w:rPr>
                    <w:b/>
                    <w:bCs/>
                  </w:rPr>
                </w:pPr>
                <w:r>
                  <w:rPr>
                    <w:b/>
                    <w:bCs/>
                  </w:rPr>
                  <w:t>Lietuvos Respublikos</w:t>
                </w:r>
                <w:r>
                  <w:t xml:space="preserve"> </w:t>
                </w:r>
                <w:r>
                  <w:rPr>
                    <w:b/>
                    <w:bCs/>
                  </w:rPr>
                  <w:t>krašto apsaugos ministerija</w:t>
                </w:r>
              </w:p>
            </w:tc>
            <w:tc>
              <w:tcPr>
                <w:tcW w:w="4840" w:type="dxa"/>
                <w:tcBorders>
                  <w:top w:val="nil"/>
                  <w:left w:val="nil"/>
                  <w:bottom w:val="single" w:sz="8" w:space="0" w:color="auto"/>
                  <w:right w:val="nil"/>
                </w:tcBorders>
                <w:shd w:val="clear" w:color="auto" w:fill="auto"/>
                <w:vAlign w:val="bottom"/>
                <w:hideMark/>
              </w:tcPr>
              <w:p>
                <w:r>
                  <w:t>dalyvauti rengiant ir vykdant mobilizaciją</w:t>
                </w:r>
              </w:p>
            </w:tc>
            <w:tc>
              <w:tcPr>
                <w:tcW w:w="1272" w:type="dxa"/>
                <w:tcBorders>
                  <w:top w:val="nil"/>
                  <w:left w:val="nil"/>
                  <w:bottom w:val="single" w:sz="8" w:space="0" w:color="auto"/>
                  <w:right w:val="nil"/>
                </w:tcBorders>
                <w:shd w:val="clear" w:color="auto" w:fill="auto"/>
                <w:vAlign w:val="bottom"/>
                <w:hideMark/>
              </w:tcPr>
              <w:p>
                <w:pPr>
                  <w:ind w:firstLine="120"/>
                  <w:jc w:val="right"/>
                  <w:rPr>
                    <w:b/>
                    <w:bCs/>
                  </w:rPr>
                </w:pPr>
                <w:r>
                  <w:rPr>
                    <w:b/>
                    <w:bCs/>
                  </w:rPr>
                  <w:t>545</w:t>
                </w:r>
              </w:p>
            </w:tc>
          </w:tr>
          <w:tr>
            <w:trPr>
              <w:trHeight w:val="570"/>
              <w:jc w:val="center"/>
            </w:trPr>
            <w:tc>
              <w:tcPr>
                <w:tcW w:w="2900" w:type="dxa"/>
                <w:tcBorders>
                  <w:top w:val="nil"/>
                  <w:left w:val="nil"/>
                  <w:bottom w:val="nil"/>
                  <w:right w:val="nil"/>
                </w:tcBorders>
                <w:shd w:val="clear" w:color="auto" w:fill="auto"/>
                <w:vAlign w:val="center"/>
                <w:hideMark/>
              </w:tcPr>
              <w:p>
                <w:pPr>
                  <w:rPr>
                    <w:b/>
                    <w:bCs/>
                  </w:rPr>
                </w:pPr>
                <w:r>
                  <w:rPr>
                    <w:b/>
                    <w:bCs/>
                  </w:rPr>
                  <w:t>Lietuvos Respublikos</w:t>
                </w:r>
                <w:r>
                  <w:t xml:space="preserve"> </w:t>
                </w:r>
                <w:r>
                  <w:rPr>
                    <w:b/>
                    <w:bCs/>
                  </w:rPr>
                  <w:t>kultūros ministerija</w:t>
                </w:r>
              </w:p>
            </w:tc>
            <w:tc>
              <w:tcPr>
                <w:tcW w:w="4840" w:type="dxa"/>
                <w:tcBorders>
                  <w:top w:val="nil"/>
                  <w:left w:val="nil"/>
                  <w:bottom w:val="nil"/>
                  <w:right w:val="nil"/>
                </w:tcBorders>
                <w:shd w:val="clear" w:color="auto" w:fill="auto"/>
                <w:vAlign w:val="center"/>
                <w:hideMark/>
              </w:tcPr>
              <w:p/>
            </w:tc>
            <w:tc>
              <w:tcPr>
                <w:tcW w:w="1272" w:type="dxa"/>
                <w:tcBorders>
                  <w:top w:val="nil"/>
                  <w:left w:val="nil"/>
                  <w:bottom w:val="nil"/>
                  <w:right w:val="nil"/>
                </w:tcBorders>
                <w:shd w:val="clear" w:color="auto" w:fill="auto"/>
                <w:vAlign w:val="bottom"/>
                <w:hideMark/>
              </w:tcPr>
              <w:p>
                <w:pPr>
                  <w:ind w:firstLine="120"/>
                  <w:jc w:val="right"/>
                  <w:rPr>
                    <w:b/>
                    <w:bCs/>
                  </w:rPr>
                </w:pPr>
                <w:r>
                  <w:rPr>
                    <w:b/>
                    <w:bCs/>
                  </w:rPr>
                  <w:t>853</w:t>
                </w:r>
              </w:p>
            </w:tc>
          </w:tr>
          <w:tr>
            <w:trPr>
              <w:trHeight w:val="315"/>
              <w:jc w:val="center"/>
            </w:trPr>
            <w:tc>
              <w:tcPr>
                <w:tcW w:w="2900" w:type="dxa"/>
                <w:tcBorders>
                  <w:top w:val="nil"/>
                  <w:left w:val="nil"/>
                  <w:bottom w:val="nil"/>
                  <w:right w:val="nil"/>
                </w:tcBorders>
                <w:shd w:val="clear" w:color="auto" w:fill="auto"/>
                <w:vAlign w:val="center"/>
                <w:hideMark/>
              </w:tcPr>
              <w:p>
                <w:pPr>
                  <w:rPr>
                    <w:b/>
                    <w:bCs/>
                  </w:rPr>
                </w:pPr>
              </w:p>
            </w:tc>
            <w:tc>
              <w:tcPr>
                <w:tcW w:w="4840" w:type="dxa"/>
                <w:tcBorders>
                  <w:top w:val="nil"/>
                  <w:left w:val="nil"/>
                  <w:bottom w:val="nil"/>
                  <w:right w:val="nil"/>
                </w:tcBorders>
                <w:shd w:val="clear" w:color="auto" w:fill="auto"/>
                <w:vAlign w:val="center"/>
                <w:hideMark/>
              </w:tcPr>
              <w:p>
                <w:r>
                  <w:t>iš jų:</w:t>
                </w:r>
              </w:p>
            </w:tc>
            <w:tc>
              <w:tcPr>
                <w:tcW w:w="1272" w:type="dxa"/>
                <w:tcBorders>
                  <w:top w:val="nil"/>
                  <w:left w:val="nil"/>
                  <w:bottom w:val="nil"/>
                  <w:right w:val="nil"/>
                </w:tcBorders>
                <w:shd w:val="clear" w:color="auto" w:fill="auto"/>
                <w:vAlign w:val="bottom"/>
                <w:hideMark/>
              </w:tcPr>
              <w:p>
                <w:pPr>
                  <w:jc w:val="right"/>
                </w:pPr>
              </w:p>
            </w:tc>
          </w:tr>
          <w:tr>
            <w:trPr>
              <w:trHeight w:val="630"/>
              <w:jc w:val="center"/>
            </w:trPr>
            <w:tc>
              <w:tcPr>
                <w:tcW w:w="2900" w:type="dxa"/>
                <w:tcBorders>
                  <w:top w:val="nil"/>
                  <w:left w:val="nil"/>
                  <w:bottom w:val="nil"/>
                  <w:right w:val="nil"/>
                </w:tcBorders>
                <w:shd w:val="clear" w:color="auto" w:fill="auto"/>
                <w:vAlign w:val="center"/>
                <w:hideMark/>
              </w:tcPr>
              <w:p>
                <w:pPr>
                  <w:rPr>
                    <w:b/>
                    <w:bCs/>
                  </w:rPr>
                </w:pPr>
              </w:p>
            </w:tc>
            <w:tc>
              <w:tcPr>
                <w:tcW w:w="4840" w:type="dxa"/>
                <w:tcBorders>
                  <w:top w:val="nil"/>
                  <w:left w:val="nil"/>
                  <w:bottom w:val="nil"/>
                  <w:right w:val="nil"/>
                </w:tcBorders>
                <w:shd w:val="clear" w:color="auto" w:fill="auto"/>
                <w:vAlign w:val="center"/>
                <w:hideMark/>
              </w:tcPr>
              <w:p>
                <w:r>
                  <w:t>valstybinės kalbos vartojimo ir taisyklingumo kontrolei</w:t>
                </w:r>
              </w:p>
            </w:tc>
            <w:tc>
              <w:tcPr>
                <w:tcW w:w="1272" w:type="dxa"/>
                <w:tcBorders>
                  <w:top w:val="nil"/>
                  <w:left w:val="nil"/>
                  <w:bottom w:val="nil"/>
                  <w:right w:val="nil"/>
                </w:tcBorders>
                <w:shd w:val="clear" w:color="auto" w:fill="auto"/>
                <w:vAlign w:val="bottom"/>
                <w:hideMark/>
              </w:tcPr>
              <w:p>
                <w:pPr>
                  <w:ind w:firstLine="120"/>
                  <w:jc w:val="right"/>
                </w:pPr>
                <w:r>
                  <w:t>560</w:t>
                </w:r>
              </w:p>
            </w:tc>
          </w:tr>
          <w:tr>
            <w:trPr>
              <w:trHeight w:val="645"/>
              <w:jc w:val="center"/>
            </w:trPr>
            <w:tc>
              <w:tcPr>
                <w:tcW w:w="2900" w:type="dxa"/>
                <w:tcBorders>
                  <w:top w:val="nil"/>
                  <w:left w:val="nil"/>
                  <w:bottom w:val="single" w:sz="8" w:space="0" w:color="auto"/>
                  <w:right w:val="nil"/>
                </w:tcBorders>
                <w:shd w:val="clear" w:color="auto" w:fill="auto"/>
                <w:vAlign w:val="center"/>
                <w:hideMark/>
              </w:tcPr>
              <w:p>
                <w:pPr>
                  <w:ind w:firstLine="60"/>
                  <w:rPr>
                    <w:b/>
                    <w:bCs/>
                  </w:rPr>
                </w:pPr>
              </w:p>
            </w:tc>
            <w:tc>
              <w:tcPr>
                <w:tcW w:w="4840" w:type="dxa"/>
                <w:tcBorders>
                  <w:top w:val="nil"/>
                  <w:left w:val="nil"/>
                  <w:bottom w:val="single" w:sz="8" w:space="0" w:color="auto"/>
                  <w:right w:val="nil"/>
                </w:tcBorders>
                <w:shd w:val="clear" w:color="auto" w:fill="auto"/>
                <w:vAlign w:val="center"/>
                <w:hideMark/>
              </w:tcPr>
              <w:p>
                <w:r>
                  <w:t>pagal teisės aktus savivaldybėms perduotoms įstaigoms išlaikyti</w:t>
                </w:r>
              </w:p>
            </w:tc>
            <w:tc>
              <w:tcPr>
                <w:tcW w:w="1272" w:type="dxa"/>
                <w:tcBorders>
                  <w:top w:val="nil"/>
                  <w:left w:val="nil"/>
                  <w:bottom w:val="single" w:sz="8" w:space="0" w:color="auto"/>
                  <w:right w:val="nil"/>
                </w:tcBorders>
                <w:shd w:val="clear" w:color="auto" w:fill="auto"/>
                <w:vAlign w:val="bottom"/>
                <w:hideMark/>
              </w:tcPr>
              <w:p>
                <w:pPr>
                  <w:ind w:firstLine="120"/>
                  <w:jc w:val="right"/>
                </w:pPr>
                <w:r>
                  <w:t>293</w:t>
                </w:r>
              </w:p>
            </w:tc>
          </w:tr>
          <w:tr>
            <w:trPr>
              <w:trHeight w:val="945"/>
              <w:jc w:val="center"/>
            </w:trPr>
            <w:tc>
              <w:tcPr>
                <w:tcW w:w="2900" w:type="dxa"/>
                <w:tcBorders>
                  <w:top w:val="nil"/>
                  <w:left w:val="nil"/>
                  <w:bottom w:val="nil"/>
                  <w:right w:val="nil"/>
                </w:tcBorders>
                <w:shd w:val="clear" w:color="auto" w:fill="auto"/>
                <w:vAlign w:val="center"/>
                <w:hideMark/>
              </w:tcPr>
              <w:p>
                <w:pPr>
                  <w:rPr>
                    <w:b/>
                    <w:bCs/>
                  </w:rPr>
                </w:pPr>
                <w:r>
                  <w:rPr>
                    <w:b/>
                    <w:bCs/>
                  </w:rPr>
                  <w:t>Lietuvos Respublikos</w:t>
                </w:r>
                <w:r>
                  <w:t xml:space="preserve"> </w:t>
                </w:r>
                <w:r>
                  <w:rPr>
                    <w:b/>
                    <w:bCs/>
                  </w:rPr>
                  <w:t>socialinės apsaugos ir darbo ministerija</w:t>
                </w:r>
              </w:p>
            </w:tc>
            <w:tc>
              <w:tcPr>
                <w:tcW w:w="4840" w:type="dxa"/>
                <w:tcBorders>
                  <w:top w:val="nil"/>
                  <w:left w:val="nil"/>
                  <w:bottom w:val="nil"/>
                  <w:right w:val="nil"/>
                </w:tcBorders>
                <w:shd w:val="clear" w:color="auto" w:fill="auto"/>
                <w:vAlign w:val="center"/>
                <w:hideMark/>
              </w:tcPr>
              <w:p/>
            </w:tc>
            <w:tc>
              <w:tcPr>
                <w:tcW w:w="1272" w:type="dxa"/>
                <w:tcBorders>
                  <w:top w:val="nil"/>
                  <w:left w:val="nil"/>
                  <w:bottom w:val="nil"/>
                  <w:right w:val="nil"/>
                </w:tcBorders>
                <w:shd w:val="clear" w:color="auto" w:fill="auto"/>
                <w:vAlign w:val="bottom"/>
                <w:hideMark/>
              </w:tcPr>
              <w:p>
                <w:pPr>
                  <w:ind w:firstLine="60"/>
                  <w:jc w:val="right"/>
                  <w:rPr>
                    <w:b/>
                    <w:bCs/>
                  </w:rPr>
                </w:pPr>
                <w:r>
                  <w:rPr>
                    <w:b/>
                    <w:bCs/>
                  </w:rPr>
                  <w:t>87 581</w:t>
                </w:r>
              </w:p>
            </w:tc>
          </w:tr>
          <w:tr>
            <w:trPr>
              <w:trHeight w:val="315"/>
              <w:jc w:val="center"/>
            </w:trPr>
            <w:tc>
              <w:tcPr>
                <w:tcW w:w="2900" w:type="dxa"/>
                <w:tcBorders>
                  <w:top w:val="nil"/>
                  <w:left w:val="nil"/>
                  <w:bottom w:val="nil"/>
                  <w:right w:val="nil"/>
                </w:tcBorders>
                <w:shd w:val="clear" w:color="auto" w:fill="auto"/>
                <w:vAlign w:val="center"/>
                <w:hideMark/>
              </w:tcPr>
              <w:p/>
            </w:tc>
            <w:tc>
              <w:tcPr>
                <w:tcW w:w="4840" w:type="dxa"/>
                <w:tcBorders>
                  <w:top w:val="nil"/>
                  <w:left w:val="nil"/>
                  <w:bottom w:val="nil"/>
                  <w:right w:val="nil"/>
                </w:tcBorders>
                <w:shd w:val="clear" w:color="auto" w:fill="auto"/>
                <w:vAlign w:val="center"/>
                <w:hideMark/>
              </w:tcPr>
              <w:p>
                <w:r>
                  <w:t>iš jų:</w:t>
                </w:r>
              </w:p>
            </w:tc>
            <w:tc>
              <w:tcPr>
                <w:tcW w:w="1272" w:type="dxa"/>
                <w:tcBorders>
                  <w:top w:val="nil"/>
                  <w:left w:val="nil"/>
                  <w:bottom w:val="nil"/>
                  <w:right w:val="nil"/>
                </w:tcBorders>
                <w:shd w:val="clear" w:color="auto" w:fill="auto"/>
                <w:noWrap/>
                <w:vAlign w:val="bottom"/>
                <w:hideMark/>
              </w:tcPr>
              <w:p>
                <w:pPr>
                  <w:jc w:val="right"/>
                </w:pPr>
              </w:p>
            </w:tc>
          </w:tr>
          <w:tr>
            <w:trPr>
              <w:trHeight w:val="630"/>
              <w:jc w:val="center"/>
            </w:trPr>
            <w:tc>
              <w:tcPr>
                <w:tcW w:w="2900" w:type="dxa"/>
                <w:tcBorders>
                  <w:top w:val="nil"/>
                  <w:left w:val="nil"/>
                  <w:bottom w:val="nil"/>
                  <w:right w:val="nil"/>
                </w:tcBorders>
                <w:shd w:val="clear" w:color="auto" w:fill="auto"/>
                <w:vAlign w:val="center"/>
                <w:hideMark/>
              </w:tcPr>
              <w:p/>
            </w:tc>
            <w:tc>
              <w:tcPr>
                <w:tcW w:w="4840" w:type="dxa"/>
                <w:tcBorders>
                  <w:top w:val="nil"/>
                  <w:left w:val="nil"/>
                  <w:bottom w:val="nil"/>
                  <w:right w:val="nil"/>
                </w:tcBorders>
                <w:shd w:val="clear" w:color="auto" w:fill="auto"/>
                <w:vAlign w:val="center"/>
                <w:hideMark/>
              </w:tcPr>
              <w:p>
                <w:r>
                  <w:t>socialinėms išmokoms ir kompensacijoms skaičiuoti ir mokėti</w:t>
                </w:r>
              </w:p>
            </w:tc>
            <w:tc>
              <w:tcPr>
                <w:tcW w:w="1272" w:type="dxa"/>
                <w:tcBorders>
                  <w:top w:val="nil"/>
                  <w:left w:val="nil"/>
                  <w:bottom w:val="nil"/>
                  <w:right w:val="nil"/>
                </w:tcBorders>
                <w:shd w:val="clear" w:color="auto" w:fill="auto"/>
                <w:noWrap/>
                <w:vAlign w:val="bottom"/>
                <w:hideMark/>
              </w:tcPr>
              <w:p>
                <w:pPr>
                  <w:ind w:firstLine="60"/>
                  <w:jc w:val="right"/>
                </w:pPr>
                <w:r>
                  <w:t>14 062</w:t>
                </w:r>
              </w:p>
            </w:tc>
          </w:tr>
          <w:tr>
            <w:trPr>
              <w:trHeight w:val="630"/>
              <w:jc w:val="center"/>
            </w:trPr>
            <w:tc>
              <w:tcPr>
                <w:tcW w:w="2900" w:type="dxa"/>
                <w:tcBorders>
                  <w:top w:val="nil"/>
                  <w:left w:val="nil"/>
                  <w:bottom w:val="nil"/>
                  <w:right w:val="nil"/>
                </w:tcBorders>
                <w:shd w:val="clear" w:color="auto" w:fill="auto"/>
                <w:vAlign w:val="center"/>
                <w:hideMark/>
              </w:tcPr>
              <w:p/>
            </w:tc>
            <w:tc>
              <w:tcPr>
                <w:tcW w:w="4840" w:type="dxa"/>
                <w:tcBorders>
                  <w:top w:val="nil"/>
                  <w:left w:val="nil"/>
                  <w:bottom w:val="nil"/>
                  <w:right w:val="nil"/>
                </w:tcBorders>
                <w:shd w:val="clear" w:color="auto" w:fill="auto"/>
                <w:vAlign w:val="center"/>
                <w:hideMark/>
              </w:tcPr>
              <w:p>
                <w:r>
                  <w:t>būsto nuomos ar išperkamosios būsto nuomos mokesčių dalies kompensacijoms</w:t>
                </w:r>
              </w:p>
            </w:tc>
            <w:tc>
              <w:tcPr>
                <w:tcW w:w="1272" w:type="dxa"/>
                <w:tcBorders>
                  <w:top w:val="nil"/>
                  <w:left w:val="nil"/>
                  <w:bottom w:val="nil"/>
                  <w:right w:val="nil"/>
                </w:tcBorders>
                <w:shd w:val="clear" w:color="auto" w:fill="auto"/>
                <w:vAlign w:val="bottom"/>
                <w:hideMark/>
              </w:tcPr>
              <w:p>
                <w:pPr>
                  <w:ind w:firstLine="60"/>
                  <w:jc w:val="right"/>
                </w:pPr>
                <w:r>
                  <w:t>3 852</w:t>
                </w:r>
              </w:p>
            </w:tc>
          </w:tr>
          <w:tr>
            <w:trPr>
              <w:trHeight w:val="315"/>
              <w:jc w:val="center"/>
            </w:trPr>
            <w:tc>
              <w:tcPr>
                <w:tcW w:w="2900" w:type="dxa"/>
                <w:tcBorders>
                  <w:top w:val="nil"/>
                  <w:left w:val="nil"/>
                  <w:bottom w:val="nil"/>
                  <w:right w:val="nil"/>
                </w:tcBorders>
                <w:shd w:val="clear" w:color="auto" w:fill="auto"/>
                <w:vAlign w:val="center"/>
                <w:hideMark/>
              </w:tcPr>
              <w:p/>
            </w:tc>
            <w:tc>
              <w:tcPr>
                <w:tcW w:w="4840" w:type="dxa"/>
                <w:tcBorders>
                  <w:top w:val="nil"/>
                  <w:left w:val="nil"/>
                  <w:bottom w:val="nil"/>
                  <w:right w:val="nil"/>
                </w:tcBorders>
                <w:shd w:val="clear" w:color="auto" w:fill="auto"/>
                <w:vAlign w:val="center"/>
                <w:hideMark/>
              </w:tcPr>
              <w:p>
                <w:r>
                  <w:t>socialinei paramai mokiniams</w:t>
                </w:r>
              </w:p>
            </w:tc>
            <w:tc>
              <w:tcPr>
                <w:tcW w:w="1272" w:type="dxa"/>
                <w:tcBorders>
                  <w:top w:val="nil"/>
                  <w:left w:val="nil"/>
                  <w:bottom w:val="nil"/>
                  <w:right w:val="nil"/>
                </w:tcBorders>
                <w:shd w:val="clear" w:color="auto" w:fill="auto"/>
                <w:noWrap/>
                <w:vAlign w:val="bottom"/>
                <w:hideMark/>
              </w:tcPr>
              <w:p>
                <w:pPr>
                  <w:ind w:firstLine="60"/>
                  <w:jc w:val="right"/>
                </w:pPr>
                <w:r>
                  <w:t>22 517</w:t>
                </w:r>
              </w:p>
            </w:tc>
          </w:tr>
          <w:tr>
            <w:trPr>
              <w:trHeight w:val="315"/>
              <w:jc w:val="center"/>
            </w:trPr>
            <w:tc>
              <w:tcPr>
                <w:tcW w:w="2900" w:type="dxa"/>
                <w:tcBorders>
                  <w:top w:val="nil"/>
                  <w:left w:val="nil"/>
                  <w:bottom w:val="nil"/>
                  <w:right w:val="nil"/>
                </w:tcBorders>
                <w:shd w:val="clear" w:color="auto" w:fill="auto"/>
                <w:vAlign w:val="center"/>
                <w:hideMark/>
              </w:tcPr>
              <w:p/>
            </w:tc>
            <w:tc>
              <w:tcPr>
                <w:tcW w:w="4840" w:type="dxa"/>
                <w:tcBorders>
                  <w:top w:val="nil"/>
                  <w:left w:val="nil"/>
                  <w:bottom w:val="nil"/>
                  <w:right w:val="nil"/>
                </w:tcBorders>
                <w:shd w:val="clear" w:color="auto" w:fill="auto"/>
                <w:vAlign w:val="center"/>
                <w:hideMark/>
              </w:tcPr>
              <w:p>
                <w:r>
                  <w:t>socialinėms paslaugoms</w:t>
                </w:r>
              </w:p>
            </w:tc>
            <w:tc>
              <w:tcPr>
                <w:tcW w:w="1272" w:type="dxa"/>
                <w:tcBorders>
                  <w:top w:val="nil"/>
                  <w:left w:val="nil"/>
                  <w:bottom w:val="nil"/>
                  <w:right w:val="nil"/>
                </w:tcBorders>
                <w:shd w:val="clear" w:color="auto" w:fill="auto"/>
                <w:noWrap/>
                <w:vAlign w:val="bottom"/>
                <w:hideMark/>
              </w:tcPr>
              <w:p>
                <w:pPr>
                  <w:ind w:firstLine="60"/>
                  <w:jc w:val="right"/>
                </w:pPr>
                <w:r>
                  <w:t>28 326</w:t>
                </w:r>
              </w:p>
            </w:tc>
          </w:tr>
          <w:tr>
            <w:trPr>
              <w:trHeight w:val="315"/>
              <w:jc w:val="center"/>
            </w:trPr>
            <w:tc>
              <w:tcPr>
                <w:tcW w:w="2900" w:type="dxa"/>
                <w:tcBorders>
                  <w:top w:val="nil"/>
                  <w:left w:val="nil"/>
                  <w:bottom w:val="nil"/>
                  <w:right w:val="nil"/>
                </w:tcBorders>
                <w:shd w:val="clear" w:color="auto" w:fill="auto"/>
                <w:vAlign w:val="center"/>
                <w:hideMark/>
              </w:tcPr>
              <w:p/>
            </w:tc>
            <w:tc>
              <w:tcPr>
                <w:tcW w:w="4840" w:type="dxa"/>
                <w:tcBorders>
                  <w:top w:val="nil"/>
                  <w:left w:val="nil"/>
                  <w:bottom w:val="nil"/>
                  <w:right w:val="nil"/>
                </w:tcBorders>
                <w:shd w:val="clear" w:color="auto" w:fill="auto"/>
                <w:vAlign w:val="center"/>
                <w:hideMark/>
              </w:tcPr>
              <w:p>
                <w:r>
                  <w:t>vaikų ir jaunimo teisių apsaugai</w:t>
                </w:r>
              </w:p>
            </w:tc>
            <w:tc>
              <w:tcPr>
                <w:tcW w:w="1272" w:type="dxa"/>
                <w:tcBorders>
                  <w:top w:val="nil"/>
                  <w:left w:val="nil"/>
                  <w:bottom w:val="nil"/>
                  <w:right w:val="nil"/>
                </w:tcBorders>
                <w:shd w:val="clear" w:color="auto" w:fill="auto"/>
                <w:noWrap/>
                <w:vAlign w:val="bottom"/>
                <w:hideMark/>
              </w:tcPr>
              <w:p>
                <w:pPr>
                  <w:ind w:firstLine="60"/>
                  <w:jc w:val="right"/>
                </w:pPr>
                <w:r>
                  <w:t>6 665</w:t>
                </w:r>
              </w:p>
            </w:tc>
          </w:tr>
          <w:tr>
            <w:trPr>
              <w:trHeight w:val="945"/>
              <w:jc w:val="center"/>
            </w:trPr>
            <w:tc>
              <w:tcPr>
                <w:tcW w:w="2900" w:type="dxa"/>
                <w:tcBorders>
                  <w:top w:val="nil"/>
                  <w:left w:val="nil"/>
                  <w:bottom w:val="nil"/>
                  <w:right w:val="nil"/>
                </w:tcBorders>
                <w:shd w:val="clear" w:color="auto" w:fill="auto"/>
                <w:vAlign w:val="center"/>
                <w:hideMark/>
              </w:tcPr>
              <w:p/>
            </w:tc>
            <w:tc>
              <w:tcPr>
                <w:tcW w:w="4840" w:type="dxa"/>
                <w:tcBorders>
                  <w:top w:val="nil"/>
                  <w:left w:val="nil"/>
                  <w:bottom w:val="nil"/>
                  <w:right w:val="nil"/>
                </w:tcBorders>
                <w:shd w:val="clear" w:color="auto" w:fill="auto"/>
                <w:vAlign w:val="center"/>
                <w:hideMark/>
              </w:tcPr>
              <w:p>
                <w:r>
                  <w:t>dalyvauti rengiant ir įgyvendinant darbo rinkos politikos priemones ir gyventojų užimtumo programas</w:t>
                </w:r>
              </w:p>
            </w:tc>
            <w:tc>
              <w:tcPr>
                <w:tcW w:w="1272" w:type="dxa"/>
                <w:tcBorders>
                  <w:top w:val="nil"/>
                  <w:left w:val="nil"/>
                  <w:bottom w:val="nil"/>
                  <w:right w:val="nil"/>
                </w:tcBorders>
                <w:shd w:val="clear" w:color="auto" w:fill="auto"/>
                <w:vAlign w:val="bottom"/>
                <w:hideMark/>
              </w:tcPr>
              <w:p>
                <w:pPr>
                  <w:ind w:firstLine="60"/>
                  <w:jc w:val="right"/>
                </w:pPr>
                <w:r>
                  <w:t>7 756</w:t>
                </w:r>
              </w:p>
            </w:tc>
          </w:tr>
          <w:tr>
            <w:trPr>
              <w:trHeight w:val="645"/>
              <w:jc w:val="center"/>
            </w:trPr>
            <w:tc>
              <w:tcPr>
                <w:tcW w:w="2900" w:type="dxa"/>
                <w:tcBorders>
                  <w:top w:val="nil"/>
                  <w:left w:val="nil"/>
                  <w:bottom w:val="single" w:sz="8" w:space="0" w:color="auto"/>
                  <w:right w:val="nil"/>
                </w:tcBorders>
                <w:shd w:val="clear" w:color="auto" w:fill="auto"/>
                <w:vAlign w:val="center"/>
                <w:hideMark/>
              </w:tcPr>
              <w:p>
                <w:pPr>
                  <w:ind w:firstLine="60"/>
                </w:pPr>
              </w:p>
            </w:tc>
            <w:tc>
              <w:tcPr>
                <w:tcW w:w="4840" w:type="dxa"/>
                <w:tcBorders>
                  <w:top w:val="nil"/>
                  <w:left w:val="nil"/>
                  <w:bottom w:val="single" w:sz="8" w:space="0" w:color="auto"/>
                  <w:right w:val="nil"/>
                </w:tcBorders>
                <w:shd w:val="clear" w:color="auto" w:fill="auto"/>
                <w:vAlign w:val="center"/>
                <w:hideMark/>
              </w:tcPr>
              <w:p>
                <w:r>
                  <w:t>pagal teisės aktus savivaldybėms perduotoms įstaigoms išlaikyti</w:t>
                </w:r>
              </w:p>
            </w:tc>
            <w:tc>
              <w:tcPr>
                <w:tcW w:w="1272" w:type="dxa"/>
                <w:tcBorders>
                  <w:top w:val="nil"/>
                  <w:left w:val="nil"/>
                  <w:bottom w:val="single" w:sz="8" w:space="0" w:color="auto"/>
                  <w:right w:val="nil"/>
                </w:tcBorders>
                <w:shd w:val="clear" w:color="auto" w:fill="auto"/>
                <w:vAlign w:val="bottom"/>
                <w:hideMark/>
              </w:tcPr>
              <w:p>
                <w:pPr>
                  <w:ind w:firstLine="60"/>
                  <w:jc w:val="right"/>
                </w:pPr>
                <w:r>
                  <w:t>4 403</w:t>
                </w:r>
              </w:p>
            </w:tc>
          </w:tr>
          <w:tr>
            <w:trPr>
              <w:trHeight w:val="630"/>
              <w:jc w:val="center"/>
            </w:trPr>
            <w:tc>
              <w:tcPr>
                <w:tcW w:w="2900" w:type="dxa"/>
                <w:tcBorders>
                  <w:top w:val="nil"/>
                  <w:left w:val="nil"/>
                  <w:bottom w:val="nil"/>
                  <w:right w:val="nil"/>
                </w:tcBorders>
                <w:shd w:val="clear" w:color="auto" w:fill="auto"/>
                <w:vAlign w:val="center"/>
                <w:hideMark/>
              </w:tcPr>
              <w:p>
                <w:pPr>
                  <w:rPr>
                    <w:b/>
                    <w:bCs/>
                  </w:rPr>
                </w:pPr>
                <w:r>
                  <w:rPr>
                    <w:b/>
                    <w:bCs/>
                  </w:rPr>
                  <w:t>Lietuvos Respublikos</w:t>
                </w:r>
                <w:r>
                  <w:t xml:space="preserve"> </w:t>
                </w:r>
                <w:r>
                  <w:rPr>
                    <w:b/>
                    <w:bCs/>
                  </w:rPr>
                  <w:t>sveikatos apsaugos ministerija</w:t>
                </w:r>
              </w:p>
            </w:tc>
            <w:tc>
              <w:tcPr>
                <w:tcW w:w="4840" w:type="dxa"/>
                <w:tcBorders>
                  <w:top w:val="nil"/>
                  <w:left w:val="nil"/>
                  <w:bottom w:val="nil"/>
                  <w:right w:val="nil"/>
                </w:tcBorders>
                <w:shd w:val="clear" w:color="auto" w:fill="auto"/>
                <w:vAlign w:val="center"/>
                <w:hideMark/>
              </w:tcPr>
              <w:p/>
            </w:tc>
            <w:tc>
              <w:tcPr>
                <w:tcW w:w="1272" w:type="dxa"/>
                <w:tcBorders>
                  <w:top w:val="nil"/>
                  <w:left w:val="nil"/>
                  <w:bottom w:val="nil"/>
                  <w:right w:val="nil"/>
                </w:tcBorders>
                <w:shd w:val="clear" w:color="auto" w:fill="auto"/>
                <w:vAlign w:val="bottom"/>
                <w:hideMark/>
              </w:tcPr>
              <w:p>
                <w:pPr>
                  <w:ind w:firstLine="60"/>
                  <w:jc w:val="right"/>
                  <w:rPr>
                    <w:b/>
                    <w:bCs/>
                  </w:rPr>
                </w:pPr>
                <w:r>
                  <w:rPr>
                    <w:b/>
                    <w:bCs/>
                  </w:rPr>
                  <w:t>13 233</w:t>
                </w:r>
              </w:p>
            </w:tc>
          </w:tr>
          <w:tr>
            <w:trPr>
              <w:trHeight w:val="315"/>
              <w:jc w:val="center"/>
            </w:trPr>
            <w:tc>
              <w:tcPr>
                <w:tcW w:w="2900" w:type="dxa"/>
                <w:tcBorders>
                  <w:top w:val="nil"/>
                  <w:left w:val="nil"/>
                  <w:bottom w:val="nil"/>
                  <w:right w:val="nil"/>
                </w:tcBorders>
                <w:shd w:val="clear" w:color="auto" w:fill="auto"/>
                <w:vAlign w:val="center"/>
                <w:hideMark/>
              </w:tcPr>
              <w:p>
                <w:pPr>
                  <w:rPr>
                    <w:b/>
                    <w:bCs/>
                  </w:rPr>
                </w:pPr>
              </w:p>
            </w:tc>
            <w:tc>
              <w:tcPr>
                <w:tcW w:w="4840" w:type="dxa"/>
                <w:tcBorders>
                  <w:top w:val="nil"/>
                  <w:left w:val="nil"/>
                  <w:bottom w:val="nil"/>
                  <w:right w:val="nil"/>
                </w:tcBorders>
                <w:shd w:val="clear" w:color="auto" w:fill="auto"/>
                <w:vAlign w:val="center"/>
                <w:hideMark/>
              </w:tcPr>
              <w:p>
                <w:r>
                  <w:t>iš jų:</w:t>
                </w:r>
              </w:p>
            </w:tc>
            <w:tc>
              <w:tcPr>
                <w:tcW w:w="1272" w:type="dxa"/>
                <w:tcBorders>
                  <w:top w:val="nil"/>
                  <w:left w:val="nil"/>
                  <w:bottom w:val="nil"/>
                  <w:right w:val="nil"/>
                </w:tcBorders>
                <w:shd w:val="clear" w:color="auto" w:fill="auto"/>
                <w:vAlign w:val="bottom"/>
                <w:hideMark/>
              </w:tcPr>
              <w:p>
                <w:pPr>
                  <w:jc w:val="right"/>
                  <w:rPr>
                    <w:b/>
                    <w:bCs/>
                  </w:rPr>
                </w:pPr>
              </w:p>
            </w:tc>
          </w:tr>
          <w:tr>
            <w:trPr>
              <w:trHeight w:val="315"/>
              <w:jc w:val="center"/>
            </w:trPr>
            <w:tc>
              <w:tcPr>
                <w:tcW w:w="2900" w:type="dxa"/>
                <w:tcBorders>
                  <w:top w:val="nil"/>
                  <w:left w:val="nil"/>
                  <w:bottom w:val="nil"/>
                  <w:right w:val="nil"/>
                </w:tcBorders>
                <w:shd w:val="clear" w:color="auto" w:fill="auto"/>
                <w:vAlign w:val="center"/>
                <w:hideMark/>
              </w:tcPr>
              <w:p>
                <w:pPr>
                  <w:rPr>
                    <w:b/>
                    <w:bCs/>
                  </w:rPr>
                </w:pPr>
              </w:p>
            </w:tc>
            <w:tc>
              <w:tcPr>
                <w:tcW w:w="4840" w:type="dxa"/>
                <w:tcBorders>
                  <w:top w:val="nil"/>
                  <w:left w:val="nil"/>
                  <w:bottom w:val="nil"/>
                  <w:right w:val="nil"/>
                </w:tcBorders>
                <w:shd w:val="clear" w:color="auto" w:fill="auto"/>
                <w:vAlign w:val="center"/>
                <w:hideMark/>
              </w:tcPr>
              <w:p>
                <w:r>
                  <w:t>visuomenės sveikatos priežiūros funkcijoms vykdyti</w:t>
                </w:r>
              </w:p>
            </w:tc>
            <w:tc>
              <w:tcPr>
                <w:tcW w:w="1272" w:type="dxa"/>
                <w:tcBorders>
                  <w:top w:val="nil"/>
                  <w:left w:val="nil"/>
                  <w:bottom w:val="nil"/>
                  <w:right w:val="nil"/>
                </w:tcBorders>
                <w:shd w:val="clear" w:color="auto" w:fill="auto"/>
                <w:vAlign w:val="bottom"/>
                <w:hideMark/>
              </w:tcPr>
              <w:p>
                <w:pPr>
                  <w:ind w:firstLine="60"/>
                  <w:jc w:val="right"/>
                </w:pPr>
                <w:r>
                  <w:t>9 335</w:t>
                </w:r>
              </w:p>
            </w:tc>
          </w:tr>
          <w:tr>
            <w:trPr>
              <w:trHeight w:val="645"/>
              <w:jc w:val="center"/>
            </w:trPr>
            <w:tc>
              <w:tcPr>
                <w:tcW w:w="2900" w:type="dxa"/>
                <w:tcBorders>
                  <w:top w:val="nil"/>
                  <w:left w:val="nil"/>
                  <w:bottom w:val="nil"/>
                  <w:right w:val="nil"/>
                </w:tcBorders>
                <w:shd w:val="clear" w:color="auto" w:fill="auto"/>
                <w:vAlign w:val="center"/>
                <w:hideMark/>
              </w:tcPr>
              <w:p>
                <w:pPr>
                  <w:rPr>
                    <w:b/>
                    <w:bCs/>
                  </w:rPr>
                </w:pPr>
              </w:p>
            </w:tc>
            <w:tc>
              <w:tcPr>
                <w:tcW w:w="4840" w:type="dxa"/>
                <w:tcBorders>
                  <w:top w:val="nil"/>
                  <w:left w:val="nil"/>
                  <w:bottom w:val="nil"/>
                  <w:right w:val="nil"/>
                </w:tcBorders>
                <w:shd w:val="clear" w:color="auto" w:fill="auto"/>
                <w:vAlign w:val="center"/>
                <w:hideMark/>
              </w:tcPr>
              <w:p>
                <w:r>
                  <w:t>pagal teisės aktus savivaldybėms perduotoms įstaigoms išlaikyti</w:t>
                </w:r>
              </w:p>
            </w:tc>
            <w:tc>
              <w:tcPr>
                <w:tcW w:w="1272" w:type="dxa"/>
                <w:tcBorders>
                  <w:top w:val="nil"/>
                  <w:left w:val="nil"/>
                  <w:bottom w:val="nil"/>
                  <w:right w:val="nil"/>
                </w:tcBorders>
                <w:shd w:val="clear" w:color="auto" w:fill="auto"/>
                <w:vAlign w:val="bottom"/>
                <w:hideMark/>
              </w:tcPr>
              <w:p>
                <w:pPr>
                  <w:ind w:firstLine="60"/>
                  <w:jc w:val="right"/>
                </w:pPr>
                <w:r>
                  <w:t>3 898</w:t>
                </w:r>
              </w:p>
            </w:tc>
          </w:tr>
          <w:tr>
            <w:trPr>
              <w:trHeight w:val="630"/>
              <w:jc w:val="center"/>
            </w:trPr>
            <w:tc>
              <w:tcPr>
                <w:tcW w:w="2900" w:type="dxa"/>
                <w:tcBorders>
                  <w:top w:val="single" w:sz="8" w:space="0" w:color="auto"/>
                  <w:left w:val="nil"/>
                  <w:bottom w:val="nil"/>
                  <w:right w:val="nil"/>
                </w:tcBorders>
                <w:shd w:val="clear" w:color="auto" w:fill="auto"/>
                <w:vAlign w:val="center"/>
                <w:hideMark/>
              </w:tcPr>
              <w:p>
                <w:pPr>
                  <w:rPr>
                    <w:b/>
                    <w:bCs/>
                  </w:rPr>
                </w:pPr>
                <w:r>
                  <w:rPr>
                    <w:b/>
                    <w:bCs/>
                  </w:rPr>
                  <w:t>Lietuvos Respublikos</w:t>
                </w:r>
                <w:r>
                  <w:t xml:space="preserve"> </w:t>
                </w:r>
                <w:r>
                  <w:rPr>
                    <w:b/>
                    <w:bCs/>
                  </w:rPr>
                  <w:t>teisingumo ministerija</w:t>
                </w:r>
              </w:p>
            </w:tc>
            <w:tc>
              <w:tcPr>
                <w:tcW w:w="4840" w:type="dxa"/>
                <w:tcBorders>
                  <w:top w:val="single" w:sz="8" w:space="0" w:color="auto"/>
                  <w:left w:val="nil"/>
                  <w:bottom w:val="nil"/>
                  <w:right w:val="nil"/>
                </w:tcBorders>
                <w:shd w:val="clear" w:color="auto" w:fill="auto"/>
                <w:vAlign w:val="center"/>
                <w:hideMark/>
              </w:tcPr>
              <w:p>
                <w:pPr>
                  <w:ind w:firstLine="60"/>
                </w:pPr>
              </w:p>
            </w:tc>
            <w:tc>
              <w:tcPr>
                <w:tcW w:w="1272" w:type="dxa"/>
                <w:tcBorders>
                  <w:top w:val="single" w:sz="8" w:space="0" w:color="auto"/>
                  <w:left w:val="nil"/>
                  <w:bottom w:val="nil"/>
                  <w:right w:val="nil"/>
                </w:tcBorders>
                <w:shd w:val="clear" w:color="auto" w:fill="auto"/>
                <w:vAlign w:val="bottom"/>
                <w:hideMark/>
              </w:tcPr>
              <w:p>
                <w:pPr>
                  <w:ind w:firstLine="60"/>
                  <w:jc w:val="right"/>
                  <w:rPr>
                    <w:b/>
                    <w:bCs/>
                  </w:rPr>
                </w:pPr>
                <w:r>
                  <w:rPr>
                    <w:b/>
                    <w:bCs/>
                  </w:rPr>
                  <w:t>3 375</w:t>
                </w:r>
              </w:p>
            </w:tc>
          </w:tr>
          <w:tr>
            <w:trPr>
              <w:trHeight w:val="315"/>
              <w:jc w:val="center"/>
            </w:trPr>
            <w:tc>
              <w:tcPr>
                <w:tcW w:w="2900" w:type="dxa"/>
                <w:tcBorders>
                  <w:top w:val="nil"/>
                  <w:left w:val="nil"/>
                  <w:bottom w:val="nil"/>
                  <w:right w:val="nil"/>
                </w:tcBorders>
                <w:shd w:val="clear" w:color="auto" w:fill="auto"/>
                <w:vAlign w:val="center"/>
                <w:hideMark/>
              </w:tcPr>
              <w:p/>
            </w:tc>
            <w:tc>
              <w:tcPr>
                <w:tcW w:w="4840" w:type="dxa"/>
                <w:tcBorders>
                  <w:top w:val="nil"/>
                  <w:left w:val="nil"/>
                  <w:bottom w:val="nil"/>
                  <w:right w:val="nil"/>
                </w:tcBorders>
                <w:shd w:val="clear" w:color="auto" w:fill="auto"/>
                <w:vAlign w:val="center"/>
                <w:hideMark/>
              </w:tcPr>
              <w:p>
                <w:r>
                  <w:t>iš jų:</w:t>
                </w:r>
              </w:p>
            </w:tc>
            <w:tc>
              <w:tcPr>
                <w:tcW w:w="1272" w:type="dxa"/>
                <w:tcBorders>
                  <w:top w:val="nil"/>
                  <w:left w:val="nil"/>
                  <w:bottom w:val="nil"/>
                  <w:right w:val="nil"/>
                </w:tcBorders>
                <w:shd w:val="clear" w:color="auto" w:fill="auto"/>
                <w:vAlign w:val="bottom"/>
                <w:hideMark/>
              </w:tcPr>
              <w:p>
                <w:pPr>
                  <w:jc w:val="right"/>
                </w:pPr>
              </w:p>
            </w:tc>
          </w:tr>
          <w:tr>
            <w:trPr>
              <w:trHeight w:val="315"/>
              <w:jc w:val="center"/>
            </w:trPr>
            <w:tc>
              <w:tcPr>
                <w:tcW w:w="2900" w:type="dxa"/>
                <w:tcBorders>
                  <w:top w:val="nil"/>
                  <w:left w:val="nil"/>
                  <w:bottom w:val="nil"/>
                  <w:right w:val="nil"/>
                </w:tcBorders>
                <w:shd w:val="clear" w:color="auto" w:fill="auto"/>
                <w:vAlign w:val="center"/>
                <w:hideMark/>
              </w:tcPr>
              <w:p/>
            </w:tc>
            <w:tc>
              <w:tcPr>
                <w:tcW w:w="4840" w:type="dxa"/>
                <w:tcBorders>
                  <w:top w:val="nil"/>
                  <w:left w:val="nil"/>
                  <w:bottom w:val="nil"/>
                  <w:right w:val="nil"/>
                </w:tcBorders>
                <w:shd w:val="clear" w:color="auto" w:fill="auto"/>
                <w:vAlign w:val="center"/>
                <w:hideMark/>
              </w:tcPr>
              <w:p>
                <w:r>
                  <w:t>civilinės būklės aktams registruoti</w:t>
                </w:r>
              </w:p>
            </w:tc>
            <w:tc>
              <w:tcPr>
                <w:tcW w:w="1272" w:type="dxa"/>
                <w:tcBorders>
                  <w:top w:val="nil"/>
                  <w:left w:val="nil"/>
                  <w:bottom w:val="nil"/>
                  <w:right w:val="nil"/>
                </w:tcBorders>
                <w:shd w:val="clear" w:color="auto" w:fill="auto"/>
                <w:vAlign w:val="bottom"/>
                <w:hideMark/>
              </w:tcPr>
              <w:p>
                <w:pPr>
                  <w:ind w:firstLine="60"/>
                  <w:jc w:val="right"/>
                </w:pPr>
                <w:r>
                  <w:t>2 068</w:t>
                </w:r>
              </w:p>
            </w:tc>
          </w:tr>
          <w:tr>
            <w:trPr>
              <w:trHeight w:val="630"/>
              <w:jc w:val="center"/>
            </w:trPr>
            <w:tc>
              <w:tcPr>
                <w:tcW w:w="2900" w:type="dxa"/>
                <w:tcBorders>
                  <w:top w:val="nil"/>
                  <w:left w:val="nil"/>
                  <w:bottom w:val="nil"/>
                  <w:right w:val="nil"/>
                </w:tcBorders>
                <w:shd w:val="clear" w:color="auto" w:fill="auto"/>
                <w:vAlign w:val="center"/>
                <w:hideMark/>
              </w:tcPr>
              <w:p/>
            </w:tc>
            <w:tc>
              <w:tcPr>
                <w:tcW w:w="4840" w:type="dxa"/>
                <w:tcBorders>
                  <w:top w:val="nil"/>
                  <w:left w:val="nil"/>
                  <w:bottom w:val="nil"/>
                  <w:right w:val="nil"/>
                </w:tcBorders>
                <w:shd w:val="clear" w:color="auto" w:fill="auto"/>
                <w:vAlign w:val="center"/>
                <w:hideMark/>
              </w:tcPr>
              <w:p>
                <w:r>
                  <w:t>valstybės garantuojamai pirminei teisinei pagalbai teikti</w:t>
                </w:r>
              </w:p>
            </w:tc>
            <w:tc>
              <w:tcPr>
                <w:tcW w:w="1272" w:type="dxa"/>
                <w:tcBorders>
                  <w:top w:val="nil"/>
                  <w:left w:val="nil"/>
                  <w:bottom w:val="nil"/>
                  <w:right w:val="nil"/>
                </w:tcBorders>
                <w:shd w:val="clear" w:color="auto" w:fill="auto"/>
                <w:vAlign w:val="bottom"/>
                <w:hideMark/>
              </w:tcPr>
              <w:p>
                <w:pPr>
                  <w:ind w:firstLine="120"/>
                  <w:jc w:val="right"/>
                </w:pPr>
                <w:r>
                  <w:t>563</w:t>
                </w:r>
              </w:p>
            </w:tc>
          </w:tr>
          <w:tr>
            <w:trPr>
              <w:trHeight w:val="630"/>
              <w:jc w:val="center"/>
            </w:trPr>
            <w:tc>
              <w:tcPr>
                <w:tcW w:w="2900" w:type="dxa"/>
                <w:tcBorders>
                  <w:top w:val="nil"/>
                  <w:left w:val="nil"/>
                  <w:bottom w:val="nil"/>
                  <w:right w:val="nil"/>
                </w:tcBorders>
                <w:shd w:val="clear" w:color="auto" w:fill="auto"/>
                <w:vAlign w:val="center"/>
                <w:hideMark/>
              </w:tcPr>
              <w:p/>
            </w:tc>
            <w:tc>
              <w:tcPr>
                <w:tcW w:w="4840" w:type="dxa"/>
                <w:tcBorders>
                  <w:top w:val="nil"/>
                  <w:left w:val="nil"/>
                  <w:bottom w:val="nil"/>
                  <w:right w:val="nil"/>
                </w:tcBorders>
                <w:shd w:val="clear" w:color="auto" w:fill="auto"/>
                <w:vAlign w:val="center"/>
                <w:hideMark/>
              </w:tcPr>
              <w:p>
                <w:r>
                  <w:t>Gyventojų registrui tvarkyti ir duomenims valstybės registrui teikti</w:t>
                </w:r>
              </w:p>
            </w:tc>
            <w:tc>
              <w:tcPr>
                <w:tcW w:w="1272" w:type="dxa"/>
                <w:tcBorders>
                  <w:top w:val="nil"/>
                  <w:left w:val="nil"/>
                  <w:bottom w:val="nil"/>
                  <w:right w:val="nil"/>
                </w:tcBorders>
                <w:shd w:val="clear" w:color="auto" w:fill="auto"/>
                <w:vAlign w:val="bottom"/>
                <w:hideMark/>
              </w:tcPr>
              <w:p>
                <w:pPr>
                  <w:ind w:firstLine="120"/>
                  <w:jc w:val="right"/>
                </w:pPr>
                <w:r>
                  <w:t>49</w:t>
                </w:r>
              </w:p>
            </w:tc>
          </w:tr>
          <w:tr>
            <w:trPr>
              <w:trHeight w:val="960"/>
              <w:jc w:val="center"/>
            </w:trPr>
            <w:tc>
              <w:tcPr>
                <w:tcW w:w="2900" w:type="dxa"/>
                <w:tcBorders>
                  <w:top w:val="nil"/>
                  <w:left w:val="nil"/>
                  <w:bottom w:val="single" w:sz="8" w:space="0" w:color="auto"/>
                  <w:right w:val="nil"/>
                </w:tcBorders>
                <w:shd w:val="clear" w:color="auto" w:fill="auto"/>
                <w:vAlign w:val="center"/>
                <w:hideMark/>
              </w:tcPr>
              <w:p>
                <w:pPr>
                  <w:ind w:firstLine="60"/>
                </w:pPr>
              </w:p>
            </w:tc>
            <w:tc>
              <w:tcPr>
                <w:tcW w:w="4840" w:type="dxa"/>
                <w:tcBorders>
                  <w:top w:val="nil"/>
                  <w:left w:val="nil"/>
                  <w:bottom w:val="single" w:sz="8" w:space="0" w:color="auto"/>
                  <w:right w:val="nil"/>
                </w:tcBorders>
                <w:shd w:val="clear" w:color="auto" w:fill="auto"/>
                <w:vAlign w:val="center"/>
                <w:hideMark/>
              </w:tcPr>
              <w:p>
                <w:r>
                  <w:t>gyvenamosios vietos deklaravimo duomenų ir gyvenamosios vietos neturinčių asmenų apskaitos duomenims tvarkyti</w:t>
                </w:r>
              </w:p>
            </w:tc>
            <w:tc>
              <w:tcPr>
                <w:tcW w:w="1272" w:type="dxa"/>
                <w:tcBorders>
                  <w:top w:val="nil"/>
                  <w:left w:val="nil"/>
                  <w:bottom w:val="single" w:sz="8" w:space="0" w:color="auto"/>
                  <w:right w:val="nil"/>
                </w:tcBorders>
                <w:shd w:val="clear" w:color="auto" w:fill="auto"/>
                <w:vAlign w:val="bottom"/>
                <w:hideMark/>
              </w:tcPr>
              <w:p>
                <w:pPr>
                  <w:ind w:firstLine="120"/>
                  <w:jc w:val="right"/>
                </w:pPr>
                <w:r>
                  <w:t>695</w:t>
                </w:r>
              </w:p>
            </w:tc>
          </w:tr>
          <w:tr>
            <w:trPr>
              <w:trHeight w:val="630"/>
              <w:jc w:val="center"/>
            </w:trPr>
            <w:tc>
              <w:tcPr>
                <w:tcW w:w="2900" w:type="dxa"/>
                <w:tcBorders>
                  <w:top w:val="nil"/>
                  <w:left w:val="nil"/>
                  <w:bottom w:val="nil"/>
                  <w:right w:val="nil"/>
                </w:tcBorders>
                <w:shd w:val="clear" w:color="auto" w:fill="auto"/>
                <w:vAlign w:val="center"/>
                <w:hideMark/>
              </w:tcPr>
              <w:p>
                <w:pPr>
                  <w:rPr>
                    <w:b/>
                    <w:bCs/>
                  </w:rPr>
                </w:pPr>
                <w:r>
                  <w:rPr>
                    <w:b/>
                    <w:bCs/>
                  </w:rPr>
                  <w:t>Lietuvos Respublikos</w:t>
                </w:r>
                <w:r>
                  <w:t xml:space="preserve"> </w:t>
                </w:r>
                <w:r>
                  <w:rPr>
                    <w:b/>
                    <w:bCs/>
                  </w:rPr>
                  <w:t>švietimo ir mokslo ministerija</w:t>
                </w:r>
              </w:p>
            </w:tc>
            <w:tc>
              <w:tcPr>
                <w:tcW w:w="4840" w:type="dxa"/>
                <w:tcBorders>
                  <w:top w:val="nil"/>
                  <w:left w:val="nil"/>
                  <w:bottom w:val="nil"/>
                  <w:right w:val="nil"/>
                </w:tcBorders>
                <w:shd w:val="clear" w:color="auto" w:fill="auto"/>
                <w:vAlign w:val="center"/>
                <w:hideMark/>
              </w:tcPr>
              <w:p/>
            </w:tc>
            <w:tc>
              <w:tcPr>
                <w:tcW w:w="1272" w:type="dxa"/>
                <w:tcBorders>
                  <w:top w:val="nil"/>
                  <w:left w:val="nil"/>
                  <w:bottom w:val="nil"/>
                  <w:right w:val="nil"/>
                </w:tcBorders>
                <w:shd w:val="clear" w:color="auto" w:fill="auto"/>
                <w:noWrap/>
                <w:vAlign w:val="bottom"/>
                <w:hideMark/>
              </w:tcPr>
              <w:p>
                <w:pPr>
                  <w:ind w:firstLine="60"/>
                  <w:jc w:val="right"/>
                  <w:rPr>
                    <w:b/>
                    <w:bCs/>
                  </w:rPr>
                </w:pPr>
                <w:r>
                  <w:rPr>
                    <w:b/>
                    <w:bCs/>
                  </w:rPr>
                  <w:t>594 219</w:t>
                </w:r>
              </w:p>
            </w:tc>
          </w:tr>
          <w:tr>
            <w:trPr>
              <w:trHeight w:val="315"/>
              <w:jc w:val="center"/>
            </w:trPr>
            <w:tc>
              <w:tcPr>
                <w:tcW w:w="2900" w:type="dxa"/>
                <w:tcBorders>
                  <w:top w:val="nil"/>
                  <w:left w:val="nil"/>
                  <w:bottom w:val="nil"/>
                  <w:right w:val="nil"/>
                </w:tcBorders>
                <w:shd w:val="clear" w:color="auto" w:fill="auto"/>
                <w:vAlign w:val="center"/>
                <w:hideMark/>
              </w:tcPr>
              <w:p>
                <w:pPr>
                  <w:rPr>
                    <w:b/>
                    <w:bCs/>
                  </w:rPr>
                </w:pPr>
              </w:p>
            </w:tc>
            <w:tc>
              <w:tcPr>
                <w:tcW w:w="4840" w:type="dxa"/>
                <w:tcBorders>
                  <w:top w:val="nil"/>
                  <w:left w:val="nil"/>
                  <w:bottom w:val="nil"/>
                  <w:right w:val="nil"/>
                </w:tcBorders>
                <w:shd w:val="clear" w:color="auto" w:fill="auto"/>
                <w:vAlign w:val="center"/>
                <w:hideMark/>
              </w:tcPr>
              <w:p>
                <w:r>
                  <w:t>iš jų:</w:t>
                </w:r>
              </w:p>
            </w:tc>
            <w:tc>
              <w:tcPr>
                <w:tcW w:w="1272" w:type="dxa"/>
                <w:tcBorders>
                  <w:top w:val="nil"/>
                  <w:left w:val="nil"/>
                  <w:bottom w:val="nil"/>
                  <w:right w:val="nil"/>
                </w:tcBorders>
                <w:shd w:val="clear" w:color="auto" w:fill="auto"/>
                <w:noWrap/>
                <w:vAlign w:val="bottom"/>
                <w:hideMark/>
              </w:tcPr>
              <w:p>
                <w:pPr>
                  <w:jc w:val="right"/>
                  <w:rPr>
                    <w:b/>
                    <w:bCs/>
                  </w:rPr>
                </w:pPr>
              </w:p>
            </w:tc>
          </w:tr>
          <w:tr>
            <w:trPr>
              <w:trHeight w:val="315"/>
              <w:jc w:val="center"/>
            </w:trPr>
            <w:tc>
              <w:tcPr>
                <w:tcW w:w="2900" w:type="dxa"/>
                <w:tcBorders>
                  <w:top w:val="nil"/>
                  <w:left w:val="nil"/>
                  <w:bottom w:val="nil"/>
                  <w:right w:val="nil"/>
                </w:tcBorders>
                <w:shd w:val="clear" w:color="auto" w:fill="auto"/>
                <w:vAlign w:val="center"/>
                <w:hideMark/>
              </w:tcPr>
              <w:p>
                <w:pPr>
                  <w:rPr>
                    <w:b/>
                    <w:bCs/>
                  </w:rPr>
                </w:pPr>
              </w:p>
            </w:tc>
            <w:tc>
              <w:tcPr>
                <w:tcW w:w="4840" w:type="dxa"/>
                <w:tcBorders>
                  <w:top w:val="nil"/>
                  <w:left w:val="nil"/>
                  <w:bottom w:val="nil"/>
                  <w:right w:val="nil"/>
                </w:tcBorders>
                <w:shd w:val="clear" w:color="auto" w:fill="auto"/>
                <w:vAlign w:val="center"/>
                <w:hideMark/>
              </w:tcPr>
              <w:p>
                <w:r>
                  <w:t>mokinio (klasės, grupės) krepšeliui finansuoti</w:t>
                </w:r>
              </w:p>
            </w:tc>
            <w:tc>
              <w:tcPr>
                <w:tcW w:w="1272" w:type="dxa"/>
                <w:tcBorders>
                  <w:top w:val="nil"/>
                  <w:left w:val="nil"/>
                  <w:bottom w:val="nil"/>
                  <w:right w:val="nil"/>
                </w:tcBorders>
                <w:shd w:val="clear" w:color="auto" w:fill="auto"/>
                <w:noWrap/>
                <w:vAlign w:val="bottom"/>
                <w:hideMark/>
              </w:tcPr>
              <w:p>
                <w:pPr>
                  <w:ind w:firstLine="60"/>
                  <w:jc w:val="right"/>
                </w:pPr>
                <w:r>
                  <w:t>576 786</w:t>
                </w:r>
              </w:p>
            </w:tc>
          </w:tr>
          <w:tr>
            <w:trPr>
              <w:trHeight w:val="1543"/>
              <w:jc w:val="center"/>
            </w:trPr>
            <w:tc>
              <w:tcPr>
                <w:tcW w:w="2900" w:type="dxa"/>
                <w:tcBorders>
                  <w:top w:val="nil"/>
                  <w:left w:val="nil"/>
                  <w:bottom w:val="single" w:sz="8" w:space="0" w:color="auto"/>
                  <w:right w:val="nil"/>
                </w:tcBorders>
                <w:shd w:val="clear" w:color="auto" w:fill="auto"/>
                <w:vAlign w:val="center"/>
                <w:hideMark/>
              </w:tcPr>
              <w:p>
                <w:pPr>
                  <w:ind w:firstLine="60"/>
                  <w:rPr>
                    <w:b/>
                    <w:bCs/>
                  </w:rPr>
                </w:pPr>
              </w:p>
            </w:tc>
            <w:tc>
              <w:tcPr>
                <w:tcW w:w="4840" w:type="dxa"/>
                <w:tcBorders>
                  <w:top w:val="nil"/>
                  <w:left w:val="nil"/>
                  <w:bottom w:val="single" w:sz="8" w:space="0" w:color="auto"/>
                  <w:right w:val="nil"/>
                </w:tcBorders>
                <w:shd w:val="clear" w:color="auto" w:fill="auto"/>
                <w:vAlign w:val="center"/>
                <w:hideMark/>
              </w:tcPr>
              <w:p>
                <w:r>
                  <w:t>savivaldybių mokykloms (klasėms arba grupėms), skirtoms šalies (regiono) mokiniams, turintiems specialiųjų ugdymosi poreikių, ir kitoms savivaldybėms perduotoms įstaigoms išlaikyti</w:t>
                </w:r>
              </w:p>
            </w:tc>
            <w:tc>
              <w:tcPr>
                <w:tcW w:w="1272" w:type="dxa"/>
                <w:tcBorders>
                  <w:top w:val="nil"/>
                  <w:left w:val="nil"/>
                  <w:bottom w:val="single" w:sz="8" w:space="0" w:color="auto"/>
                  <w:right w:val="nil"/>
                </w:tcBorders>
                <w:shd w:val="clear" w:color="auto" w:fill="auto"/>
                <w:noWrap/>
                <w:vAlign w:val="bottom"/>
                <w:hideMark/>
              </w:tcPr>
              <w:p>
                <w:pPr>
                  <w:ind w:firstLine="60"/>
                  <w:jc w:val="right"/>
                </w:pPr>
                <w:r>
                  <w:t>17 433</w:t>
                </w:r>
              </w:p>
            </w:tc>
          </w:tr>
          <w:tr>
            <w:trPr>
              <w:trHeight w:val="630"/>
              <w:jc w:val="center"/>
            </w:trPr>
            <w:tc>
              <w:tcPr>
                <w:tcW w:w="2900" w:type="dxa"/>
                <w:tcBorders>
                  <w:top w:val="nil"/>
                  <w:left w:val="nil"/>
                  <w:bottom w:val="nil"/>
                  <w:right w:val="nil"/>
                </w:tcBorders>
                <w:shd w:val="clear" w:color="auto" w:fill="auto"/>
                <w:vAlign w:val="center"/>
                <w:hideMark/>
              </w:tcPr>
              <w:p>
                <w:pPr>
                  <w:rPr>
                    <w:b/>
                    <w:bCs/>
                  </w:rPr>
                </w:pPr>
                <w:r>
                  <w:rPr>
                    <w:b/>
                    <w:bCs/>
                  </w:rPr>
                  <w:t>Priešgaisrinės apsaugos ir gelbėjimo departamentas prie Vidaus reikalų ministerijos</w:t>
                </w:r>
              </w:p>
            </w:tc>
            <w:tc>
              <w:tcPr>
                <w:tcW w:w="4840" w:type="dxa"/>
                <w:tcBorders>
                  <w:top w:val="nil"/>
                  <w:left w:val="nil"/>
                  <w:bottom w:val="nil"/>
                  <w:right w:val="nil"/>
                </w:tcBorders>
                <w:shd w:val="clear" w:color="auto" w:fill="auto"/>
                <w:vAlign w:val="center"/>
                <w:hideMark/>
              </w:tcPr>
              <w:p/>
            </w:tc>
            <w:tc>
              <w:tcPr>
                <w:tcW w:w="1272" w:type="dxa"/>
                <w:tcBorders>
                  <w:top w:val="nil"/>
                  <w:left w:val="nil"/>
                  <w:bottom w:val="nil"/>
                  <w:right w:val="nil"/>
                </w:tcBorders>
                <w:shd w:val="clear" w:color="auto" w:fill="auto"/>
                <w:vAlign w:val="bottom"/>
                <w:hideMark/>
              </w:tcPr>
              <w:p>
                <w:pPr>
                  <w:ind w:firstLine="60"/>
                  <w:jc w:val="right"/>
                  <w:rPr>
                    <w:b/>
                    <w:bCs/>
                  </w:rPr>
                </w:pPr>
                <w:r>
                  <w:rPr>
                    <w:b/>
                    <w:bCs/>
                  </w:rPr>
                  <w:t>20 480</w:t>
                </w:r>
              </w:p>
            </w:tc>
          </w:tr>
          <w:tr>
            <w:trPr>
              <w:trHeight w:val="315"/>
              <w:jc w:val="center"/>
            </w:trPr>
            <w:tc>
              <w:tcPr>
                <w:tcW w:w="2900" w:type="dxa"/>
                <w:tcBorders>
                  <w:top w:val="nil"/>
                  <w:left w:val="nil"/>
                  <w:bottom w:val="nil"/>
                  <w:right w:val="nil"/>
                </w:tcBorders>
                <w:shd w:val="clear" w:color="auto" w:fill="auto"/>
                <w:vAlign w:val="center"/>
                <w:hideMark/>
              </w:tcPr>
              <w:p/>
            </w:tc>
            <w:tc>
              <w:tcPr>
                <w:tcW w:w="4840" w:type="dxa"/>
                <w:tcBorders>
                  <w:top w:val="nil"/>
                  <w:left w:val="nil"/>
                  <w:bottom w:val="nil"/>
                  <w:right w:val="nil"/>
                </w:tcBorders>
                <w:shd w:val="clear" w:color="auto" w:fill="auto"/>
                <w:vAlign w:val="center"/>
                <w:hideMark/>
              </w:tcPr>
              <w:p>
                <w:r>
                  <w:t>iš jų:</w:t>
                </w:r>
              </w:p>
            </w:tc>
            <w:tc>
              <w:tcPr>
                <w:tcW w:w="1272" w:type="dxa"/>
                <w:tcBorders>
                  <w:top w:val="nil"/>
                  <w:left w:val="nil"/>
                  <w:bottom w:val="nil"/>
                  <w:right w:val="nil"/>
                </w:tcBorders>
                <w:shd w:val="clear" w:color="auto" w:fill="auto"/>
                <w:noWrap/>
                <w:vAlign w:val="bottom"/>
                <w:hideMark/>
              </w:tcPr>
              <w:p>
                <w:pPr>
                  <w:jc w:val="right"/>
                </w:pPr>
              </w:p>
            </w:tc>
          </w:tr>
          <w:tr>
            <w:trPr>
              <w:trHeight w:val="315"/>
              <w:jc w:val="center"/>
            </w:trPr>
            <w:tc>
              <w:tcPr>
                <w:tcW w:w="2900" w:type="dxa"/>
                <w:tcBorders>
                  <w:top w:val="nil"/>
                  <w:left w:val="nil"/>
                  <w:bottom w:val="nil"/>
                  <w:right w:val="nil"/>
                </w:tcBorders>
                <w:shd w:val="clear" w:color="auto" w:fill="auto"/>
                <w:noWrap/>
                <w:vAlign w:val="center"/>
                <w:hideMark/>
              </w:tcPr>
              <w:p/>
            </w:tc>
            <w:tc>
              <w:tcPr>
                <w:tcW w:w="4840" w:type="dxa"/>
                <w:tcBorders>
                  <w:top w:val="nil"/>
                  <w:left w:val="nil"/>
                  <w:bottom w:val="nil"/>
                  <w:right w:val="nil"/>
                </w:tcBorders>
                <w:shd w:val="clear" w:color="auto" w:fill="auto"/>
                <w:vAlign w:val="center"/>
                <w:hideMark/>
              </w:tcPr>
              <w:p>
                <w:r>
                  <w:t>civilinei saugai</w:t>
                </w:r>
              </w:p>
            </w:tc>
            <w:tc>
              <w:tcPr>
                <w:tcW w:w="1272" w:type="dxa"/>
                <w:tcBorders>
                  <w:top w:val="nil"/>
                  <w:left w:val="nil"/>
                  <w:bottom w:val="nil"/>
                  <w:right w:val="nil"/>
                </w:tcBorders>
                <w:shd w:val="clear" w:color="auto" w:fill="auto"/>
                <w:noWrap/>
                <w:vAlign w:val="bottom"/>
                <w:hideMark/>
              </w:tcPr>
              <w:p>
                <w:pPr>
                  <w:ind w:firstLine="60"/>
                  <w:jc w:val="right"/>
                </w:pPr>
                <w:r>
                  <w:t>1 360</w:t>
                </w:r>
              </w:p>
            </w:tc>
          </w:tr>
          <w:tr>
            <w:trPr>
              <w:trHeight w:val="330"/>
              <w:jc w:val="center"/>
            </w:trPr>
            <w:tc>
              <w:tcPr>
                <w:tcW w:w="2900" w:type="dxa"/>
                <w:tcBorders>
                  <w:top w:val="nil"/>
                  <w:left w:val="nil"/>
                  <w:bottom w:val="single" w:sz="8" w:space="0" w:color="auto"/>
                  <w:right w:val="nil"/>
                </w:tcBorders>
                <w:shd w:val="clear" w:color="auto" w:fill="auto"/>
                <w:noWrap/>
                <w:vAlign w:val="center"/>
                <w:hideMark/>
              </w:tcPr>
              <w:p>
                <w:pPr>
                  <w:ind w:firstLine="60"/>
                </w:pPr>
              </w:p>
            </w:tc>
            <w:tc>
              <w:tcPr>
                <w:tcW w:w="4840" w:type="dxa"/>
                <w:tcBorders>
                  <w:top w:val="nil"/>
                  <w:left w:val="nil"/>
                  <w:bottom w:val="single" w:sz="8" w:space="0" w:color="auto"/>
                  <w:right w:val="nil"/>
                </w:tcBorders>
                <w:shd w:val="clear" w:color="auto" w:fill="auto"/>
                <w:vAlign w:val="center"/>
                <w:hideMark/>
              </w:tcPr>
              <w:p>
                <w:r>
                  <w:t>priešgaisrinei saugai</w:t>
                </w:r>
              </w:p>
            </w:tc>
            <w:tc>
              <w:tcPr>
                <w:tcW w:w="1272" w:type="dxa"/>
                <w:tcBorders>
                  <w:top w:val="nil"/>
                  <w:left w:val="nil"/>
                  <w:bottom w:val="single" w:sz="8" w:space="0" w:color="auto"/>
                  <w:right w:val="nil"/>
                </w:tcBorders>
                <w:shd w:val="clear" w:color="auto" w:fill="auto"/>
                <w:noWrap/>
                <w:vAlign w:val="bottom"/>
                <w:hideMark/>
              </w:tcPr>
              <w:p>
                <w:pPr>
                  <w:ind w:firstLine="60"/>
                  <w:jc w:val="right"/>
                </w:pPr>
                <w:r>
                  <w:t>19 120</w:t>
                </w:r>
              </w:p>
            </w:tc>
          </w:tr>
          <w:tr>
            <w:trPr>
              <w:trHeight w:val="630"/>
              <w:jc w:val="center"/>
            </w:trPr>
            <w:tc>
              <w:tcPr>
                <w:tcW w:w="2900" w:type="dxa"/>
                <w:tcBorders>
                  <w:top w:val="nil"/>
                  <w:left w:val="nil"/>
                  <w:bottom w:val="nil"/>
                  <w:right w:val="nil"/>
                </w:tcBorders>
                <w:shd w:val="clear" w:color="auto" w:fill="auto"/>
                <w:vAlign w:val="center"/>
                <w:hideMark/>
              </w:tcPr>
              <w:p>
                <w:pPr>
                  <w:keepNext/>
                  <w:keepLines/>
                  <w:rPr>
                    <w:b/>
                    <w:bCs/>
                  </w:rPr>
                </w:pPr>
                <w:r>
                  <w:rPr>
                    <w:b/>
                    <w:bCs/>
                  </w:rPr>
                  <w:t>Lietuvos Respublikos</w:t>
                </w:r>
                <w:r>
                  <w:t xml:space="preserve"> </w:t>
                </w:r>
                <w:r>
                  <w:rPr>
                    <w:b/>
                    <w:bCs/>
                  </w:rPr>
                  <w:t>žemės ūkio ministerija</w:t>
                </w:r>
              </w:p>
            </w:tc>
            <w:tc>
              <w:tcPr>
                <w:tcW w:w="4840" w:type="dxa"/>
                <w:tcBorders>
                  <w:top w:val="nil"/>
                  <w:left w:val="nil"/>
                  <w:bottom w:val="nil"/>
                  <w:right w:val="nil"/>
                </w:tcBorders>
                <w:shd w:val="clear" w:color="auto" w:fill="auto"/>
                <w:vAlign w:val="center"/>
                <w:hideMark/>
              </w:tcPr>
              <w:p>
                <w:pPr>
                  <w:keepNext/>
                  <w:keepLines/>
                </w:pPr>
              </w:p>
            </w:tc>
            <w:tc>
              <w:tcPr>
                <w:tcW w:w="1272" w:type="dxa"/>
                <w:tcBorders>
                  <w:top w:val="nil"/>
                  <w:left w:val="nil"/>
                  <w:bottom w:val="nil"/>
                  <w:right w:val="nil"/>
                </w:tcBorders>
                <w:shd w:val="clear" w:color="auto" w:fill="auto"/>
                <w:noWrap/>
                <w:vAlign w:val="bottom"/>
                <w:hideMark/>
              </w:tcPr>
              <w:p>
                <w:pPr>
                  <w:keepNext/>
                  <w:keepLines/>
                  <w:ind w:firstLine="60"/>
                  <w:jc w:val="right"/>
                  <w:rPr>
                    <w:b/>
                    <w:bCs/>
                  </w:rPr>
                </w:pPr>
                <w:r>
                  <w:rPr>
                    <w:b/>
                    <w:bCs/>
                  </w:rPr>
                  <w:t>18 559</w:t>
                </w:r>
              </w:p>
            </w:tc>
          </w:tr>
          <w:tr>
            <w:trPr>
              <w:trHeight w:val="315"/>
              <w:jc w:val="center"/>
            </w:trPr>
            <w:tc>
              <w:tcPr>
                <w:tcW w:w="2900" w:type="dxa"/>
                <w:tcBorders>
                  <w:top w:val="nil"/>
                  <w:left w:val="nil"/>
                  <w:bottom w:val="nil"/>
                  <w:right w:val="nil"/>
                </w:tcBorders>
                <w:shd w:val="clear" w:color="auto" w:fill="auto"/>
                <w:vAlign w:val="center"/>
                <w:hideMark/>
              </w:tcPr>
              <w:p>
                <w:pPr>
                  <w:keepNext/>
                  <w:keepLines/>
                </w:pPr>
              </w:p>
            </w:tc>
            <w:tc>
              <w:tcPr>
                <w:tcW w:w="4840" w:type="dxa"/>
                <w:tcBorders>
                  <w:top w:val="nil"/>
                  <w:left w:val="nil"/>
                  <w:bottom w:val="nil"/>
                  <w:right w:val="nil"/>
                </w:tcBorders>
                <w:shd w:val="clear" w:color="auto" w:fill="auto"/>
                <w:vAlign w:val="center"/>
                <w:hideMark/>
              </w:tcPr>
              <w:p>
                <w:pPr>
                  <w:keepNext/>
                  <w:keepLines/>
                </w:pPr>
                <w:r>
                  <w:t>iš jų:</w:t>
                </w:r>
              </w:p>
            </w:tc>
            <w:tc>
              <w:tcPr>
                <w:tcW w:w="1272" w:type="dxa"/>
                <w:tcBorders>
                  <w:top w:val="nil"/>
                  <w:left w:val="nil"/>
                  <w:bottom w:val="nil"/>
                  <w:right w:val="nil"/>
                </w:tcBorders>
                <w:shd w:val="clear" w:color="auto" w:fill="auto"/>
                <w:noWrap/>
                <w:vAlign w:val="bottom"/>
                <w:hideMark/>
              </w:tcPr>
              <w:p>
                <w:pPr>
                  <w:keepNext/>
                  <w:keepLines/>
                  <w:jc w:val="right"/>
                </w:pPr>
              </w:p>
            </w:tc>
          </w:tr>
          <w:tr>
            <w:trPr>
              <w:trHeight w:val="945"/>
              <w:jc w:val="center"/>
            </w:trPr>
            <w:tc>
              <w:tcPr>
                <w:tcW w:w="2900" w:type="dxa"/>
                <w:tcBorders>
                  <w:top w:val="nil"/>
                  <w:left w:val="nil"/>
                  <w:bottom w:val="nil"/>
                  <w:right w:val="nil"/>
                </w:tcBorders>
                <w:shd w:val="clear" w:color="auto" w:fill="auto"/>
                <w:vAlign w:val="center"/>
                <w:hideMark/>
              </w:tcPr>
              <w:p/>
            </w:tc>
            <w:tc>
              <w:tcPr>
                <w:tcW w:w="4840" w:type="dxa"/>
                <w:tcBorders>
                  <w:top w:val="nil"/>
                  <w:left w:val="nil"/>
                  <w:bottom w:val="nil"/>
                  <w:right w:val="nil"/>
                </w:tcBorders>
                <w:shd w:val="clear" w:color="auto" w:fill="auto"/>
                <w:vAlign w:val="center"/>
                <w:hideMark/>
              </w:tcPr>
              <w:p>
                <w:r>
                  <w:t>savivaldybėms priskirtai valstybinei žemei ir kitam valstybės turtui valdyti, naudoti ir disponuoti juo patikėjimo teise</w:t>
                </w:r>
              </w:p>
            </w:tc>
            <w:tc>
              <w:tcPr>
                <w:tcW w:w="1272" w:type="dxa"/>
                <w:tcBorders>
                  <w:top w:val="nil"/>
                  <w:left w:val="nil"/>
                  <w:bottom w:val="nil"/>
                  <w:right w:val="nil"/>
                </w:tcBorders>
                <w:shd w:val="clear" w:color="auto" w:fill="auto"/>
                <w:noWrap/>
                <w:vAlign w:val="bottom"/>
                <w:hideMark/>
              </w:tcPr>
              <w:p>
                <w:pPr>
                  <w:ind w:firstLine="120"/>
                  <w:jc w:val="right"/>
                </w:pPr>
                <w:r>
                  <w:t>71</w:t>
                </w:r>
              </w:p>
            </w:tc>
          </w:tr>
          <w:tr>
            <w:trPr>
              <w:trHeight w:val="315"/>
              <w:jc w:val="center"/>
            </w:trPr>
            <w:tc>
              <w:tcPr>
                <w:tcW w:w="2900" w:type="dxa"/>
                <w:tcBorders>
                  <w:top w:val="nil"/>
                  <w:left w:val="nil"/>
                  <w:bottom w:val="nil"/>
                  <w:right w:val="nil"/>
                </w:tcBorders>
                <w:shd w:val="clear" w:color="auto" w:fill="auto"/>
                <w:vAlign w:val="center"/>
                <w:hideMark/>
              </w:tcPr>
              <w:p/>
            </w:tc>
            <w:tc>
              <w:tcPr>
                <w:tcW w:w="4840" w:type="dxa"/>
                <w:tcBorders>
                  <w:top w:val="nil"/>
                  <w:left w:val="nil"/>
                  <w:bottom w:val="nil"/>
                  <w:right w:val="nil"/>
                </w:tcBorders>
                <w:shd w:val="clear" w:color="auto" w:fill="auto"/>
                <w:vAlign w:val="center"/>
                <w:hideMark/>
              </w:tcPr>
              <w:p>
                <w:r>
                  <w:t>žemės ūkio funkcijoms atlikti</w:t>
                </w:r>
              </w:p>
            </w:tc>
            <w:tc>
              <w:tcPr>
                <w:tcW w:w="1272" w:type="dxa"/>
                <w:tcBorders>
                  <w:top w:val="nil"/>
                  <w:left w:val="nil"/>
                  <w:bottom w:val="nil"/>
                  <w:right w:val="nil"/>
                </w:tcBorders>
                <w:shd w:val="clear" w:color="auto" w:fill="auto"/>
                <w:noWrap/>
                <w:vAlign w:val="bottom"/>
                <w:hideMark/>
              </w:tcPr>
              <w:p>
                <w:pPr>
                  <w:ind w:firstLine="60"/>
                  <w:jc w:val="right"/>
                </w:pPr>
                <w:r>
                  <w:t>8 017</w:t>
                </w:r>
              </w:p>
            </w:tc>
          </w:tr>
          <w:tr>
            <w:trPr>
              <w:trHeight w:val="330"/>
              <w:jc w:val="center"/>
            </w:trPr>
            <w:tc>
              <w:tcPr>
                <w:tcW w:w="2900" w:type="dxa"/>
                <w:tcBorders>
                  <w:top w:val="nil"/>
                  <w:left w:val="nil"/>
                  <w:bottom w:val="nil"/>
                  <w:right w:val="nil"/>
                </w:tcBorders>
                <w:shd w:val="clear" w:color="auto" w:fill="auto"/>
                <w:vAlign w:val="center"/>
                <w:hideMark/>
              </w:tcPr>
              <w:p/>
            </w:tc>
            <w:tc>
              <w:tcPr>
                <w:tcW w:w="4840" w:type="dxa"/>
                <w:tcBorders>
                  <w:top w:val="nil"/>
                  <w:left w:val="nil"/>
                  <w:bottom w:val="nil"/>
                  <w:right w:val="nil"/>
                </w:tcBorders>
                <w:shd w:val="clear" w:color="auto" w:fill="auto"/>
                <w:vAlign w:val="center"/>
                <w:hideMark/>
              </w:tcPr>
              <w:p>
                <w:r>
                  <w:t>melioracijai</w:t>
                </w:r>
              </w:p>
            </w:tc>
            <w:tc>
              <w:tcPr>
                <w:tcW w:w="1272" w:type="dxa"/>
                <w:tcBorders>
                  <w:top w:val="nil"/>
                  <w:left w:val="nil"/>
                  <w:bottom w:val="nil"/>
                  <w:right w:val="nil"/>
                </w:tcBorders>
                <w:shd w:val="clear" w:color="auto" w:fill="auto"/>
                <w:noWrap/>
                <w:vAlign w:val="bottom"/>
                <w:hideMark/>
              </w:tcPr>
              <w:p>
                <w:pPr>
                  <w:ind w:firstLine="60"/>
                  <w:jc w:val="right"/>
                </w:pPr>
                <w:r>
                  <w:t>10 471</w:t>
                </w:r>
              </w:p>
            </w:tc>
          </w:tr>
          <w:tr>
            <w:trPr>
              <w:trHeight w:val="645"/>
              <w:jc w:val="center"/>
            </w:trPr>
            <w:tc>
              <w:tcPr>
                <w:tcW w:w="2900" w:type="dxa"/>
                <w:tcBorders>
                  <w:top w:val="single" w:sz="8" w:space="0" w:color="auto"/>
                  <w:left w:val="nil"/>
                  <w:bottom w:val="nil"/>
                  <w:right w:val="nil"/>
                </w:tcBorders>
                <w:shd w:val="clear" w:color="auto" w:fill="auto"/>
                <w:vAlign w:val="center"/>
                <w:hideMark/>
              </w:tcPr>
              <w:p>
                <w:pPr>
                  <w:rPr>
                    <w:b/>
                    <w:bCs/>
                  </w:rPr>
                </w:pPr>
                <w:r>
                  <w:rPr>
                    <w:b/>
                    <w:bCs/>
                  </w:rPr>
                  <w:t>Lietuvos vyriausiojo archyvaro tarnyba</w:t>
                </w:r>
              </w:p>
            </w:tc>
            <w:tc>
              <w:tcPr>
                <w:tcW w:w="4840" w:type="dxa"/>
                <w:tcBorders>
                  <w:top w:val="single" w:sz="8" w:space="0" w:color="auto"/>
                  <w:left w:val="nil"/>
                  <w:bottom w:val="nil"/>
                  <w:right w:val="nil"/>
                </w:tcBorders>
                <w:shd w:val="clear" w:color="auto" w:fill="auto"/>
                <w:vAlign w:val="center"/>
                <w:hideMark/>
              </w:tcPr>
              <w:p>
                <w:r>
                  <w:t>savivaldybėms priskirtiems archyviniams dokumentams tvarkyti</w:t>
                </w:r>
              </w:p>
            </w:tc>
            <w:tc>
              <w:tcPr>
                <w:tcW w:w="1272" w:type="dxa"/>
                <w:tcBorders>
                  <w:top w:val="single" w:sz="8" w:space="0" w:color="auto"/>
                  <w:left w:val="nil"/>
                  <w:bottom w:val="nil"/>
                  <w:right w:val="nil"/>
                </w:tcBorders>
                <w:shd w:val="clear" w:color="auto" w:fill="auto"/>
                <w:noWrap/>
                <w:vAlign w:val="bottom"/>
                <w:hideMark/>
              </w:tcPr>
              <w:p>
                <w:pPr>
                  <w:ind w:firstLine="60"/>
                  <w:jc w:val="right"/>
                  <w:rPr>
                    <w:b/>
                    <w:bCs/>
                  </w:rPr>
                </w:pPr>
                <w:r>
                  <w:rPr>
                    <w:b/>
                    <w:bCs/>
                  </w:rPr>
                  <w:t>1 425</w:t>
                </w:r>
              </w:p>
            </w:tc>
          </w:tr>
          <w:tr>
            <w:trPr>
              <w:trHeight w:val="315"/>
              <w:jc w:val="center"/>
            </w:trPr>
            <w:tc>
              <w:tcPr>
                <w:tcW w:w="2900" w:type="dxa"/>
                <w:tcBorders>
                  <w:top w:val="single" w:sz="8" w:space="0" w:color="auto"/>
                  <w:left w:val="nil"/>
                  <w:bottom w:val="nil"/>
                  <w:right w:val="nil"/>
                </w:tcBorders>
                <w:shd w:val="clear" w:color="auto" w:fill="auto"/>
                <w:noWrap/>
                <w:vAlign w:val="center"/>
                <w:hideMark/>
              </w:tcPr>
              <w:p>
                <w:pPr>
                  <w:rPr>
                    <w:b/>
                    <w:bCs/>
                  </w:rPr>
                </w:pPr>
                <w:r>
                  <w:rPr>
                    <w:b/>
                    <w:bCs/>
                  </w:rPr>
                  <w:t>IŠ VISO</w:t>
                </w:r>
              </w:p>
            </w:tc>
            <w:tc>
              <w:tcPr>
                <w:tcW w:w="4840" w:type="dxa"/>
                <w:tcBorders>
                  <w:top w:val="single" w:sz="8" w:space="0" w:color="auto"/>
                  <w:left w:val="nil"/>
                  <w:bottom w:val="nil"/>
                  <w:right w:val="nil"/>
                </w:tcBorders>
                <w:shd w:val="clear" w:color="auto" w:fill="auto"/>
                <w:vAlign w:val="center"/>
                <w:hideMark/>
              </w:tcPr>
              <w:p>
                <w:pPr>
                  <w:ind w:firstLine="60"/>
                </w:pPr>
              </w:p>
            </w:tc>
            <w:tc>
              <w:tcPr>
                <w:tcW w:w="1272" w:type="dxa"/>
                <w:tcBorders>
                  <w:top w:val="single" w:sz="8" w:space="0" w:color="auto"/>
                  <w:left w:val="nil"/>
                  <w:bottom w:val="nil"/>
                  <w:right w:val="nil"/>
                </w:tcBorders>
                <w:shd w:val="clear" w:color="auto" w:fill="auto"/>
                <w:noWrap/>
                <w:vAlign w:val="bottom"/>
                <w:hideMark/>
              </w:tcPr>
              <w:p>
                <w:pPr>
                  <w:ind w:firstLine="180"/>
                  <w:jc w:val="right"/>
                  <w:rPr>
                    <w:b/>
                    <w:bCs/>
                  </w:rPr>
                </w:pPr>
                <w:r>
                  <w:rPr>
                    <w:b/>
                    <w:bCs/>
                  </w:rPr>
                  <w:t>740 364</w:t>
                </w:r>
              </w:p>
            </w:tc>
          </w:tr>
        </w:tbl>
        <w:p/>
        <w:p/>
        <w:p>
          <w:pPr>
            <w:sectPr>
              <w:pgSz w:w="11906" w:h="16838" w:code="9"/>
              <w:pgMar w:top="1134" w:right="1134" w:bottom="1134" w:left="1701" w:header="567" w:footer="567" w:gutter="0"/>
              <w:pgNumType w:start="1"/>
              <w:cols w:space="1296"/>
              <w:titlePg/>
              <w:docGrid w:linePitch="360"/>
            </w:sectPr>
          </w:pPr>
        </w:p>
        <w:p>
          <w:pPr>
            <w:tabs>
              <w:tab w:val="center" w:pos="4153"/>
              <w:tab w:val="right" w:pos="8306"/>
            </w:tabs>
            <w:rPr>
              <w:rFonts w:ascii="TimesLT" w:hAnsi="TimesLT"/>
              <w:lang w:val="en-US"/>
            </w:rPr>
          </w:pPr>
        </w:p>
      </w:sdtContent>
    </w:sdt>
    <w:sdt>
      <w:sdtPr>
        <w:alias w:val="5 pr."/>
        <w:tag w:val="part_cba139bdc8884628b95fb2068d14cd94"/>
        <w:lock w:val="sdtLocked"/>
        <w:richText/>
      </w:sdtPr>
      <w:sdtContent>
        <w:p>
          <w:pPr>
            <w:ind w:firstLine="5670"/>
          </w:pPr>
          <w:r>
            <w:t>Lietuvos Respublikos</w:t>
          </w:r>
        </w:p>
        <w:p>
          <w:pPr>
            <w:ind w:firstLine="5670"/>
          </w:pPr>
          <w:r>
            <w:t>2016 metų valstybės biudžeto ir</w:t>
          </w:r>
        </w:p>
        <w:p>
          <w:pPr>
            <w:ind w:firstLine="5670"/>
          </w:pPr>
          <w:r>
            <w:t>savivaldybių biudžetų finansinių</w:t>
          </w:r>
        </w:p>
        <w:p>
          <w:pPr>
            <w:ind w:firstLine="5670"/>
          </w:pPr>
          <w:r>
            <w:t>rodiklių patvirtinimo įstatymo</w:t>
          </w:r>
        </w:p>
        <w:p>
          <w:pPr>
            <w:ind w:firstLine="5670"/>
          </w:pPr>
          <w:sdt>
            <w:sdtPr>
              <w:alias w:val="Numeris"/>
              <w:tag w:val="nr_cba139bdc8884628b95fb2068d14cd94"/>
              <w:lock w:val="sdtLocked"/>
              <w:richText/>
            </w:sdtPr>
            <w:sdtContent>
              <w:r>
                <w:t>5</w:t>
              </w:r>
            </w:sdtContent>
          </w:sdt>
          <w:r>
            <w:t xml:space="preserve"> priedas</w:t>
          </w:r>
        </w:p>
        <w:p/>
        <w:sdt>
          <w:sdtPr>
            <w:alias w:val="Pavadinimas"/>
            <w:tag w:val="title_cba139bdc8884628b95fb2068d14cd94"/>
            <w:lock w:val="sdtLocked"/>
            <w:richText/>
          </w:sdtPr>
          <w:sdtContent>
            <w:p>
              <w:pPr>
                <w:jc w:val="center"/>
                <w:rPr>
                  <w:b/>
                </w:rPr>
              </w:pPr>
              <w:r>
                <w:rPr>
                  <w:b/>
                </w:rPr>
                <w:t>LIETUVOS RESPUBLIKOS</w:t>
              </w:r>
            </w:p>
            <w:p>
              <w:pPr>
                <w:jc w:val="center"/>
                <w:rPr>
                  <w:b/>
                </w:rPr>
              </w:pPr>
              <w:r>
                <w:rPr>
                  <w:b/>
                </w:rPr>
                <w:t>2016 METŲ PROGNOZUOJAMOS VALSTYBĖS BIUDŽETO SPECIALIOS TIKSLINĖS DOTACIJOS SAVIVALDYBIŲ BIUDŽETAMS</w:t>
              </w:r>
            </w:p>
          </w:sdtContent>
        </w:sdt>
        <w:p/>
        <w:tbl>
          <w:tblPr>
            <w:tblW w:w="9160" w:type="dxa"/>
            <w:jc w:val="center"/>
            <w:tblInd w:w="93" w:type="dxa"/>
            <w:tblLook w:val="04A0" w:firstRow="1" w:lastRow="0" w:firstColumn="1" w:lastColumn="0" w:noHBand="0" w:noVBand="1"/>
          </w:tblPr>
          <w:tblGrid>
            <w:gridCol w:w="2980"/>
            <w:gridCol w:w="4840"/>
            <w:gridCol w:w="1340"/>
          </w:tblGrid>
          <w:tr>
            <w:trPr>
              <w:trHeight w:val="330"/>
              <w:tblHeader/>
              <w:jc w:val="center"/>
            </w:trPr>
            <w:tc>
              <w:tcPr>
                <w:tcW w:w="2980" w:type="dxa"/>
                <w:tcBorders>
                  <w:top w:val="nil"/>
                  <w:left w:val="nil"/>
                  <w:bottom w:val="nil"/>
                  <w:right w:val="nil"/>
                </w:tcBorders>
                <w:shd w:val="clear" w:color="auto" w:fill="auto"/>
                <w:noWrap/>
                <w:vAlign w:val="bottom"/>
                <w:hideMark/>
              </w:tcPr>
              <w:p/>
            </w:tc>
            <w:tc>
              <w:tcPr>
                <w:tcW w:w="4840" w:type="dxa"/>
                <w:tcBorders>
                  <w:top w:val="nil"/>
                  <w:left w:val="nil"/>
                  <w:bottom w:val="nil"/>
                  <w:right w:val="nil"/>
                </w:tcBorders>
                <w:shd w:val="clear" w:color="auto" w:fill="auto"/>
                <w:noWrap/>
                <w:vAlign w:val="bottom"/>
                <w:hideMark/>
              </w:tcPr>
              <w:p/>
            </w:tc>
            <w:tc>
              <w:tcPr>
                <w:tcW w:w="1340" w:type="dxa"/>
                <w:tcBorders>
                  <w:top w:val="nil"/>
                  <w:left w:val="nil"/>
                  <w:bottom w:val="nil"/>
                  <w:right w:val="nil"/>
                </w:tcBorders>
                <w:shd w:val="clear" w:color="auto" w:fill="auto"/>
                <w:vAlign w:val="bottom"/>
                <w:hideMark/>
              </w:tcPr>
              <w:p>
                <w:pPr>
                  <w:jc w:val="right"/>
                </w:pPr>
                <w:r>
                  <w:t>Tūkst. Eur</w:t>
                </w:r>
              </w:p>
            </w:tc>
          </w:tr>
          <w:tr>
            <w:trPr>
              <w:trHeight w:val="645"/>
              <w:tblHeader/>
              <w:jc w:val="center"/>
            </w:trPr>
            <w:tc>
              <w:tcPr>
                <w:tcW w:w="2980" w:type="dxa"/>
                <w:tcBorders>
                  <w:top w:val="single" w:sz="8" w:space="0" w:color="auto"/>
                  <w:left w:val="single" w:sz="8" w:space="0" w:color="auto"/>
                  <w:bottom w:val="single" w:sz="8" w:space="0" w:color="auto"/>
                  <w:right w:val="single" w:sz="8" w:space="0" w:color="auto"/>
                </w:tcBorders>
                <w:shd w:val="clear" w:color="auto" w:fill="auto"/>
                <w:vAlign w:val="center"/>
                <w:hideMark/>
              </w:tcPr>
              <w:p>
                <w:pPr>
                  <w:jc w:val="center"/>
                </w:pPr>
                <w:r>
                  <w:t>Valstybės institucijos ir įstaigos pavadinimas</w:t>
                </w:r>
              </w:p>
            </w:tc>
            <w:tc>
              <w:tcPr>
                <w:tcW w:w="4840" w:type="dxa"/>
                <w:tcBorders>
                  <w:top w:val="single" w:sz="8" w:space="0" w:color="auto"/>
                  <w:left w:val="nil"/>
                  <w:bottom w:val="single" w:sz="8" w:space="0" w:color="auto"/>
                  <w:right w:val="single" w:sz="8" w:space="0" w:color="auto"/>
                </w:tcBorders>
                <w:shd w:val="clear" w:color="auto" w:fill="auto"/>
                <w:vAlign w:val="center"/>
                <w:hideMark/>
              </w:tcPr>
              <w:p>
                <w:pPr>
                  <w:jc w:val="center"/>
                </w:pPr>
                <w:r>
                  <w:t>Dotacijos paskirties pavadinimas</w:t>
                </w:r>
              </w:p>
            </w:tc>
            <w:tc>
              <w:tcPr>
                <w:tcW w:w="1340" w:type="dxa"/>
                <w:tcBorders>
                  <w:top w:val="single" w:sz="8" w:space="0" w:color="auto"/>
                  <w:left w:val="nil"/>
                  <w:bottom w:val="single" w:sz="8" w:space="0" w:color="auto"/>
                  <w:right w:val="single" w:sz="8" w:space="0" w:color="auto"/>
                </w:tcBorders>
                <w:shd w:val="clear" w:color="auto" w:fill="auto"/>
                <w:vAlign w:val="center"/>
                <w:hideMark/>
              </w:tcPr>
              <w:p>
                <w:pPr>
                  <w:jc w:val="center"/>
                </w:pPr>
                <w:r>
                  <w:t>Iš viso</w:t>
                </w:r>
              </w:p>
            </w:tc>
          </w:tr>
          <w:tr>
            <w:trPr>
              <w:trHeight w:val="630"/>
              <w:jc w:val="center"/>
            </w:trPr>
            <w:tc>
              <w:tcPr>
                <w:tcW w:w="2980" w:type="dxa"/>
                <w:tcBorders>
                  <w:top w:val="nil"/>
                  <w:left w:val="nil"/>
                  <w:bottom w:val="nil"/>
                  <w:right w:val="nil"/>
                </w:tcBorders>
                <w:shd w:val="clear" w:color="auto" w:fill="auto"/>
                <w:vAlign w:val="bottom"/>
                <w:hideMark/>
              </w:tcPr>
              <w:p>
                <w:pPr>
                  <w:rPr>
                    <w:b/>
                    <w:bCs/>
                  </w:rPr>
                </w:pPr>
                <w:r>
                  <w:rPr>
                    <w:b/>
                    <w:bCs/>
                  </w:rPr>
                  <w:t>Lietuvos Respublikos</w:t>
                </w:r>
                <w:r>
                  <w:t xml:space="preserve"> </w:t>
                </w:r>
                <w:r>
                  <w:rPr>
                    <w:b/>
                    <w:bCs/>
                  </w:rPr>
                  <w:t xml:space="preserve">aplinkos ministerija </w:t>
                </w:r>
              </w:p>
            </w:tc>
            <w:tc>
              <w:tcPr>
                <w:tcW w:w="4840" w:type="dxa"/>
                <w:tcBorders>
                  <w:top w:val="nil"/>
                  <w:left w:val="nil"/>
                  <w:bottom w:val="nil"/>
                  <w:right w:val="nil"/>
                </w:tcBorders>
                <w:shd w:val="clear" w:color="auto" w:fill="auto"/>
                <w:vAlign w:val="bottom"/>
                <w:hideMark/>
              </w:tcPr>
              <w:p/>
            </w:tc>
            <w:tc>
              <w:tcPr>
                <w:tcW w:w="1340" w:type="dxa"/>
                <w:tcBorders>
                  <w:top w:val="nil"/>
                  <w:left w:val="nil"/>
                  <w:bottom w:val="nil"/>
                  <w:right w:val="nil"/>
                </w:tcBorders>
                <w:shd w:val="clear" w:color="auto" w:fill="auto"/>
                <w:vAlign w:val="bottom"/>
                <w:hideMark/>
              </w:tcPr>
              <w:p>
                <w:pPr>
                  <w:ind w:firstLine="60"/>
                  <w:jc w:val="right"/>
                  <w:rPr>
                    <w:b/>
                    <w:bCs/>
                  </w:rPr>
                </w:pPr>
                <w:r>
                  <w:rPr>
                    <w:b/>
                    <w:bCs/>
                  </w:rPr>
                  <w:t>3 315</w:t>
                </w:r>
              </w:p>
            </w:tc>
          </w:tr>
          <w:tr>
            <w:trPr>
              <w:trHeight w:val="315"/>
              <w:jc w:val="center"/>
            </w:trPr>
            <w:tc>
              <w:tcPr>
                <w:tcW w:w="2980" w:type="dxa"/>
                <w:tcBorders>
                  <w:top w:val="nil"/>
                  <w:left w:val="nil"/>
                  <w:bottom w:val="nil"/>
                  <w:right w:val="nil"/>
                </w:tcBorders>
                <w:shd w:val="clear" w:color="auto" w:fill="auto"/>
                <w:vAlign w:val="bottom"/>
                <w:hideMark/>
              </w:tcPr>
              <w:p/>
            </w:tc>
            <w:tc>
              <w:tcPr>
                <w:tcW w:w="4840" w:type="dxa"/>
                <w:tcBorders>
                  <w:top w:val="nil"/>
                  <w:left w:val="nil"/>
                  <w:bottom w:val="nil"/>
                  <w:right w:val="nil"/>
                </w:tcBorders>
                <w:shd w:val="clear" w:color="auto" w:fill="auto"/>
                <w:vAlign w:val="bottom"/>
                <w:hideMark/>
              </w:tcPr>
              <w:p>
                <w:r>
                  <w:t>iš jų:</w:t>
                </w:r>
              </w:p>
            </w:tc>
            <w:tc>
              <w:tcPr>
                <w:tcW w:w="1340" w:type="dxa"/>
                <w:tcBorders>
                  <w:top w:val="nil"/>
                  <w:left w:val="nil"/>
                  <w:bottom w:val="nil"/>
                  <w:right w:val="nil"/>
                </w:tcBorders>
                <w:shd w:val="clear" w:color="auto" w:fill="auto"/>
                <w:vAlign w:val="bottom"/>
                <w:hideMark/>
              </w:tcPr>
              <w:p>
                <w:pPr>
                  <w:jc w:val="right"/>
                </w:pPr>
              </w:p>
            </w:tc>
          </w:tr>
          <w:tr>
            <w:trPr>
              <w:trHeight w:val="375"/>
              <w:jc w:val="center"/>
            </w:trPr>
            <w:tc>
              <w:tcPr>
                <w:tcW w:w="2980" w:type="dxa"/>
                <w:tcBorders>
                  <w:top w:val="nil"/>
                  <w:left w:val="nil"/>
                  <w:bottom w:val="nil"/>
                  <w:right w:val="nil"/>
                </w:tcBorders>
                <w:shd w:val="clear" w:color="auto" w:fill="auto"/>
                <w:vAlign w:val="bottom"/>
                <w:hideMark/>
              </w:tcPr>
              <w:p/>
            </w:tc>
            <w:tc>
              <w:tcPr>
                <w:tcW w:w="4840" w:type="dxa"/>
                <w:tcBorders>
                  <w:top w:val="nil"/>
                  <w:left w:val="nil"/>
                  <w:bottom w:val="nil"/>
                  <w:right w:val="nil"/>
                </w:tcBorders>
                <w:shd w:val="clear" w:color="auto" w:fill="auto"/>
                <w:vAlign w:val="bottom"/>
                <w:hideMark/>
              </w:tcPr>
              <w:p>
                <w:r>
                  <w:t xml:space="preserve">atliekų tvarkymo sistemos infrastruktūros plėtrai </w:t>
                </w:r>
              </w:p>
            </w:tc>
            <w:tc>
              <w:tcPr>
                <w:tcW w:w="1340" w:type="dxa"/>
                <w:tcBorders>
                  <w:top w:val="nil"/>
                  <w:left w:val="nil"/>
                  <w:bottom w:val="nil"/>
                  <w:right w:val="nil"/>
                </w:tcBorders>
                <w:shd w:val="clear" w:color="auto" w:fill="auto"/>
                <w:vAlign w:val="bottom"/>
                <w:hideMark/>
              </w:tcPr>
              <w:p>
                <w:pPr>
                  <w:ind w:firstLine="60"/>
                  <w:jc w:val="right"/>
                </w:pPr>
                <w:r>
                  <w:t>1 557</w:t>
                </w:r>
              </w:p>
            </w:tc>
          </w:tr>
          <w:tr>
            <w:trPr>
              <w:trHeight w:val="690"/>
              <w:jc w:val="center"/>
            </w:trPr>
            <w:tc>
              <w:tcPr>
                <w:tcW w:w="2980" w:type="dxa"/>
                <w:tcBorders>
                  <w:top w:val="nil"/>
                  <w:left w:val="nil"/>
                  <w:bottom w:val="nil"/>
                  <w:right w:val="nil"/>
                </w:tcBorders>
                <w:shd w:val="clear" w:color="auto" w:fill="auto"/>
                <w:vAlign w:val="bottom"/>
                <w:hideMark/>
              </w:tcPr>
              <w:p/>
            </w:tc>
            <w:tc>
              <w:tcPr>
                <w:tcW w:w="4840" w:type="dxa"/>
                <w:tcBorders>
                  <w:top w:val="nil"/>
                  <w:left w:val="nil"/>
                  <w:bottom w:val="nil"/>
                  <w:right w:val="nil"/>
                </w:tcBorders>
                <w:shd w:val="clear" w:color="auto" w:fill="auto"/>
                <w:vAlign w:val="bottom"/>
                <w:hideMark/>
              </w:tcPr>
              <w:p>
                <w:r>
                  <w:t>miestų miškų priežiūros, apsaugos ir tvarkymo darbams vykdyti</w:t>
                </w:r>
              </w:p>
            </w:tc>
            <w:tc>
              <w:tcPr>
                <w:tcW w:w="1340" w:type="dxa"/>
                <w:tcBorders>
                  <w:top w:val="nil"/>
                  <w:left w:val="nil"/>
                  <w:bottom w:val="nil"/>
                  <w:right w:val="nil"/>
                </w:tcBorders>
                <w:shd w:val="clear" w:color="auto" w:fill="auto"/>
                <w:vAlign w:val="bottom"/>
                <w:hideMark/>
              </w:tcPr>
              <w:p>
                <w:pPr>
                  <w:ind w:firstLine="120"/>
                  <w:jc w:val="right"/>
                </w:pPr>
                <w:r>
                  <w:t>100</w:t>
                </w:r>
              </w:p>
            </w:tc>
          </w:tr>
          <w:tr>
            <w:trPr>
              <w:trHeight w:val="976"/>
              <w:jc w:val="center"/>
            </w:trPr>
            <w:tc>
              <w:tcPr>
                <w:tcW w:w="2980" w:type="dxa"/>
                <w:tcBorders>
                  <w:top w:val="nil"/>
                  <w:left w:val="nil"/>
                  <w:bottom w:val="single" w:sz="8" w:space="0" w:color="auto"/>
                  <w:right w:val="nil"/>
                </w:tcBorders>
                <w:shd w:val="clear" w:color="auto" w:fill="auto"/>
                <w:vAlign w:val="bottom"/>
                <w:hideMark/>
              </w:tcPr>
              <w:p>
                <w:pPr>
                  <w:ind w:firstLine="60"/>
                </w:pPr>
              </w:p>
            </w:tc>
            <w:tc>
              <w:tcPr>
                <w:tcW w:w="4840" w:type="dxa"/>
                <w:tcBorders>
                  <w:top w:val="nil"/>
                  <w:left w:val="nil"/>
                  <w:bottom w:val="single" w:sz="8" w:space="0" w:color="auto"/>
                  <w:right w:val="nil"/>
                </w:tcBorders>
                <w:shd w:val="clear" w:color="auto" w:fill="auto"/>
                <w:vAlign w:val="bottom"/>
                <w:hideMark/>
              </w:tcPr>
              <w:p>
                <w:r>
                  <w:t>Valstybės investicijų 2016–2018 metų programoje numatytoms kapitalo investicijoms finansuoti</w:t>
                </w:r>
              </w:p>
            </w:tc>
            <w:tc>
              <w:tcPr>
                <w:tcW w:w="1340" w:type="dxa"/>
                <w:tcBorders>
                  <w:top w:val="nil"/>
                  <w:left w:val="nil"/>
                  <w:bottom w:val="single" w:sz="8" w:space="0" w:color="auto"/>
                  <w:right w:val="nil"/>
                </w:tcBorders>
                <w:shd w:val="clear" w:color="auto" w:fill="auto"/>
                <w:vAlign w:val="bottom"/>
                <w:hideMark/>
              </w:tcPr>
              <w:p>
                <w:pPr>
                  <w:ind w:firstLine="60"/>
                  <w:jc w:val="right"/>
                </w:pPr>
                <w:r>
                  <w:t>1 658</w:t>
                </w:r>
              </w:p>
            </w:tc>
          </w:tr>
          <w:tr>
            <w:trPr>
              <w:trHeight w:val="630"/>
              <w:jc w:val="center"/>
            </w:trPr>
            <w:tc>
              <w:tcPr>
                <w:tcW w:w="2980" w:type="dxa"/>
                <w:tcBorders>
                  <w:top w:val="nil"/>
                  <w:left w:val="nil"/>
                  <w:bottom w:val="nil"/>
                  <w:right w:val="nil"/>
                </w:tcBorders>
                <w:shd w:val="clear" w:color="auto" w:fill="auto"/>
                <w:vAlign w:val="bottom"/>
                <w:hideMark/>
              </w:tcPr>
              <w:p>
                <w:pPr>
                  <w:rPr>
                    <w:b/>
                    <w:bCs/>
                  </w:rPr>
                </w:pPr>
                <w:r>
                  <w:rPr>
                    <w:b/>
                    <w:bCs/>
                  </w:rPr>
                  <w:t>Lietuvos Respublikos finansų ministerija</w:t>
                </w:r>
              </w:p>
            </w:tc>
            <w:tc>
              <w:tcPr>
                <w:tcW w:w="4840" w:type="dxa"/>
                <w:tcBorders>
                  <w:top w:val="nil"/>
                  <w:left w:val="nil"/>
                  <w:bottom w:val="nil"/>
                  <w:right w:val="nil"/>
                </w:tcBorders>
                <w:shd w:val="clear" w:color="auto" w:fill="auto"/>
                <w:vAlign w:val="bottom"/>
                <w:hideMark/>
              </w:tcPr>
              <w:p/>
            </w:tc>
            <w:tc>
              <w:tcPr>
                <w:tcW w:w="1340" w:type="dxa"/>
                <w:tcBorders>
                  <w:top w:val="nil"/>
                  <w:left w:val="nil"/>
                  <w:bottom w:val="nil"/>
                  <w:right w:val="nil"/>
                </w:tcBorders>
                <w:shd w:val="clear" w:color="auto" w:fill="auto"/>
                <w:vAlign w:val="bottom"/>
                <w:hideMark/>
              </w:tcPr>
              <w:p>
                <w:pPr>
                  <w:ind w:firstLine="60"/>
                  <w:jc w:val="right"/>
                  <w:rPr>
                    <w:b/>
                    <w:bCs/>
                  </w:rPr>
                </w:pPr>
                <w:r>
                  <w:rPr>
                    <w:b/>
                    <w:bCs/>
                  </w:rPr>
                  <w:t>2 387</w:t>
                </w:r>
              </w:p>
            </w:tc>
          </w:tr>
          <w:tr>
            <w:trPr>
              <w:trHeight w:val="315"/>
              <w:jc w:val="center"/>
            </w:trPr>
            <w:tc>
              <w:tcPr>
                <w:tcW w:w="2980" w:type="dxa"/>
                <w:tcBorders>
                  <w:top w:val="nil"/>
                  <w:left w:val="nil"/>
                  <w:bottom w:val="nil"/>
                  <w:right w:val="nil"/>
                </w:tcBorders>
                <w:shd w:val="clear" w:color="auto" w:fill="auto"/>
                <w:vAlign w:val="bottom"/>
                <w:hideMark/>
              </w:tcPr>
              <w:p>
                <w:pPr>
                  <w:rPr>
                    <w:b/>
                    <w:bCs/>
                  </w:rPr>
                </w:pPr>
              </w:p>
            </w:tc>
            <w:tc>
              <w:tcPr>
                <w:tcW w:w="4840" w:type="dxa"/>
                <w:tcBorders>
                  <w:top w:val="nil"/>
                  <w:left w:val="nil"/>
                  <w:bottom w:val="nil"/>
                  <w:right w:val="nil"/>
                </w:tcBorders>
                <w:shd w:val="clear" w:color="auto" w:fill="auto"/>
                <w:vAlign w:val="bottom"/>
                <w:hideMark/>
              </w:tcPr>
              <w:p>
                <w:r>
                  <w:t>iš jų:</w:t>
                </w:r>
              </w:p>
            </w:tc>
            <w:tc>
              <w:tcPr>
                <w:tcW w:w="1340" w:type="dxa"/>
                <w:tcBorders>
                  <w:top w:val="nil"/>
                  <w:left w:val="nil"/>
                  <w:bottom w:val="nil"/>
                  <w:right w:val="nil"/>
                </w:tcBorders>
                <w:shd w:val="clear" w:color="auto" w:fill="auto"/>
                <w:vAlign w:val="bottom"/>
                <w:hideMark/>
              </w:tcPr>
              <w:p>
                <w:pPr>
                  <w:jc w:val="right"/>
                  <w:rPr>
                    <w:b/>
                    <w:bCs/>
                  </w:rPr>
                </w:pPr>
              </w:p>
            </w:tc>
          </w:tr>
          <w:tr>
            <w:trPr>
              <w:trHeight w:val="1740"/>
              <w:jc w:val="center"/>
            </w:trPr>
            <w:tc>
              <w:tcPr>
                <w:tcW w:w="2980" w:type="dxa"/>
                <w:tcBorders>
                  <w:top w:val="nil"/>
                  <w:left w:val="nil"/>
                  <w:bottom w:val="nil"/>
                  <w:right w:val="nil"/>
                </w:tcBorders>
                <w:shd w:val="clear" w:color="auto" w:fill="auto"/>
                <w:vAlign w:val="bottom"/>
                <w:hideMark/>
              </w:tcPr>
              <w:p>
                <w:pPr>
                  <w:rPr>
                    <w:b/>
                    <w:bCs/>
                  </w:rPr>
                </w:pPr>
              </w:p>
            </w:tc>
            <w:tc>
              <w:tcPr>
                <w:tcW w:w="4840" w:type="dxa"/>
                <w:tcBorders>
                  <w:top w:val="nil"/>
                  <w:left w:val="nil"/>
                  <w:bottom w:val="nil"/>
                  <w:right w:val="nil"/>
                </w:tcBorders>
                <w:shd w:val="clear" w:color="auto" w:fill="auto"/>
                <w:vAlign w:val="bottom"/>
                <w:hideMark/>
              </w:tcPr>
              <w:p>
                <w:r>
                  <w:t>piliečių nuosavybės teisėms į išlikusius gyvenamuosius namus, jų dalis, butus, ūkinės-komercinės paskirties pastatus ir jų priklausinius atkurti ir kompensacijoms už išperkamą nekilnojamąjį turtą religinėms bendrijoms išmokėti</w:t>
                </w:r>
              </w:p>
            </w:tc>
            <w:tc>
              <w:tcPr>
                <w:tcW w:w="1340" w:type="dxa"/>
                <w:tcBorders>
                  <w:top w:val="nil"/>
                  <w:left w:val="nil"/>
                  <w:bottom w:val="nil"/>
                  <w:right w:val="nil"/>
                </w:tcBorders>
                <w:shd w:val="clear" w:color="auto" w:fill="auto"/>
                <w:vAlign w:val="bottom"/>
                <w:hideMark/>
              </w:tcPr>
              <w:p>
                <w:pPr>
                  <w:ind w:firstLine="60"/>
                  <w:jc w:val="right"/>
                </w:pPr>
                <w:r>
                  <w:t>2 317</w:t>
                </w:r>
              </w:p>
            </w:tc>
          </w:tr>
          <w:tr>
            <w:trPr>
              <w:trHeight w:val="1275"/>
              <w:jc w:val="center"/>
            </w:trPr>
            <w:tc>
              <w:tcPr>
                <w:tcW w:w="2980" w:type="dxa"/>
                <w:tcBorders>
                  <w:top w:val="nil"/>
                  <w:left w:val="nil"/>
                  <w:bottom w:val="single" w:sz="8" w:space="0" w:color="auto"/>
                  <w:right w:val="nil"/>
                </w:tcBorders>
                <w:shd w:val="clear" w:color="auto" w:fill="auto"/>
                <w:vAlign w:val="bottom"/>
                <w:hideMark/>
              </w:tcPr>
              <w:p>
                <w:pPr>
                  <w:ind w:firstLine="60"/>
                  <w:rPr>
                    <w:b/>
                    <w:bCs/>
                  </w:rPr>
                </w:pPr>
              </w:p>
            </w:tc>
            <w:tc>
              <w:tcPr>
                <w:tcW w:w="4840" w:type="dxa"/>
                <w:tcBorders>
                  <w:top w:val="nil"/>
                  <w:left w:val="nil"/>
                  <w:bottom w:val="single" w:sz="8" w:space="0" w:color="auto"/>
                  <w:right w:val="nil"/>
                </w:tcBorders>
                <w:shd w:val="clear" w:color="auto" w:fill="auto"/>
                <w:vAlign w:val="bottom"/>
                <w:hideMark/>
              </w:tcPr>
              <w:p>
                <w:r>
                  <w:t>valstybės finansinei paramai parvežant į Lietuvą užsienyje mirusių (žuvusių) Lietuvos Respublikos piliečių palaikus teikti, t. y. kompensuoti savivaldybėms išmokėtas sumas</w:t>
                </w:r>
              </w:p>
            </w:tc>
            <w:tc>
              <w:tcPr>
                <w:tcW w:w="1340" w:type="dxa"/>
                <w:tcBorders>
                  <w:top w:val="nil"/>
                  <w:left w:val="nil"/>
                  <w:bottom w:val="single" w:sz="8" w:space="0" w:color="auto"/>
                  <w:right w:val="nil"/>
                </w:tcBorders>
                <w:shd w:val="clear" w:color="auto" w:fill="auto"/>
                <w:vAlign w:val="bottom"/>
                <w:hideMark/>
              </w:tcPr>
              <w:p>
                <w:pPr>
                  <w:ind w:firstLine="120"/>
                  <w:jc w:val="right"/>
                </w:pPr>
                <w:r>
                  <w:t>70</w:t>
                </w:r>
              </w:p>
            </w:tc>
          </w:tr>
          <w:tr>
            <w:trPr>
              <w:trHeight w:val="570"/>
              <w:jc w:val="center"/>
            </w:trPr>
            <w:tc>
              <w:tcPr>
                <w:tcW w:w="2980" w:type="dxa"/>
                <w:tcBorders>
                  <w:top w:val="nil"/>
                  <w:left w:val="nil"/>
                  <w:bottom w:val="nil"/>
                  <w:right w:val="nil"/>
                </w:tcBorders>
                <w:shd w:val="clear" w:color="auto" w:fill="auto"/>
                <w:vAlign w:val="bottom"/>
                <w:hideMark/>
              </w:tcPr>
              <w:p>
                <w:pPr>
                  <w:rPr>
                    <w:b/>
                    <w:bCs/>
                  </w:rPr>
                </w:pPr>
                <w:r>
                  <w:rPr>
                    <w:b/>
                    <w:bCs/>
                  </w:rPr>
                  <w:t>Lietuvos Respublikos</w:t>
                </w:r>
                <w:r>
                  <w:t xml:space="preserve"> </w:t>
                </w:r>
                <w:r>
                  <w:rPr>
                    <w:b/>
                    <w:bCs/>
                  </w:rPr>
                  <w:t>kultūros ministerija</w:t>
                </w:r>
              </w:p>
            </w:tc>
            <w:tc>
              <w:tcPr>
                <w:tcW w:w="4840" w:type="dxa"/>
                <w:tcBorders>
                  <w:top w:val="nil"/>
                  <w:left w:val="nil"/>
                  <w:bottom w:val="nil"/>
                  <w:right w:val="nil"/>
                </w:tcBorders>
                <w:shd w:val="clear" w:color="auto" w:fill="auto"/>
                <w:noWrap/>
                <w:vAlign w:val="bottom"/>
                <w:hideMark/>
              </w:tcPr>
              <w:p/>
            </w:tc>
            <w:tc>
              <w:tcPr>
                <w:tcW w:w="1340" w:type="dxa"/>
                <w:tcBorders>
                  <w:top w:val="nil"/>
                  <w:left w:val="nil"/>
                  <w:bottom w:val="nil"/>
                  <w:right w:val="nil"/>
                </w:tcBorders>
                <w:shd w:val="clear" w:color="auto" w:fill="auto"/>
                <w:vAlign w:val="bottom"/>
                <w:hideMark/>
              </w:tcPr>
              <w:p>
                <w:pPr>
                  <w:ind w:firstLine="60"/>
                  <w:jc w:val="right"/>
                  <w:rPr>
                    <w:b/>
                    <w:bCs/>
                  </w:rPr>
                </w:pPr>
                <w:r>
                  <w:rPr>
                    <w:b/>
                    <w:bCs/>
                  </w:rPr>
                  <w:t>10 742</w:t>
                </w:r>
              </w:p>
            </w:tc>
          </w:tr>
          <w:tr>
            <w:trPr>
              <w:trHeight w:val="315"/>
              <w:jc w:val="center"/>
            </w:trPr>
            <w:tc>
              <w:tcPr>
                <w:tcW w:w="2980" w:type="dxa"/>
                <w:tcBorders>
                  <w:top w:val="nil"/>
                  <w:left w:val="nil"/>
                  <w:bottom w:val="nil"/>
                  <w:right w:val="nil"/>
                </w:tcBorders>
                <w:shd w:val="clear" w:color="auto" w:fill="auto"/>
                <w:vAlign w:val="bottom"/>
                <w:hideMark/>
              </w:tcPr>
              <w:p>
                <w:pPr>
                  <w:rPr>
                    <w:b/>
                    <w:bCs/>
                  </w:rPr>
                </w:pPr>
              </w:p>
            </w:tc>
            <w:tc>
              <w:tcPr>
                <w:tcW w:w="4840" w:type="dxa"/>
                <w:tcBorders>
                  <w:top w:val="nil"/>
                  <w:left w:val="nil"/>
                  <w:bottom w:val="nil"/>
                  <w:right w:val="nil"/>
                </w:tcBorders>
                <w:shd w:val="clear" w:color="auto" w:fill="auto"/>
                <w:vAlign w:val="bottom"/>
                <w:hideMark/>
              </w:tcPr>
              <w:p>
                <w:r>
                  <w:t>iš jų:</w:t>
                </w:r>
              </w:p>
            </w:tc>
            <w:tc>
              <w:tcPr>
                <w:tcW w:w="1340" w:type="dxa"/>
                <w:tcBorders>
                  <w:top w:val="nil"/>
                  <w:left w:val="nil"/>
                  <w:bottom w:val="nil"/>
                  <w:right w:val="nil"/>
                </w:tcBorders>
                <w:shd w:val="clear" w:color="auto" w:fill="auto"/>
                <w:vAlign w:val="bottom"/>
                <w:hideMark/>
              </w:tcPr>
              <w:p>
                <w:pPr>
                  <w:jc w:val="right"/>
                  <w:rPr>
                    <w:b/>
                    <w:bCs/>
                  </w:rPr>
                </w:pPr>
              </w:p>
            </w:tc>
          </w:tr>
          <w:tr>
            <w:trPr>
              <w:trHeight w:val="630"/>
              <w:jc w:val="center"/>
            </w:trPr>
            <w:tc>
              <w:tcPr>
                <w:tcW w:w="2980" w:type="dxa"/>
                <w:tcBorders>
                  <w:top w:val="nil"/>
                  <w:left w:val="nil"/>
                  <w:bottom w:val="nil"/>
                  <w:right w:val="nil"/>
                </w:tcBorders>
                <w:shd w:val="clear" w:color="auto" w:fill="auto"/>
                <w:vAlign w:val="bottom"/>
                <w:hideMark/>
              </w:tcPr>
              <w:p>
                <w:pPr>
                  <w:rPr>
                    <w:b/>
                    <w:bCs/>
                  </w:rPr>
                </w:pPr>
              </w:p>
            </w:tc>
            <w:tc>
              <w:tcPr>
                <w:tcW w:w="4840" w:type="dxa"/>
                <w:tcBorders>
                  <w:top w:val="nil"/>
                  <w:left w:val="nil"/>
                  <w:bottom w:val="nil"/>
                  <w:right w:val="nil"/>
                </w:tcBorders>
                <w:shd w:val="clear" w:color="auto" w:fill="auto"/>
                <w:vAlign w:val="bottom"/>
                <w:hideMark/>
              </w:tcPr>
              <w:p>
                <w:r>
                  <w:t>savivaldybių įstaigų kultūros ir meno darbuotojų darbo užmokesčiui padidinti</w:t>
                </w:r>
              </w:p>
            </w:tc>
            <w:tc>
              <w:tcPr>
                <w:tcW w:w="1340" w:type="dxa"/>
                <w:tcBorders>
                  <w:top w:val="nil"/>
                  <w:left w:val="nil"/>
                  <w:bottom w:val="nil"/>
                  <w:right w:val="nil"/>
                </w:tcBorders>
                <w:shd w:val="clear" w:color="auto" w:fill="auto"/>
                <w:vAlign w:val="bottom"/>
                <w:hideMark/>
              </w:tcPr>
              <w:p>
                <w:pPr>
                  <w:ind w:firstLine="60"/>
                  <w:jc w:val="right"/>
                </w:pPr>
                <w:r>
                  <w:t>3 277</w:t>
                </w:r>
              </w:p>
            </w:tc>
          </w:tr>
          <w:tr>
            <w:trPr>
              <w:trHeight w:val="660"/>
              <w:jc w:val="center"/>
            </w:trPr>
            <w:tc>
              <w:tcPr>
                <w:tcW w:w="2980" w:type="dxa"/>
                <w:tcBorders>
                  <w:top w:val="nil"/>
                  <w:left w:val="nil"/>
                  <w:bottom w:val="nil"/>
                  <w:right w:val="nil"/>
                </w:tcBorders>
                <w:shd w:val="clear" w:color="auto" w:fill="auto"/>
                <w:vAlign w:val="bottom"/>
                <w:hideMark/>
              </w:tcPr>
              <w:p>
                <w:pPr>
                  <w:rPr>
                    <w:b/>
                    <w:bCs/>
                  </w:rPr>
                </w:pPr>
              </w:p>
            </w:tc>
            <w:tc>
              <w:tcPr>
                <w:tcW w:w="4840" w:type="dxa"/>
                <w:tcBorders>
                  <w:top w:val="nil"/>
                  <w:left w:val="nil"/>
                  <w:bottom w:val="nil"/>
                  <w:right w:val="nil"/>
                </w:tcBorders>
                <w:shd w:val="clear" w:color="auto" w:fill="auto"/>
                <w:vAlign w:val="bottom"/>
                <w:hideMark/>
              </w:tcPr>
              <w:p>
                <w:r>
                  <w:t>savivaldybių kultūros įstaigų infrastruktūros plėtrai ir kitiems prioritetiniams darbams atlikti</w:t>
                </w:r>
              </w:p>
            </w:tc>
            <w:tc>
              <w:tcPr>
                <w:tcW w:w="1340" w:type="dxa"/>
                <w:tcBorders>
                  <w:top w:val="nil"/>
                  <w:left w:val="nil"/>
                  <w:bottom w:val="nil"/>
                  <w:right w:val="nil"/>
                </w:tcBorders>
                <w:shd w:val="clear" w:color="auto" w:fill="auto"/>
                <w:vAlign w:val="bottom"/>
                <w:hideMark/>
              </w:tcPr>
              <w:p>
                <w:pPr>
                  <w:ind w:firstLine="120"/>
                  <w:jc w:val="right"/>
                </w:pPr>
                <w:r>
                  <w:t>606</w:t>
                </w:r>
              </w:p>
            </w:tc>
          </w:tr>
          <w:tr>
            <w:trPr>
              <w:trHeight w:val="923"/>
              <w:jc w:val="center"/>
            </w:trPr>
            <w:tc>
              <w:tcPr>
                <w:tcW w:w="2980" w:type="dxa"/>
                <w:tcBorders>
                  <w:top w:val="nil"/>
                  <w:left w:val="nil"/>
                  <w:bottom w:val="single" w:sz="8" w:space="0" w:color="auto"/>
                  <w:right w:val="nil"/>
                </w:tcBorders>
                <w:shd w:val="clear" w:color="auto" w:fill="auto"/>
                <w:vAlign w:val="bottom"/>
                <w:hideMark/>
              </w:tcPr>
              <w:p>
                <w:pPr>
                  <w:ind w:firstLine="60"/>
                  <w:rPr>
                    <w:b/>
                    <w:bCs/>
                  </w:rPr>
                </w:pPr>
              </w:p>
            </w:tc>
            <w:tc>
              <w:tcPr>
                <w:tcW w:w="4840" w:type="dxa"/>
                <w:tcBorders>
                  <w:top w:val="nil"/>
                  <w:left w:val="nil"/>
                  <w:bottom w:val="single" w:sz="8" w:space="0" w:color="auto"/>
                  <w:right w:val="nil"/>
                </w:tcBorders>
                <w:shd w:val="clear" w:color="auto" w:fill="auto"/>
                <w:vAlign w:val="bottom"/>
                <w:hideMark/>
              </w:tcPr>
              <w:p>
                <w:r>
                  <w:t>Valstybės investicijų 2016–2018 metų programoje numatytoms kapitalo investicijoms finansuoti</w:t>
                </w:r>
              </w:p>
            </w:tc>
            <w:tc>
              <w:tcPr>
                <w:tcW w:w="1340" w:type="dxa"/>
                <w:tcBorders>
                  <w:top w:val="nil"/>
                  <w:left w:val="nil"/>
                  <w:bottom w:val="single" w:sz="8" w:space="0" w:color="auto"/>
                  <w:right w:val="nil"/>
                </w:tcBorders>
                <w:shd w:val="clear" w:color="auto" w:fill="auto"/>
                <w:vAlign w:val="bottom"/>
                <w:hideMark/>
              </w:tcPr>
              <w:p>
                <w:pPr>
                  <w:ind w:firstLine="60"/>
                  <w:jc w:val="right"/>
                </w:pPr>
                <w:r>
                  <w:t>6 859</w:t>
                </w:r>
              </w:p>
            </w:tc>
          </w:tr>
          <w:tr>
            <w:trPr>
              <w:trHeight w:val="1065"/>
              <w:jc w:val="center"/>
            </w:trPr>
            <w:tc>
              <w:tcPr>
                <w:tcW w:w="2980" w:type="dxa"/>
                <w:tcBorders>
                  <w:top w:val="nil"/>
                  <w:left w:val="nil"/>
                  <w:bottom w:val="single" w:sz="8" w:space="0" w:color="auto"/>
                  <w:right w:val="nil"/>
                </w:tcBorders>
                <w:shd w:val="clear" w:color="auto" w:fill="auto"/>
                <w:vAlign w:val="bottom"/>
                <w:hideMark/>
              </w:tcPr>
              <w:p>
                <w:pPr>
                  <w:rPr>
                    <w:b/>
                    <w:bCs/>
                  </w:rPr>
                </w:pPr>
                <w:r>
                  <w:rPr>
                    <w:b/>
                    <w:bCs/>
                  </w:rPr>
                  <w:t>Lietuvos Respublikos</w:t>
                </w:r>
                <w:r>
                  <w:t xml:space="preserve"> </w:t>
                </w:r>
                <w:r>
                  <w:rPr>
                    <w:b/>
                    <w:bCs/>
                  </w:rPr>
                  <w:t>socialinės apsaugos ir darbo ministerija</w:t>
                </w:r>
              </w:p>
            </w:tc>
            <w:tc>
              <w:tcPr>
                <w:tcW w:w="4840" w:type="dxa"/>
                <w:tcBorders>
                  <w:top w:val="nil"/>
                  <w:left w:val="nil"/>
                  <w:bottom w:val="single" w:sz="8" w:space="0" w:color="auto"/>
                  <w:right w:val="nil"/>
                </w:tcBorders>
                <w:shd w:val="clear" w:color="auto" w:fill="auto"/>
                <w:vAlign w:val="bottom"/>
                <w:hideMark/>
              </w:tcPr>
              <w:p>
                <w:r>
                  <w:t>Valstybės investicijų 2016–2018 metų programoje numatytoms kapitalo investicijoms finansuoti</w:t>
                </w:r>
              </w:p>
            </w:tc>
            <w:tc>
              <w:tcPr>
                <w:tcW w:w="1340" w:type="dxa"/>
                <w:tcBorders>
                  <w:top w:val="nil"/>
                  <w:left w:val="nil"/>
                  <w:bottom w:val="single" w:sz="8" w:space="0" w:color="auto"/>
                  <w:right w:val="nil"/>
                </w:tcBorders>
                <w:shd w:val="clear" w:color="auto" w:fill="auto"/>
                <w:vAlign w:val="bottom"/>
                <w:hideMark/>
              </w:tcPr>
              <w:p>
                <w:pPr>
                  <w:ind w:firstLine="60"/>
                  <w:jc w:val="right"/>
                  <w:rPr>
                    <w:b/>
                    <w:bCs/>
                  </w:rPr>
                </w:pPr>
                <w:r>
                  <w:rPr>
                    <w:b/>
                    <w:bCs/>
                  </w:rPr>
                  <w:t>1 089</w:t>
                </w:r>
              </w:p>
            </w:tc>
          </w:tr>
          <w:tr>
            <w:trPr>
              <w:trHeight w:val="1095"/>
              <w:jc w:val="center"/>
            </w:trPr>
            <w:tc>
              <w:tcPr>
                <w:tcW w:w="2980" w:type="dxa"/>
                <w:tcBorders>
                  <w:top w:val="nil"/>
                  <w:left w:val="nil"/>
                  <w:bottom w:val="nil"/>
                  <w:right w:val="nil"/>
                </w:tcBorders>
                <w:shd w:val="clear" w:color="auto" w:fill="auto"/>
                <w:vAlign w:val="bottom"/>
                <w:hideMark/>
              </w:tcPr>
              <w:p>
                <w:pPr>
                  <w:rPr>
                    <w:b/>
                    <w:bCs/>
                  </w:rPr>
                </w:pPr>
                <w:r>
                  <w:rPr>
                    <w:b/>
                    <w:bCs/>
                  </w:rPr>
                  <w:t>Lietuvos Respublikos</w:t>
                </w:r>
                <w:r>
                  <w:t xml:space="preserve"> </w:t>
                </w:r>
                <w:r>
                  <w:rPr>
                    <w:b/>
                    <w:bCs/>
                  </w:rPr>
                  <w:t>susisiekimo ministerija</w:t>
                </w:r>
              </w:p>
              <w:p>
                <w:pPr>
                  <w:rPr>
                    <w:b/>
                    <w:bCs/>
                  </w:rPr>
                </w:pPr>
              </w:p>
            </w:tc>
            <w:tc>
              <w:tcPr>
                <w:tcW w:w="4840" w:type="dxa"/>
                <w:tcBorders>
                  <w:top w:val="nil"/>
                  <w:left w:val="nil"/>
                  <w:bottom w:val="nil"/>
                  <w:right w:val="nil"/>
                </w:tcBorders>
                <w:shd w:val="clear" w:color="auto" w:fill="auto"/>
                <w:vAlign w:val="bottom"/>
                <w:hideMark/>
              </w:tcPr>
              <w:p>
                <w:r>
                  <w:t>savivaldybėms vietinės reikšmės keliams (gatvėms) tiesti, taisyti, prižiūrėti ir saugaus eismo sąlygoms užtikrinti</w:t>
                </w:r>
              </w:p>
            </w:tc>
            <w:tc>
              <w:tcPr>
                <w:tcW w:w="1340" w:type="dxa"/>
                <w:tcBorders>
                  <w:top w:val="nil"/>
                  <w:left w:val="nil"/>
                  <w:bottom w:val="nil"/>
                  <w:right w:val="nil"/>
                </w:tcBorders>
                <w:shd w:val="clear" w:color="auto" w:fill="auto"/>
                <w:noWrap/>
                <w:vAlign w:val="bottom"/>
                <w:hideMark/>
              </w:tcPr>
              <w:p>
                <w:pPr>
                  <w:ind w:firstLine="60"/>
                  <w:jc w:val="right"/>
                  <w:rPr>
                    <w:b/>
                    <w:bCs/>
                  </w:rPr>
                </w:pPr>
                <w:r>
                  <w:rPr>
                    <w:b/>
                    <w:bCs/>
                  </w:rPr>
                  <w:t>109 363</w:t>
                </w:r>
              </w:p>
            </w:tc>
          </w:tr>
          <w:tr>
            <w:trPr>
              <w:trHeight w:val="360"/>
              <w:jc w:val="center"/>
            </w:trPr>
            <w:tc>
              <w:tcPr>
                <w:tcW w:w="2980" w:type="dxa"/>
                <w:tcBorders>
                  <w:top w:val="nil"/>
                  <w:left w:val="nil"/>
                  <w:bottom w:val="nil"/>
                  <w:right w:val="nil"/>
                </w:tcBorders>
                <w:shd w:val="clear" w:color="auto" w:fill="auto"/>
                <w:vAlign w:val="bottom"/>
                <w:hideMark/>
              </w:tcPr>
              <w:p>
                <w:pPr>
                  <w:rPr>
                    <w:b/>
                    <w:bCs/>
                  </w:rPr>
                </w:pPr>
              </w:p>
            </w:tc>
            <w:tc>
              <w:tcPr>
                <w:tcW w:w="4840" w:type="dxa"/>
                <w:tcBorders>
                  <w:top w:val="nil"/>
                  <w:left w:val="nil"/>
                  <w:bottom w:val="nil"/>
                  <w:right w:val="nil"/>
                </w:tcBorders>
                <w:shd w:val="clear" w:color="auto" w:fill="auto"/>
                <w:vAlign w:val="bottom"/>
                <w:hideMark/>
              </w:tcPr>
              <w:p>
                <w:r>
                  <w:t>iš jų:</w:t>
                </w:r>
              </w:p>
            </w:tc>
            <w:tc>
              <w:tcPr>
                <w:tcW w:w="1340" w:type="dxa"/>
                <w:tcBorders>
                  <w:top w:val="nil"/>
                  <w:left w:val="nil"/>
                  <w:bottom w:val="nil"/>
                  <w:right w:val="nil"/>
                </w:tcBorders>
                <w:shd w:val="clear" w:color="auto" w:fill="auto"/>
                <w:noWrap/>
                <w:vAlign w:val="bottom"/>
                <w:hideMark/>
              </w:tcPr>
              <w:p>
                <w:pPr>
                  <w:jc w:val="right"/>
                </w:pPr>
              </w:p>
            </w:tc>
          </w:tr>
          <w:tr>
            <w:trPr>
              <w:trHeight w:val="465"/>
              <w:jc w:val="center"/>
            </w:trPr>
            <w:tc>
              <w:tcPr>
                <w:tcW w:w="2980" w:type="dxa"/>
                <w:tcBorders>
                  <w:top w:val="nil"/>
                  <w:left w:val="nil"/>
                  <w:bottom w:val="nil"/>
                  <w:right w:val="nil"/>
                </w:tcBorders>
                <w:shd w:val="clear" w:color="auto" w:fill="auto"/>
                <w:vAlign w:val="bottom"/>
                <w:hideMark/>
              </w:tcPr>
              <w:p>
                <w:pPr>
                  <w:rPr>
                    <w:b/>
                    <w:bCs/>
                  </w:rPr>
                </w:pPr>
              </w:p>
            </w:tc>
            <w:tc>
              <w:tcPr>
                <w:tcW w:w="4840" w:type="dxa"/>
                <w:tcBorders>
                  <w:top w:val="nil"/>
                  <w:left w:val="nil"/>
                  <w:bottom w:val="nil"/>
                  <w:right w:val="nil"/>
                </w:tcBorders>
                <w:shd w:val="clear" w:color="auto" w:fill="auto"/>
                <w:vAlign w:val="bottom"/>
                <w:hideMark/>
              </w:tcPr>
              <w:p>
                <w:r>
                  <w:t>einamiesiems tikslams finansuoti</w:t>
                </w:r>
              </w:p>
            </w:tc>
            <w:tc>
              <w:tcPr>
                <w:tcW w:w="1340" w:type="dxa"/>
                <w:tcBorders>
                  <w:top w:val="nil"/>
                  <w:left w:val="nil"/>
                  <w:bottom w:val="nil"/>
                  <w:right w:val="nil"/>
                </w:tcBorders>
                <w:shd w:val="clear" w:color="auto" w:fill="auto"/>
                <w:noWrap/>
                <w:vAlign w:val="bottom"/>
                <w:hideMark/>
              </w:tcPr>
              <w:p>
                <w:pPr>
                  <w:ind w:firstLine="60"/>
                  <w:jc w:val="right"/>
                </w:pPr>
                <w:r>
                  <w:t>40 415</w:t>
                </w:r>
              </w:p>
            </w:tc>
          </w:tr>
          <w:tr>
            <w:trPr>
              <w:trHeight w:val="949"/>
              <w:jc w:val="center"/>
            </w:trPr>
            <w:tc>
              <w:tcPr>
                <w:tcW w:w="2980" w:type="dxa"/>
                <w:tcBorders>
                  <w:top w:val="nil"/>
                  <w:left w:val="nil"/>
                  <w:bottom w:val="single" w:sz="8" w:space="0" w:color="auto"/>
                  <w:right w:val="nil"/>
                </w:tcBorders>
                <w:shd w:val="clear" w:color="auto" w:fill="auto"/>
                <w:vAlign w:val="bottom"/>
                <w:hideMark/>
              </w:tcPr>
              <w:p>
                <w:pPr>
                  <w:ind w:firstLine="60"/>
                </w:pPr>
              </w:p>
            </w:tc>
            <w:tc>
              <w:tcPr>
                <w:tcW w:w="4840" w:type="dxa"/>
                <w:tcBorders>
                  <w:top w:val="nil"/>
                  <w:left w:val="nil"/>
                  <w:bottom w:val="single" w:sz="8" w:space="0" w:color="auto"/>
                  <w:right w:val="nil"/>
                </w:tcBorders>
                <w:shd w:val="clear" w:color="auto" w:fill="auto"/>
                <w:vAlign w:val="bottom"/>
                <w:hideMark/>
              </w:tcPr>
              <w:p>
                <w:r>
                  <w:t>Valstybės investicijų 2016–2018 metų programoje numatytoms kapitalo investicijoms finansuoti</w:t>
                </w:r>
              </w:p>
            </w:tc>
            <w:tc>
              <w:tcPr>
                <w:tcW w:w="1340" w:type="dxa"/>
                <w:tcBorders>
                  <w:top w:val="nil"/>
                  <w:left w:val="nil"/>
                  <w:bottom w:val="single" w:sz="8" w:space="0" w:color="auto"/>
                  <w:right w:val="nil"/>
                </w:tcBorders>
                <w:shd w:val="clear" w:color="auto" w:fill="auto"/>
                <w:vAlign w:val="bottom"/>
                <w:hideMark/>
              </w:tcPr>
              <w:p>
                <w:pPr>
                  <w:ind w:firstLine="60"/>
                  <w:jc w:val="right"/>
                </w:pPr>
                <w:r>
                  <w:t>68 948</w:t>
                </w:r>
              </w:p>
            </w:tc>
          </w:tr>
          <w:tr>
            <w:trPr>
              <w:trHeight w:val="1020"/>
              <w:jc w:val="center"/>
            </w:trPr>
            <w:tc>
              <w:tcPr>
                <w:tcW w:w="2980" w:type="dxa"/>
                <w:tcBorders>
                  <w:top w:val="nil"/>
                  <w:left w:val="nil"/>
                  <w:bottom w:val="single" w:sz="8" w:space="0" w:color="auto"/>
                  <w:right w:val="nil"/>
                </w:tcBorders>
                <w:shd w:val="clear" w:color="auto" w:fill="auto"/>
                <w:vAlign w:val="bottom"/>
                <w:hideMark/>
              </w:tcPr>
              <w:p>
                <w:pPr>
                  <w:rPr>
                    <w:b/>
                    <w:bCs/>
                  </w:rPr>
                </w:pPr>
                <w:r>
                  <w:rPr>
                    <w:b/>
                    <w:bCs/>
                  </w:rPr>
                  <w:t>Lietuvos Respublikos</w:t>
                </w:r>
                <w:r>
                  <w:t xml:space="preserve"> </w:t>
                </w:r>
                <w:r>
                  <w:rPr>
                    <w:b/>
                    <w:bCs/>
                  </w:rPr>
                  <w:t>sveikatos apsaugos ministerija</w:t>
                </w:r>
              </w:p>
            </w:tc>
            <w:tc>
              <w:tcPr>
                <w:tcW w:w="4840" w:type="dxa"/>
                <w:tcBorders>
                  <w:top w:val="nil"/>
                  <w:left w:val="nil"/>
                  <w:bottom w:val="single" w:sz="8" w:space="0" w:color="auto"/>
                  <w:right w:val="nil"/>
                </w:tcBorders>
                <w:shd w:val="clear" w:color="auto" w:fill="auto"/>
                <w:vAlign w:val="bottom"/>
                <w:hideMark/>
              </w:tcPr>
              <w:p>
                <w:r>
                  <w:t>Valstybės investicijų 2016–2018 metų programoje numatytoms kapitalo investicijoms finansuoti</w:t>
                </w:r>
              </w:p>
            </w:tc>
            <w:tc>
              <w:tcPr>
                <w:tcW w:w="1340" w:type="dxa"/>
                <w:tcBorders>
                  <w:top w:val="nil"/>
                  <w:left w:val="nil"/>
                  <w:bottom w:val="single" w:sz="8" w:space="0" w:color="auto"/>
                  <w:right w:val="nil"/>
                </w:tcBorders>
                <w:shd w:val="clear" w:color="auto" w:fill="auto"/>
                <w:vAlign w:val="bottom"/>
                <w:hideMark/>
              </w:tcPr>
              <w:p>
                <w:pPr>
                  <w:ind w:firstLine="60"/>
                  <w:jc w:val="right"/>
                  <w:rPr>
                    <w:b/>
                    <w:bCs/>
                  </w:rPr>
                </w:pPr>
                <w:r>
                  <w:rPr>
                    <w:b/>
                    <w:bCs/>
                  </w:rPr>
                  <w:t>7 768</w:t>
                </w:r>
              </w:p>
            </w:tc>
          </w:tr>
          <w:tr>
            <w:trPr>
              <w:trHeight w:val="1020"/>
              <w:jc w:val="center"/>
            </w:trPr>
            <w:tc>
              <w:tcPr>
                <w:tcW w:w="2980" w:type="dxa"/>
                <w:tcBorders>
                  <w:top w:val="single" w:sz="8" w:space="0" w:color="auto"/>
                  <w:left w:val="nil"/>
                  <w:right w:val="nil"/>
                </w:tcBorders>
                <w:shd w:val="clear" w:color="auto" w:fill="auto"/>
                <w:vAlign w:val="bottom"/>
                <w:hideMark/>
              </w:tcPr>
              <w:p>
                <w:pPr>
                  <w:rPr>
                    <w:b/>
                    <w:bCs/>
                  </w:rPr>
                </w:pPr>
                <w:r>
                  <w:rPr>
                    <w:b/>
                    <w:bCs/>
                  </w:rPr>
                  <w:t>Lietuvos Respublikos</w:t>
                </w:r>
                <w:r>
                  <w:t xml:space="preserve"> </w:t>
                </w:r>
                <w:r>
                  <w:rPr>
                    <w:b/>
                    <w:bCs/>
                  </w:rPr>
                  <w:t>švietimo ir mokslo ministerija</w:t>
                </w:r>
              </w:p>
            </w:tc>
            <w:tc>
              <w:tcPr>
                <w:tcW w:w="4840" w:type="dxa"/>
                <w:tcBorders>
                  <w:top w:val="single" w:sz="8" w:space="0" w:color="auto"/>
                  <w:left w:val="nil"/>
                  <w:right w:val="nil"/>
                </w:tcBorders>
                <w:shd w:val="clear" w:color="auto" w:fill="auto"/>
                <w:vAlign w:val="bottom"/>
                <w:hideMark/>
              </w:tcPr>
              <w:p/>
            </w:tc>
            <w:tc>
              <w:tcPr>
                <w:tcW w:w="1340" w:type="dxa"/>
                <w:tcBorders>
                  <w:top w:val="single" w:sz="8" w:space="0" w:color="auto"/>
                  <w:left w:val="nil"/>
                  <w:right w:val="nil"/>
                </w:tcBorders>
                <w:shd w:val="clear" w:color="auto" w:fill="auto"/>
                <w:noWrap/>
                <w:vAlign w:val="bottom"/>
                <w:hideMark/>
              </w:tcPr>
              <w:p>
                <w:pPr>
                  <w:ind w:firstLine="60"/>
                  <w:jc w:val="right"/>
                  <w:rPr>
                    <w:b/>
                    <w:bCs/>
                  </w:rPr>
                </w:pPr>
                <w:r>
                  <w:rPr>
                    <w:b/>
                    <w:bCs/>
                  </w:rPr>
                  <w:t>23 831</w:t>
                </w:r>
              </w:p>
            </w:tc>
          </w:tr>
          <w:tr>
            <w:tblPrEx>
              <w:jc w:val="left"/>
              <w:tblBorders>
                <w:bottom w:val="single" w:sz="4" w:space="0" w:color="auto"/>
              </w:tblBorders>
            </w:tblPrEx>
            <w:trPr>
              <w:trHeight w:val="315"/>
            </w:trPr>
            <w:tc>
              <w:tcPr>
                <w:tcW w:w="2980" w:type="dxa"/>
                <w:tcBorders>
                  <w:top w:val="nil"/>
                  <w:left w:val="nil"/>
                  <w:bottom w:val="nil"/>
                  <w:right w:val="nil"/>
                </w:tcBorders>
                <w:shd w:val="clear" w:color="auto" w:fill="auto"/>
                <w:vAlign w:val="center"/>
                <w:hideMark/>
              </w:tcPr>
              <w:p>
                <w:pPr>
                  <w:rPr>
                    <w:bCs/>
                  </w:rPr>
                </w:pPr>
              </w:p>
            </w:tc>
            <w:tc>
              <w:tcPr>
                <w:tcW w:w="4840" w:type="dxa"/>
                <w:tcBorders>
                  <w:top w:val="nil"/>
                  <w:left w:val="nil"/>
                  <w:bottom w:val="nil"/>
                  <w:right w:val="nil"/>
                </w:tcBorders>
                <w:shd w:val="clear" w:color="auto" w:fill="auto"/>
                <w:vAlign w:val="bottom"/>
                <w:hideMark/>
              </w:tcPr>
              <w:p>
                <w:r>
                  <w:t>iš jų:</w:t>
                </w:r>
              </w:p>
            </w:tc>
            <w:tc>
              <w:tcPr>
                <w:tcW w:w="1340" w:type="dxa"/>
                <w:tcBorders>
                  <w:top w:val="nil"/>
                  <w:left w:val="nil"/>
                  <w:bottom w:val="nil"/>
                  <w:right w:val="nil"/>
                </w:tcBorders>
                <w:shd w:val="clear" w:color="auto" w:fill="auto"/>
                <w:noWrap/>
                <w:vAlign w:val="bottom"/>
                <w:hideMark/>
              </w:tcPr>
              <w:p>
                <w:pPr>
                  <w:jc w:val="right"/>
                  <w:rPr>
                    <w:b/>
                    <w:bCs/>
                  </w:rPr>
                </w:pPr>
              </w:p>
            </w:tc>
          </w:tr>
          <w:tr>
            <w:trPr>
              <w:trHeight w:val="793"/>
              <w:jc w:val="center"/>
            </w:trPr>
            <w:tc>
              <w:tcPr>
                <w:tcW w:w="2980" w:type="dxa"/>
                <w:shd w:val="clear" w:color="auto" w:fill="auto"/>
                <w:vAlign w:val="bottom"/>
              </w:tcPr>
              <w:p>
                <w:pPr>
                  <w:rPr>
                    <w:bCs/>
                  </w:rPr>
                </w:pPr>
              </w:p>
            </w:tc>
            <w:tc>
              <w:tcPr>
                <w:tcW w:w="4840" w:type="dxa"/>
                <w:shd w:val="clear" w:color="auto" w:fill="auto"/>
                <w:vAlign w:val="bottom"/>
              </w:tcPr>
              <w:p>
                <w:r>
                  <w:t>Kauno Šv. Kazimiero pagrindinės mokyklos sporto salės grindų avarinei būklei pašalinti</w:t>
                </w:r>
              </w:p>
            </w:tc>
            <w:tc>
              <w:tcPr>
                <w:tcW w:w="1340" w:type="dxa"/>
                <w:shd w:val="clear" w:color="auto" w:fill="auto"/>
                <w:noWrap/>
                <w:vAlign w:val="bottom"/>
              </w:tcPr>
              <w:p>
                <w:pPr>
                  <w:ind w:firstLine="120"/>
                  <w:jc w:val="right"/>
                  <w:rPr>
                    <w:b/>
                    <w:bCs/>
                  </w:rPr>
                </w:pPr>
                <w:r>
                  <w:t>40</w:t>
                </w:r>
              </w:p>
            </w:tc>
          </w:tr>
          <w:tr>
            <w:trPr>
              <w:trHeight w:val="1020"/>
              <w:jc w:val="center"/>
            </w:trPr>
            <w:tc>
              <w:tcPr>
                <w:tcW w:w="2980" w:type="dxa"/>
                <w:tcBorders>
                  <w:bottom w:val="single" w:sz="8" w:space="0" w:color="auto"/>
                </w:tcBorders>
                <w:shd w:val="clear" w:color="auto" w:fill="auto"/>
                <w:vAlign w:val="bottom"/>
              </w:tcPr>
              <w:p>
                <w:pPr>
                  <w:rPr>
                    <w:b/>
                    <w:bCs/>
                  </w:rPr>
                </w:pPr>
              </w:p>
            </w:tc>
            <w:tc>
              <w:tcPr>
                <w:tcW w:w="4840" w:type="dxa"/>
                <w:tcBorders>
                  <w:bottom w:val="single" w:sz="4" w:space="0" w:color="auto"/>
                </w:tcBorders>
                <w:shd w:val="clear" w:color="auto" w:fill="auto"/>
                <w:vAlign w:val="bottom"/>
              </w:tcPr>
              <w:p>
                <w:pPr>
                  <w:rPr>
                    <w:b/>
                  </w:rPr>
                </w:pPr>
                <w:r>
                  <w:t>Valstybės investicijų 2016–2018 metų programoje numatytoms kapitalo investicijoms finansuoti</w:t>
                </w:r>
              </w:p>
            </w:tc>
            <w:tc>
              <w:tcPr>
                <w:tcW w:w="1340" w:type="dxa"/>
                <w:tcBorders>
                  <w:bottom w:val="single" w:sz="4" w:space="0" w:color="auto"/>
                </w:tcBorders>
                <w:shd w:val="clear" w:color="auto" w:fill="auto"/>
                <w:noWrap/>
                <w:vAlign w:val="bottom"/>
              </w:tcPr>
              <w:p>
                <w:pPr>
                  <w:ind w:firstLine="60"/>
                  <w:jc w:val="right"/>
                </w:pPr>
                <w:r>
                  <w:t>23 791</w:t>
                </w:r>
              </w:p>
            </w:tc>
          </w:tr>
          <w:tr>
            <w:trPr>
              <w:trHeight w:val="1020"/>
              <w:jc w:val="center"/>
            </w:trPr>
            <w:tc>
              <w:tcPr>
                <w:tcW w:w="2980" w:type="dxa"/>
                <w:tcBorders>
                  <w:top w:val="single" w:sz="8" w:space="0" w:color="auto"/>
                  <w:left w:val="nil"/>
                  <w:bottom w:val="single" w:sz="8" w:space="0" w:color="auto"/>
                  <w:right w:val="nil"/>
                </w:tcBorders>
                <w:shd w:val="clear" w:color="auto" w:fill="auto"/>
                <w:vAlign w:val="bottom"/>
                <w:hideMark/>
              </w:tcPr>
              <w:p>
                <w:pPr>
                  <w:rPr>
                    <w:b/>
                    <w:bCs/>
                  </w:rPr>
                </w:pPr>
                <w:r>
                  <w:rPr>
                    <w:b/>
                    <w:bCs/>
                  </w:rPr>
                  <w:t>Lietuvos Respublikos</w:t>
                </w:r>
                <w:r>
                  <w:t xml:space="preserve"> </w:t>
                </w:r>
                <w:r>
                  <w:rPr>
                    <w:b/>
                    <w:bCs/>
                  </w:rPr>
                  <w:t>teisingumo ministerija</w:t>
                </w:r>
              </w:p>
              <w:p>
                <w:pPr>
                  <w:rPr>
                    <w:b/>
                    <w:bCs/>
                  </w:rPr>
                </w:pPr>
              </w:p>
            </w:tc>
            <w:tc>
              <w:tcPr>
                <w:tcW w:w="4840" w:type="dxa"/>
                <w:tcBorders>
                  <w:top w:val="single" w:sz="8" w:space="0" w:color="auto"/>
                  <w:left w:val="nil"/>
                  <w:bottom w:val="single" w:sz="8" w:space="0" w:color="auto"/>
                  <w:right w:val="nil"/>
                </w:tcBorders>
                <w:shd w:val="clear" w:color="auto" w:fill="auto"/>
                <w:vAlign w:val="bottom"/>
                <w:hideMark/>
              </w:tcPr>
              <w:p>
                <w:r>
                  <w:t>Valstybės investicijų 2016–2018 metų programoje numatytoms kapitalo investicijoms finansuoti</w:t>
                </w:r>
              </w:p>
            </w:tc>
            <w:tc>
              <w:tcPr>
                <w:tcW w:w="1340" w:type="dxa"/>
                <w:tcBorders>
                  <w:top w:val="single" w:sz="8" w:space="0" w:color="auto"/>
                  <w:left w:val="nil"/>
                  <w:bottom w:val="single" w:sz="8" w:space="0" w:color="auto"/>
                  <w:right w:val="nil"/>
                </w:tcBorders>
                <w:shd w:val="clear" w:color="auto" w:fill="auto"/>
                <w:noWrap/>
                <w:vAlign w:val="bottom"/>
                <w:hideMark/>
              </w:tcPr>
              <w:p>
                <w:pPr>
                  <w:ind w:firstLine="120"/>
                  <w:jc w:val="right"/>
                  <w:rPr>
                    <w:b/>
                    <w:bCs/>
                  </w:rPr>
                </w:pPr>
                <w:r>
                  <w:rPr>
                    <w:b/>
                    <w:bCs/>
                  </w:rPr>
                  <w:t>111</w:t>
                </w:r>
              </w:p>
            </w:tc>
          </w:tr>
          <w:tr>
            <w:tblPrEx>
              <w:jc w:val="left"/>
              <w:tblBorders>
                <w:bottom w:val="single" w:sz="4" w:space="0" w:color="auto"/>
              </w:tblBorders>
            </w:tblPrEx>
            <w:trPr>
              <w:trHeight w:val="451"/>
            </w:trPr>
            <w:tc>
              <w:tcPr>
                <w:tcW w:w="2980" w:type="dxa"/>
                <w:shd w:val="clear" w:color="auto" w:fill="auto"/>
                <w:vAlign w:val="bottom"/>
                <w:hideMark/>
              </w:tcPr>
              <w:p>
                <w:pPr>
                  <w:rPr>
                    <w:b/>
                    <w:bCs/>
                  </w:rPr>
                </w:pPr>
              </w:p>
              <w:p>
                <w:pPr>
                  <w:rPr>
                    <w:b/>
                    <w:bCs/>
                  </w:rPr>
                </w:pPr>
                <w:r>
                  <w:rPr>
                    <w:b/>
                    <w:bCs/>
                  </w:rPr>
                  <w:t>Lietuvos Respublikos</w:t>
                </w:r>
                <w:r>
                  <w:t xml:space="preserve"> </w:t>
                </w:r>
                <w:r>
                  <w:rPr>
                    <w:b/>
                    <w:bCs/>
                  </w:rPr>
                  <w:t>ūkio ministerija</w:t>
                </w:r>
              </w:p>
            </w:tc>
            <w:tc>
              <w:tcPr>
                <w:tcW w:w="4840" w:type="dxa"/>
                <w:shd w:val="clear" w:color="auto" w:fill="auto"/>
                <w:noWrap/>
                <w:vAlign w:val="bottom"/>
                <w:hideMark/>
              </w:tcPr>
              <w:p/>
            </w:tc>
            <w:tc>
              <w:tcPr>
                <w:tcW w:w="1340" w:type="dxa"/>
                <w:shd w:val="clear" w:color="auto" w:fill="auto"/>
                <w:noWrap/>
                <w:vAlign w:val="bottom"/>
                <w:hideMark/>
              </w:tcPr>
              <w:p>
                <w:pPr>
                  <w:ind w:firstLine="120"/>
                  <w:jc w:val="right"/>
                  <w:rPr>
                    <w:b/>
                    <w:bCs/>
                  </w:rPr>
                </w:pPr>
                <w:r>
                  <w:rPr>
                    <w:b/>
                    <w:bCs/>
                  </w:rPr>
                  <w:t>640</w:t>
                </w:r>
              </w:p>
            </w:tc>
          </w:tr>
          <w:tr>
            <w:tblPrEx>
              <w:jc w:val="left"/>
              <w:tblBorders>
                <w:bottom w:val="single" w:sz="4" w:space="0" w:color="auto"/>
              </w:tblBorders>
            </w:tblPrEx>
            <w:trPr>
              <w:trHeight w:val="315"/>
            </w:trPr>
            <w:tc>
              <w:tcPr>
                <w:tcW w:w="2980" w:type="dxa"/>
                <w:shd w:val="clear" w:color="auto" w:fill="auto"/>
                <w:vAlign w:val="center"/>
                <w:hideMark/>
              </w:tcPr>
              <w:p>
                <w:pPr>
                  <w:rPr>
                    <w:b/>
                    <w:bCs/>
                  </w:rPr>
                </w:pPr>
              </w:p>
            </w:tc>
            <w:tc>
              <w:tcPr>
                <w:tcW w:w="4840" w:type="dxa"/>
                <w:shd w:val="clear" w:color="auto" w:fill="auto"/>
                <w:vAlign w:val="bottom"/>
                <w:hideMark/>
              </w:tcPr>
              <w:p>
                <w:r>
                  <w:t>iš jų:</w:t>
                </w:r>
              </w:p>
            </w:tc>
            <w:tc>
              <w:tcPr>
                <w:tcW w:w="1340" w:type="dxa"/>
                <w:shd w:val="clear" w:color="auto" w:fill="auto"/>
                <w:noWrap/>
                <w:vAlign w:val="bottom"/>
                <w:hideMark/>
              </w:tcPr>
              <w:p>
                <w:pPr>
                  <w:jc w:val="right"/>
                  <w:rPr>
                    <w:b/>
                    <w:bCs/>
                  </w:rPr>
                </w:pPr>
              </w:p>
            </w:tc>
          </w:tr>
          <w:tr>
            <w:tblPrEx>
              <w:jc w:val="left"/>
              <w:tblBorders>
                <w:bottom w:val="single" w:sz="4" w:space="0" w:color="auto"/>
              </w:tblBorders>
            </w:tblPrEx>
            <w:trPr>
              <w:trHeight w:val="630"/>
            </w:trPr>
            <w:tc>
              <w:tcPr>
                <w:tcW w:w="2980" w:type="dxa"/>
                <w:tcBorders>
                  <w:bottom w:val="nil"/>
                </w:tcBorders>
                <w:shd w:val="clear" w:color="auto" w:fill="auto"/>
                <w:vAlign w:val="center"/>
                <w:hideMark/>
              </w:tcPr>
              <w:p>
                <w:pPr>
                  <w:rPr>
                    <w:b/>
                    <w:bCs/>
                  </w:rPr>
                </w:pPr>
              </w:p>
            </w:tc>
            <w:tc>
              <w:tcPr>
                <w:tcW w:w="4840" w:type="dxa"/>
                <w:tcBorders>
                  <w:bottom w:val="nil"/>
                </w:tcBorders>
                <w:shd w:val="clear" w:color="auto" w:fill="auto"/>
                <w:vAlign w:val="bottom"/>
                <w:hideMark/>
              </w:tcPr>
              <w:p>
                <w:r>
                  <w:t>Šiaulių laisvosios ekonominės zonos elektros energijos įrenginių prijungimo prie tinklo įmokai finansuoti</w:t>
                </w:r>
              </w:p>
            </w:tc>
            <w:tc>
              <w:tcPr>
                <w:tcW w:w="1340" w:type="dxa"/>
                <w:tcBorders>
                  <w:bottom w:val="nil"/>
                </w:tcBorders>
                <w:shd w:val="clear" w:color="auto" w:fill="auto"/>
                <w:noWrap/>
                <w:vAlign w:val="bottom"/>
                <w:hideMark/>
              </w:tcPr>
              <w:p>
                <w:pPr>
                  <w:ind w:firstLine="120"/>
                  <w:jc w:val="right"/>
                </w:pPr>
                <w:r>
                  <w:t>440</w:t>
                </w:r>
              </w:p>
            </w:tc>
          </w:tr>
          <w:tr>
            <w:tblPrEx>
              <w:jc w:val="left"/>
              <w:tblBorders>
                <w:bottom w:val="single" w:sz="4" w:space="0" w:color="auto"/>
              </w:tblBorders>
            </w:tblPrEx>
            <w:trPr>
              <w:trHeight w:val="1020"/>
            </w:trPr>
            <w:tc>
              <w:tcPr>
                <w:tcW w:w="2980" w:type="dxa"/>
                <w:tcBorders>
                  <w:bottom w:val="single" w:sz="8" w:space="0" w:color="auto"/>
                </w:tcBorders>
                <w:shd w:val="clear" w:color="auto" w:fill="auto"/>
                <w:vAlign w:val="center"/>
                <w:hideMark/>
              </w:tcPr>
              <w:p>
                <w:pPr>
                  <w:rPr>
                    <w:b/>
                    <w:bCs/>
                  </w:rPr>
                </w:pPr>
              </w:p>
            </w:tc>
            <w:tc>
              <w:tcPr>
                <w:tcW w:w="4840" w:type="dxa"/>
                <w:tcBorders>
                  <w:bottom w:val="single" w:sz="4" w:space="0" w:color="auto"/>
                </w:tcBorders>
                <w:shd w:val="clear" w:color="auto" w:fill="auto"/>
                <w:vAlign w:val="bottom"/>
                <w:hideMark/>
              </w:tcPr>
              <w:p>
                <w:r>
                  <w:t>Valstybės investicijų 2016–2018 metų programoje numatytoms kapitalo investicijoms finansuoti</w:t>
                </w:r>
              </w:p>
            </w:tc>
            <w:tc>
              <w:tcPr>
                <w:tcW w:w="1340" w:type="dxa"/>
                <w:tcBorders>
                  <w:bottom w:val="single" w:sz="4" w:space="0" w:color="auto"/>
                </w:tcBorders>
                <w:shd w:val="clear" w:color="auto" w:fill="auto"/>
                <w:noWrap/>
                <w:vAlign w:val="bottom"/>
                <w:hideMark/>
              </w:tcPr>
              <w:p>
                <w:pPr>
                  <w:ind w:firstLine="120"/>
                  <w:jc w:val="right"/>
                </w:pPr>
                <w:r>
                  <w:t>200</w:t>
                </w:r>
              </w:p>
            </w:tc>
          </w:tr>
          <w:tr>
            <w:trPr>
              <w:trHeight w:val="1020"/>
              <w:jc w:val="center"/>
            </w:trPr>
            <w:tc>
              <w:tcPr>
                <w:tcW w:w="2980" w:type="dxa"/>
                <w:tcBorders>
                  <w:top w:val="single" w:sz="8" w:space="0" w:color="auto"/>
                  <w:left w:val="nil"/>
                  <w:bottom w:val="single" w:sz="8" w:space="0" w:color="auto"/>
                  <w:right w:val="nil"/>
                </w:tcBorders>
                <w:shd w:val="clear" w:color="auto" w:fill="auto"/>
                <w:vAlign w:val="bottom"/>
                <w:hideMark/>
              </w:tcPr>
              <w:p>
                <w:pPr>
                  <w:rPr>
                    <w:b/>
                    <w:bCs/>
                  </w:rPr>
                </w:pPr>
                <w:r>
                  <w:rPr>
                    <w:b/>
                    <w:bCs/>
                  </w:rPr>
                  <w:t>Lietuvos Respublikos vidaus reikalų ministerija</w:t>
                </w:r>
              </w:p>
              <w:p>
                <w:pPr>
                  <w:rPr>
                    <w:b/>
                    <w:bCs/>
                  </w:rPr>
                </w:pPr>
              </w:p>
            </w:tc>
            <w:tc>
              <w:tcPr>
                <w:tcW w:w="4840" w:type="dxa"/>
                <w:tcBorders>
                  <w:top w:val="single" w:sz="8" w:space="0" w:color="auto"/>
                  <w:left w:val="nil"/>
                  <w:bottom w:val="single" w:sz="8" w:space="0" w:color="auto"/>
                  <w:right w:val="nil"/>
                </w:tcBorders>
                <w:shd w:val="clear" w:color="auto" w:fill="auto"/>
                <w:vAlign w:val="bottom"/>
                <w:hideMark/>
              </w:tcPr>
              <w:p>
                <w:r>
                  <w:t>Valstybės investicijų 2016–2018 metų programoje numatytoms kapitalo investicijoms finansuoti</w:t>
                </w:r>
              </w:p>
            </w:tc>
            <w:tc>
              <w:tcPr>
                <w:tcW w:w="1340" w:type="dxa"/>
                <w:tcBorders>
                  <w:top w:val="single" w:sz="8" w:space="0" w:color="auto"/>
                  <w:left w:val="nil"/>
                  <w:bottom w:val="single" w:sz="8" w:space="0" w:color="auto"/>
                  <w:right w:val="nil"/>
                </w:tcBorders>
                <w:shd w:val="clear" w:color="auto" w:fill="auto"/>
                <w:noWrap/>
                <w:vAlign w:val="bottom"/>
                <w:hideMark/>
              </w:tcPr>
              <w:p>
                <w:pPr>
                  <w:ind w:firstLine="120"/>
                  <w:jc w:val="right"/>
                  <w:rPr>
                    <w:b/>
                    <w:bCs/>
                  </w:rPr>
                </w:pPr>
                <w:r>
                  <w:rPr>
                    <w:b/>
                    <w:bCs/>
                  </w:rPr>
                  <w:t>500</w:t>
                </w:r>
              </w:p>
            </w:tc>
          </w:tr>
          <w:tr>
            <w:trPr>
              <w:trHeight w:val="1020"/>
              <w:jc w:val="center"/>
            </w:trPr>
            <w:tc>
              <w:tcPr>
                <w:tcW w:w="2980" w:type="dxa"/>
                <w:tcBorders>
                  <w:top w:val="nil"/>
                  <w:left w:val="nil"/>
                  <w:bottom w:val="nil"/>
                  <w:right w:val="nil"/>
                </w:tcBorders>
                <w:shd w:val="clear" w:color="auto" w:fill="auto"/>
                <w:vAlign w:val="bottom"/>
                <w:hideMark/>
              </w:tcPr>
              <w:p>
                <w:pPr>
                  <w:rPr>
                    <w:b/>
                    <w:bCs/>
                  </w:rPr>
                </w:pPr>
                <w:r>
                  <w:rPr>
                    <w:b/>
                    <w:bCs/>
                  </w:rPr>
                  <w:t>Kūno kultūros ir sporto departamentas prie Lietuvos Respublikos Vyriausybės</w:t>
                </w:r>
              </w:p>
            </w:tc>
            <w:tc>
              <w:tcPr>
                <w:tcW w:w="4840" w:type="dxa"/>
                <w:tcBorders>
                  <w:top w:val="nil"/>
                  <w:left w:val="nil"/>
                  <w:bottom w:val="single" w:sz="8" w:space="0" w:color="auto"/>
                  <w:right w:val="nil"/>
                </w:tcBorders>
                <w:shd w:val="clear" w:color="auto" w:fill="auto"/>
                <w:vAlign w:val="bottom"/>
                <w:hideMark/>
              </w:tcPr>
              <w:p>
                <w:r>
                  <w:t>Valstybės investicijų 2016–2018 metų programoje numatytoms kapitalo investicijoms finansuoti</w:t>
                </w:r>
              </w:p>
            </w:tc>
            <w:tc>
              <w:tcPr>
                <w:tcW w:w="1340" w:type="dxa"/>
                <w:tcBorders>
                  <w:top w:val="nil"/>
                  <w:left w:val="nil"/>
                  <w:bottom w:val="nil"/>
                  <w:right w:val="nil"/>
                </w:tcBorders>
                <w:shd w:val="clear" w:color="auto" w:fill="auto"/>
                <w:vAlign w:val="bottom"/>
                <w:hideMark/>
              </w:tcPr>
              <w:p>
                <w:pPr>
                  <w:ind w:firstLine="60"/>
                  <w:jc w:val="right"/>
                  <w:rPr>
                    <w:b/>
                    <w:bCs/>
                  </w:rPr>
                </w:pPr>
                <w:r>
                  <w:rPr>
                    <w:b/>
                    <w:bCs/>
                  </w:rPr>
                  <w:t>9 163</w:t>
                </w:r>
              </w:p>
            </w:tc>
          </w:tr>
          <w:tr>
            <w:trPr>
              <w:trHeight w:val="315"/>
              <w:jc w:val="center"/>
            </w:trPr>
            <w:tc>
              <w:tcPr>
                <w:tcW w:w="2980" w:type="dxa"/>
                <w:tcBorders>
                  <w:top w:val="single" w:sz="8" w:space="0" w:color="auto"/>
                  <w:left w:val="nil"/>
                  <w:bottom w:val="nil"/>
                  <w:right w:val="nil"/>
                </w:tcBorders>
                <w:shd w:val="clear" w:color="auto" w:fill="auto"/>
                <w:noWrap/>
                <w:vAlign w:val="bottom"/>
                <w:hideMark/>
              </w:tcPr>
              <w:p>
                <w:pPr>
                  <w:rPr>
                    <w:b/>
                    <w:bCs/>
                  </w:rPr>
                </w:pPr>
                <w:r>
                  <w:rPr>
                    <w:b/>
                    <w:bCs/>
                  </w:rPr>
                  <w:t>IŠ VISO</w:t>
                </w:r>
              </w:p>
            </w:tc>
            <w:tc>
              <w:tcPr>
                <w:tcW w:w="4840" w:type="dxa"/>
                <w:tcBorders>
                  <w:top w:val="nil"/>
                  <w:left w:val="nil"/>
                  <w:bottom w:val="nil"/>
                  <w:right w:val="nil"/>
                </w:tcBorders>
                <w:shd w:val="clear" w:color="auto" w:fill="auto"/>
                <w:vAlign w:val="bottom"/>
                <w:hideMark/>
              </w:tcPr>
              <w:p>
                <w:pPr>
                  <w:ind w:firstLine="60"/>
                </w:pPr>
              </w:p>
            </w:tc>
            <w:tc>
              <w:tcPr>
                <w:tcW w:w="1340" w:type="dxa"/>
                <w:tcBorders>
                  <w:top w:val="single" w:sz="8" w:space="0" w:color="auto"/>
                  <w:left w:val="nil"/>
                  <w:bottom w:val="nil"/>
                  <w:right w:val="nil"/>
                </w:tcBorders>
                <w:shd w:val="clear" w:color="auto" w:fill="auto"/>
                <w:noWrap/>
                <w:vAlign w:val="bottom"/>
                <w:hideMark/>
              </w:tcPr>
              <w:p>
                <w:pPr>
                  <w:ind w:firstLine="60"/>
                  <w:jc w:val="right"/>
                  <w:rPr>
                    <w:b/>
                    <w:bCs/>
                  </w:rPr>
                </w:pPr>
                <w:r>
                  <w:rPr>
                    <w:b/>
                    <w:bCs/>
                  </w:rPr>
                  <w:t>168 909</w:t>
                </w:r>
              </w:p>
            </w:tc>
          </w:tr>
        </w:tbl>
        <w:p/>
        <w:p/>
        <w:p/>
        <w:p>
          <w:pPr>
            <w:sectPr>
              <w:pgSz w:w="11906" w:h="16838" w:code="9"/>
              <w:pgMar w:top="1134" w:right="1134" w:bottom="1134" w:left="1701" w:header="567" w:footer="567" w:gutter="0"/>
              <w:pgNumType w:start="1"/>
              <w:cols w:space="1296"/>
              <w:titlePg/>
              <w:docGrid w:linePitch="360"/>
            </w:sectPr>
          </w:pPr>
        </w:p>
        <w:p>
          <w:pPr>
            <w:tabs>
              <w:tab w:val="center" w:pos="4153"/>
              <w:tab w:val="right" w:pos="8306"/>
            </w:tabs>
            <w:rPr>
              <w:rFonts w:ascii="TimesLT" w:hAnsi="TimesLT"/>
              <w:lang w:val="en-US"/>
            </w:rPr>
          </w:pPr>
        </w:p>
      </w:sdtContent>
    </w:sdt>
    <w:sdt>
      <w:sdtPr>
        <w:alias w:val="6 pr."/>
        <w:tag w:val="part_bf3e7b6dd0264e909d3b263dc6c754c2"/>
        <w:lock w:val="sdtLocked"/>
        <w:richText/>
      </w:sdtPr>
      <w:sdtContent>
        <w:p>
          <w:pPr>
            <w:ind w:firstLine="5670"/>
          </w:pPr>
          <w:r>
            <w:t>Lietuvos Respublikos</w:t>
          </w:r>
        </w:p>
        <w:p>
          <w:pPr>
            <w:ind w:firstLine="5670"/>
          </w:pPr>
          <w:r>
            <w:t>2016 metų valstybės biudžeto ir</w:t>
          </w:r>
        </w:p>
        <w:p>
          <w:pPr>
            <w:ind w:firstLine="5670"/>
          </w:pPr>
          <w:r>
            <w:t>savivaldybių biudžetų finansinių</w:t>
          </w:r>
        </w:p>
        <w:p>
          <w:pPr>
            <w:ind w:firstLine="5670"/>
          </w:pPr>
          <w:r>
            <w:t>rodiklių patvirtinimo įstatymo</w:t>
          </w:r>
        </w:p>
        <w:p>
          <w:pPr>
            <w:ind w:firstLine="5670"/>
          </w:pPr>
          <w:sdt>
            <w:sdtPr>
              <w:alias w:val="Numeris"/>
              <w:tag w:val="nr_bf3e7b6dd0264e909d3b263dc6c754c2"/>
              <w:lock w:val="sdtLocked"/>
              <w:richText/>
            </w:sdtPr>
            <w:sdtContent>
              <w:r>
                <w:t>6</w:t>
              </w:r>
            </w:sdtContent>
          </w:sdt>
          <w:r>
            <w:t xml:space="preserve"> priedas</w:t>
          </w:r>
        </w:p>
        <w:p/>
        <w:sdt>
          <w:sdtPr>
            <w:alias w:val="Pavadinimas"/>
            <w:tag w:val="title_bf3e7b6dd0264e909d3b263dc6c754c2"/>
            <w:lock w:val="sdtLocked"/>
            <w:richText/>
          </w:sdtPr>
          <w:sdtContent>
            <w:p>
              <w:pPr>
                <w:jc w:val="center"/>
                <w:rPr>
                  <w:b/>
                </w:rPr>
              </w:pPr>
              <w:r>
                <w:rPr>
                  <w:b/>
                </w:rPr>
                <w:t>LIETUVOS RESPUBLIKOS</w:t>
              </w:r>
            </w:p>
            <w:p>
              <w:pPr>
                <w:jc w:val="center"/>
                <w:rPr>
                  <w:b/>
                </w:rPr>
              </w:pPr>
              <w:r>
                <w:rPr>
                  <w:b/>
                </w:rPr>
                <w:t>2016 METŲ VALSTYBĖS BIUDŽETO BENDROSIOS DOTACIJOS KOMPENSACIJOS SAVIVALDYBIŲ BIUDŽETAMS</w:t>
              </w:r>
            </w:p>
          </w:sdtContent>
        </w:sdt>
        <w:p/>
        <w:tbl>
          <w:tblPr>
            <w:tblW w:w="5755" w:type="dxa"/>
            <w:jc w:val="center"/>
            <w:tblInd w:w="-689" w:type="dxa"/>
            <w:tblLook w:val="01E0" w:firstRow="1" w:lastRow="1" w:firstColumn="1" w:lastColumn="1" w:noHBand="0" w:noVBand="0"/>
          </w:tblPr>
          <w:tblGrid>
            <w:gridCol w:w="3324"/>
            <w:gridCol w:w="2431"/>
          </w:tblGrid>
          <w:tr>
            <w:trPr>
              <w:trHeight w:val="285"/>
              <w:tblHeader/>
              <w:jc w:val="center"/>
            </w:trPr>
            <w:tc>
              <w:tcPr>
                <w:tcW w:w="3324" w:type="dxa"/>
                <w:tcBorders>
                  <w:bottom w:val="single" w:sz="4" w:space="0" w:color="auto"/>
                </w:tcBorders>
                <w:vAlign w:val="center"/>
              </w:tcPr>
              <w:p>
                <w:pPr>
                  <w:tabs>
                    <w:tab w:val="left" w:pos="567"/>
                  </w:tabs>
                  <w:jc w:val="center"/>
                </w:pPr>
              </w:p>
            </w:tc>
            <w:tc>
              <w:tcPr>
                <w:tcW w:w="2431" w:type="dxa"/>
                <w:tcBorders>
                  <w:bottom w:val="single" w:sz="4" w:space="0" w:color="auto"/>
                </w:tcBorders>
                <w:vAlign w:val="center"/>
              </w:tcPr>
              <w:p>
                <w:pPr>
                  <w:tabs>
                    <w:tab w:val="left" w:pos="567"/>
                  </w:tabs>
                  <w:jc w:val="right"/>
                </w:pPr>
                <w:r>
                  <w:t>Tūkst. Eur</w:t>
                </w:r>
              </w:p>
            </w:tc>
          </w:tr>
          <w:tr>
            <w:trPr>
              <w:trHeight w:val="285"/>
              <w:tblHeader/>
              <w:jc w:val="center"/>
            </w:trPr>
            <w:tc>
              <w:tcPr>
                <w:tcW w:w="3324" w:type="dxa"/>
                <w:vMerge w:val="restart"/>
                <w:tcBorders>
                  <w:top w:val="single" w:sz="4" w:space="0" w:color="auto"/>
                  <w:left w:val="single" w:sz="4" w:space="0" w:color="auto"/>
                  <w:bottom w:val="single" w:sz="4" w:space="0" w:color="auto"/>
                  <w:right w:val="single" w:sz="4" w:space="0" w:color="auto"/>
                </w:tcBorders>
                <w:vAlign w:val="center"/>
              </w:tcPr>
              <w:p>
                <w:pPr>
                  <w:tabs>
                    <w:tab w:val="left" w:pos="567"/>
                  </w:tabs>
                  <w:jc w:val="center"/>
                </w:pPr>
                <w:r>
                  <w:t>Savivaldybės pavadinimas</w:t>
                </w:r>
              </w:p>
            </w:tc>
            <w:tc>
              <w:tcPr>
                <w:tcW w:w="2431" w:type="dxa"/>
                <w:vMerge w:val="restart"/>
                <w:tcBorders>
                  <w:top w:val="single" w:sz="4" w:space="0" w:color="auto"/>
                  <w:left w:val="single" w:sz="4" w:space="0" w:color="auto"/>
                  <w:bottom w:val="single" w:sz="4" w:space="0" w:color="auto"/>
                  <w:right w:val="single" w:sz="4" w:space="0" w:color="auto"/>
                </w:tcBorders>
                <w:vAlign w:val="center"/>
              </w:tcPr>
              <w:p>
                <w:pPr>
                  <w:tabs>
                    <w:tab w:val="left" w:pos="567"/>
                  </w:tabs>
                  <w:jc w:val="center"/>
                </w:pPr>
                <w:r>
                  <w:t>Iš viso</w:t>
                </w:r>
              </w:p>
            </w:tc>
          </w:tr>
          <w:tr>
            <w:trPr>
              <w:trHeight w:val="285"/>
              <w:tblHeader/>
              <w:jc w:val="center"/>
            </w:trPr>
            <w:tc>
              <w:tcPr>
                <w:tcW w:w="3324" w:type="dxa"/>
                <w:vMerge/>
                <w:tcBorders>
                  <w:top w:val="single" w:sz="4" w:space="0" w:color="auto"/>
                  <w:left w:val="single" w:sz="4" w:space="0" w:color="auto"/>
                  <w:bottom w:val="single" w:sz="4" w:space="0" w:color="auto"/>
                  <w:right w:val="single" w:sz="4" w:space="0" w:color="auto"/>
                </w:tcBorders>
              </w:tcPr>
              <w:p>
                <w:pPr>
                  <w:tabs>
                    <w:tab w:val="left" w:pos="567"/>
                  </w:tabs>
                </w:pPr>
              </w:p>
            </w:tc>
            <w:tc>
              <w:tcPr>
                <w:tcW w:w="2431" w:type="dxa"/>
                <w:vMerge/>
                <w:tcBorders>
                  <w:top w:val="single" w:sz="4" w:space="0" w:color="auto"/>
                  <w:left w:val="single" w:sz="4" w:space="0" w:color="auto"/>
                  <w:bottom w:val="single" w:sz="4" w:space="0" w:color="auto"/>
                  <w:right w:val="single" w:sz="4" w:space="0" w:color="auto"/>
                </w:tcBorders>
                <w:vAlign w:val="center"/>
              </w:tcPr>
              <w:p>
                <w:pPr>
                  <w:tabs>
                    <w:tab w:val="left" w:pos="567"/>
                  </w:tabs>
                  <w:jc w:val="center"/>
                </w:pPr>
              </w:p>
            </w:tc>
          </w:tr>
          <w:tr>
            <w:trPr>
              <w:tblHeader/>
              <w:jc w:val="center"/>
            </w:trPr>
            <w:tc>
              <w:tcPr>
                <w:tcW w:w="3324" w:type="dxa"/>
                <w:tcBorders>
                  <w:top w:val="single" w:sz="4" w:space="0" w:color="auto"/>
                </w:tcBorders>
              </w:tcPr>
              <w:p>
                <w:pPr>
                  <w:tabs>
                    <w:tab w:val="left" w:pos="567"/>
                  </w:tabs>
                </w:pPr>
              </w:p>
            </w:tc>
            <w:tc>
              <w:tcPr>
                <w:tcW w:w="2431" w:type="dxa"/>
                <w:tcBorders>
                  <w:top w:val="single" w:sz="4" w:space="0" w:color="auto"/>
                </w:tcBorders>
              </w:tcPr>
              <w:p>
                <w:pPr>
                  <w:tabs>
                    <w:tab w:val="left" w:pos="567"/>
                  </w:tabs>
                </w:pPr>
              </w:p>
            </w:tc>
          </w:tr>
          <w:tr>
            <w:trPr>
              <w:jc w:val="center"/>
            </w:trPr>
            <w:tc>
              <w:tcPr>
                <w:tcW w:w="3324" w:type="dxa"/>
              </w:tcPr>
              <w:p>
                <w:r>
                  <w:t>Alytaus miesto</w:t>
                </w:r>
              </w:p>
            </w:tc>
            <w:tc>
              <w:tcPr>
                <w:tcW w:w="2431" w:type="dxa"/>
              </w:tcPr>
              <w:p>
                <w:pPr>
                  <w:jc w:val="center"/>
                </w:pPr>
                <w:r>
                  <w:t>3 605</w:t>
                </w:r>
              </w:p>
            </w:tc>
          </w:tr>
          <w:tr>
            <w:trPr>
              <w:jc w:val="center"/>
            </w:trPr>
            <w:tc>
              <w:tcPr>
                <w:tcW w:w="3324" w:type="dxa"/>
              </w:tcPr>
              <w:p>
                <w:r>
                  <w:t xml:space="preserve">Birštono </w:t>
                </w:r>
              </w:p>
            </w:tc>
            <w:tc>
              <w:tcPr>
                <w:tcW w:w="2431" w:type="dxa"/>
              </w:tcPr>
              <w:p>
                <w:pPr>
                  <w:jc w:val="center"/>
                </w:pPr>
                <w:r>
                  <w:t>2 641</w:t>
                </w:r>
              </w:p>
            </w:tc>
          </w:tr>
          <w:tr>
            <w:trPr>
              <w:jc w:val="center"/>
            </w:trPr>
            <w:tc>
              <w:tcPr>
                <w:tcW w:w="3324" w:type="dxa"/>
              </w:tcPr>
              <w:p>
                <w:r>
                  <w:t>Druskininkų</w:t>
                </w:r>
              </w:p>
              <w:p>
                <w:r>
                  <w:t>Kauno miesto</w:t>
                </w:r>
              </w:p>
              <w:p>
                <w:r>
                  <w:t>Marijampolės</w:t>
                </w:r>
              </w:p>
              <w:p>
                <w:r>
                  <w:t>Neringos</w:t>
                </w:r>
              </w:p>
            </w:tc>
            <w:tc>
              <w:tcPr>
                <w:tcW w:w="2431" w:type="dxa"/>
              </w:tcPr>
              <w:p>
                <w:pPr>
                  <w:jc w:val="center"/>
                </w:pPr>
                <w:r>
                  <w:t>867</w:t>
                </w:r>
              </w:p>
              <w:p>
                <w:pPr>
                  <w:jc w:val="center"/>
                </w:pPr>
                <w:r>
                  <w:t>4 160</w:t>
                </w:r>
              </w:p>
              <w:p>
                <w:pPr>
                  <w:jc w:val="center"/>
                </w:pPr>
                <w:r>
                  <w:t>135</w:t>
                </w:r>
              </w:p>
              <w:p>
                <w:pPr>
                  <w:jc w:val="center"/>
                </w:pPr>
                <w:r>
                  <w:t>634</w:t>
                </w:r>
              </w:p>
            </w:tc>
          </w:tr>
          <w:tr>
            <w:trPr>
              <w:jc w:val="center"/>
            </w:trPr>
            <w:tc>
              <w:tcPr>
                <w:tcW w:w="3324" w:type="dxa"/>
              </w:tcPr>
              <w:p>
                <w:r>
                  <w:t xml:space="preserve">Visagino </w:t>
                </w:r>
              </w:p>
            </w:tc>
            <w:tc>
              <w:tcPr>
                <w:tcW w:w="2431" w:type="dxa"/>
              </w:tcPr>
              <w:p>
                <w:pPr>
                  <w:jc w:val="center"/>
                </w:pPr>
                <w:r>
                  <w:t>1 958</w:t>
                </w:r>
              </w:p>
            </w:tc>
          </w:tr>
          <w:tr>
            <w:trPr>
              <w:jc w:val="center"/>
            </w:trPr>
            <w:tc>
              <w:tcPr>
                <w:tcW w:w="3324" w:type="dxa"/>
              </w:tcPr>
              <w:p>
                <w:r>
                  <w:t>Akmenės rajono</w:t>
                </w:r>
              </w:p>
            </w:tc>
            <w:tc>
              <w:tcPr>
                <w:tcW w:w="2431" w:type="dxa"/>
              </w:tcPr>
              <w:p>
                <w:pPr>
                  <w:jc w:val="center"/>
                </w:pPr>
                <w:r>
                  <w:t>4 595</w:t>
                </w:r>
              </w:p>
            </w:tc>
          </w:tr>
          <w:tr>
            <w:trPr>
              <w:jc w:val="center"/>
            </w:trPr>
            <w:tc>
              <w:tcPr>
                <w:tcW w:w="3324" w:type="dxa"/>
              </w:tcPr>
              <w:p>
                <w:r>
                  <w:t>Alytaus rajono</w:t>
                </w:r>
              </w:p>
            </w:tc>
            <w:tc>
              <w:tcPr>
                <w:tcW w:w="2431" w:type="dxa"/>
              </w:tcPr>
              <w:p>
                <w:pPr>
                  <w:jc w:val="center"/>
                </w:pPr>
                <w:r>
                  <w:t>781</w:t>
                </w:r>
              </w:p>
            </w:tc>
          </w:tr>
          <w:tr>
            <w:trPr>
              <w:jc w:val="center"/>
            </w:trPr>
            <w:tc>
              <w:tcPr>
                <w:tcW w:w="3324" w:type="dxa"/>
              </w:tcPr>
              <w:p>
                <w:r>
                  <w:t>Anykščių rajono</w:t>
                </w:r>
              </w:p>
            </w:tc>
            <w:tc>
              <w:tcPr>
                <w:tcW w:w="2431" w:type="dxa"/>
              </w:tcPr>
              <w:p>
                <w:pPr>
                  <w:jc w:val="center"/>
                </w:pPr>
                <w:r>
                  <w:t>2 332</w:t>
                </w:r>
              </w:p>
            </w:tc>
          </w:tr>
          <w:tr>
            <w:trPr>
              <w:jc w:val="center"/>
            </w:trPr>
            <w:tc>
              <w:tcPr>
                <w:tcW w:w="3324" w:type="dxa"/>
              </w:tcPr>
              <w:p>
                <w:r>
                  <w:t>Biržų rajono</w:t>
                </w:r>
              </w:p>
            </w:tc>
            <w:tc>
              <w:tcPr>
                <w:tcW w:w="2431" w:type="dxa"/>
              </w:tcPr>
              <w:p>
                <w:pPr>
                  <w:jc w:val="center"/>
                </w:pPr>
                <w:r>
                  <w:t>815</w:t>
                </w:r>
              </w:p>
            </w:tc>
          </w:tr>
          <w:tr>
            <w:trPr>
              <w:jc w:val="center"/>
            </w:trPr>
            <w:tc>
              <w:tcPr>
                <w:tcW w:w="3324" w:type="dxa"/>
              </w:tcPr>
              <w:p>
                <w:r>
                  <w:t>Ignalinos rajono</w:t>
                </w:r>
              </w:p>
            </w:tc>
            <w:tc>
              <w:tcPr>
                <w:tcW w:w="2431" w:type="dxa"/>
              </w:tcPr>
              <w:p>
                <w:pPr>
                  <w:jc w:val="center"/>
                </w:pPr>
                <w:r>
                  <w:t>1 529</w:t>
                </w:r>
              </w:p>
            </w:tc>
          </w:tr>
          <w:tr>
            <w:trPr>
              <w:jc w:val="center"/>
            </w:trPr>
            <w:tc>
              <w:tcPr>
                <w:tcW w:w="3324" w:type="dxa"/>
              </w:tcPr>
              <w:p>
                <w:r>
                  <w:t>Jonavos rajono</w:t>
                </w:r>
              </w:p>
            </w:tc>
            <w:tc>
              <w:tcPr>
                <w:tcW w:w="2431" w:type="dxa"/>
              </w:tcPr>
              <w:p>
                <w:pPr>
                  <w:jc w:val="center"/>
                </w:pPr>
                <w:r>
                  <w:t>3 432</w:t>
                </w:r>
              </w:p>
            </w:tc>
          </w:tr>
          <w:tr>
            <w:trPr>
              <w:jc w:val="center"/>
            </w:trPr>
            <w:tc>
              <w:tcPr>
                <w:tcW w:w="3324" w:type="dxa"/>
              </w:tcPr>
              <w:p>
                <w:r>
                  <w:t>Joniškio rajono</w:t>
                </w:r>
              </w:p>
            </w:tc>
            <w:tc>
              <w:tcPr>
                <w:tcW w:w="2431" w:type="dxa"/>
              </w:tcPr>
              <w:p>
                <w:pPr>
                  <w:jc w:val="center"/>
                </w:pPr>
                <w:r>
                  <w:t>1 146</w:t>
                </w:r>
              </w:p>
            </w:tc>
          </w:tr>
          <w:tr>
            <w:trPr>
              <w:jc w:val="center"/>
            </w:trPr>
            <w:tc>
              <w:tcPr>
                <w:tcW w:w="3324" w:type="dxa"/>
              </w:tcPr>
              <w:p>
                <w:r>
                  <w:t>Jurbarko rajono</w:t>
                </w:r>
              </w:p>
            </w:tc>
            <w:tc>
              <w:tcPr>
                <w:tcW w:w="2431" w:type="dxa"/>
              </w:tcPr>
              <w:p>
                <w:pPr>
                  <w:jc w:val="center"/>
                </w:pPr>
                <w:r>
                  <w:t>1 128</w:t>
                </w:r>
              </w:p>
            </w:tc>
          </w:tr>
          <w:tr>
            <w:trPr>
              <w:jc w:val="center"/>
            </w:trPr>
            <w:tc>
              <w:tcPr>
                <w:tcW w:w="3324" w:type="dxa"/>
              </w:tcPr>
              <w:p>
                <w:r>
                  <w:t>Kaišiadorių rajono</w:t>
                </w:r>
              </w:p>
            </w:tc>
            <w:tc>
              <w:tcPr>
                <w:tcW w:w="2431" w:type="dxa"/>
              </w:tcPr>
              <w:p>
                <w:pPr>
                  <w:jc w:val="center"/>
                </w:pPr>
                <w:r>
                  <w:t>922</w:t>
                </w:r>
              </w:p>
            </w:tc>
          </w:tr>
          <w:tr>
            <w:trPr>
              <w:jc w:val="center"/>
            </w:trPr>
            <w:tc>
              <w:tcPr>
                <w:tcW w:w="3324" w:type="dxa"/>
              </w:tcPr>
              <w:p>
                <w:r>
                  <w:t>Kėdainių rajono</w:t>
                </w:r>
              </w:p>
            </w:tc>
            <w:tc>
              <w:tcPr>
                <w:tcW w:w="2431" w:type="dxa"/>
              </w:tcPr>
              <w:p>
                <w:pPr>
                  <w:jc w:val="center"/>
                </w:pPr>
                <w:r>
                  <w:t>115</w:t>
                </w:r>
              </w:p>
            </w:tc>
          </w:tr>
          <w:tr>
            <w:trPr>
              <w:jc w:val="center"/>
            </w:trPr>
            <w:tc>
              <w:tcPr>
                <w:tcW w:w="3324" w:type="dxa"/>
              </w:tcPr>
              <w:p>
                <w:r>
                  <w:t>Kelmės rajono</w:t>
                </w:r>
              </w:p>
            </w:tc>
            <w:tc>
              <w:tcPr>
                <w:tcW w:w="2431" w:type="dxa"/>
              </w:tcPr>
              <w:p>
                <w:pPr>
                  <w:jc w:val="center"/>
                </w:pPr>
                <w:r>
                  <w:t>2 665</w:t>
                </w:r>
              </w:p>
            </w:tc>
          </w:tr>
          <w:tr>
            <w:trPr>
              <w:jc w:val="center"/>
            </w:trPr>
            <w:tc>
              <w:tcPr>
                <w:tcW w:w="3324" w:type="dxa"/>
              </w:tcPr>
              <w:p>
                <w:pPr>
                  <w:tabs>
                    <w:tab w:val="left" w:pos="1960"/>
                  </w:tabs>
                </w:pPr>
                <w:r>
                  <w:t>Kupiškio rajono</w:t>
                </w:r>
              </w:p>
            </w:tc>
            <w:tc>
              <w:tcPr>
                <w:tcW w:w="2431" w:type="dxa"/>
              </w:tcPr>
              <w:p>
                <w:pPr>
                  <w:jc w:val="center"/>
                </w:pPr>
                <w:r>
                  <w:t>957</w:t>
                </w:r>
              </w:p>
            </w:tc>
          </w:tr>
          <w:tr>
            <w:trPr>
              <w:jc w:val="center"/>
            </w:trPr>
            <w:tc>
              <w:tcPr>
                <w:tcW w:w="3324" w:type="dxa"/>
              </w:tcPr>
              <w:p>
                <w:r>
                  <w:t>Lazdijų rajono</w:t>
                </w:r>
              </w:p>
              <w:p>
                <w:r>
                  <w:t>Mažeikių rajono</w:t>
                </w:r>
              </w:p>
            </w:tc>
            <w:tc>
              <w:tcPr>
                <w:tcW w:w="2431" w:type="dxa"/>
              </w:tcPr>
              <w:p>
                <w:pPr>
                  <w:jc w:val="center"/>
                </w:pPr>
                <w:r>
                  <w:t>1 452</w:t>
                </w:r>
              </w:p>
              <w:p>
                <w:pPr>
                  <w:jc w:val="center"/>
                </w:pPr>
                <w:r>
                  <w:t>1 680</w:t>
                </w:r>
              </w:p>
            </w:tc>
          </w:tr>
          <w:tr>
            <w:trPr>
              <w:jc w:val="center"/>
            </w:trPr>
            <w:tc>
              <w:tcPr>
                <w:tcW w:w="3324" w:type="dxa"/>
              </w:tcPr>
              <w:p>
                <w:r>
                  <w:t>Molėtų rajono</w:t>
                </w:r>
              </w:p>
            </w:tc>
            <w:tc>
              <w:tcPr>
                <w:tcW w:w="2431" w:type="dxa"/>
              </w:tcPr>
              <w:p>
                <w:pPr>
                  <w:jc w:val="center"/>
                </w:pPr>
                <w:r>
                  <w:t>832</w:t>
                </w:r>
              </w:p>
            </w:tc>
          </w:tr>
          <w:tr>
            <w:trPr>
              <w:jc w:val="center"/>
            </w:trPr>
            <w:tc>
              <w:tcPr>
                <w:tcW w:w="3324" w:type="dxa"/>
              </w:tcPr>
              <w:p>
                <w:r>
                  <w:t>Pakruojo rajono</w:t>
                </w:r>
              </w:p>
            </w:tc>
            <w:tc>
              <w:tcPr>
                <w:tcW w:w="2431" w:type="dxa"/>
              </w:tcPr>
              <w:p>
                <w:pPr>
                  <w:jc w:val="center"/>
                </w:pPr>
                <w:r>
                  <w:t>959</w:t>
                </w:r>
              </w:p>
            </w:tc>
          </w:tr>
          <w:tr>
            <w:trPr>
              <w:jc w:val="center"/>
            </w:trPr>
            <w:tc>
              <w:tcPr>
                <w:tcW w:w="3324" w:type="dxa"/>
              </w:tcPr>
              <w:p>
                <w:r>
                  <w:t>Panevėžio rajono</w:t>
                </w:r>
              </w:p>
            </w:tc>
            <w:tc>
              <w:tcPr>
                <w:tcW w:w="2431" w:type="dxa"/>
              </w:tcPr>
              <w:p>
                <w:pPr>
                  <w:jc w:val="center"/>
                </w:pPr>
                <w:r>
                  <w:t>985</w:t>
                </w:r>
              </w:p>
            </w:tc>
          </w:tr>
          <w:tr>
            <w:trPr>
              <w:jc w:val="center"/>
            </w:trPr>
            <w:tc>
              <w:tcPr>
                <w:tcW w:w="3324" w:type="dxa"/>
              </w:tcPr>
              <w:p>
                <w:r>
                  <w:t>Pasvalio rajono</w:t>
                </w:r>
              </w:p>
            </w:tc>
            <w:tc>
              <w:tcPr>
                <w:tcW w:w="2431" w:type="dxa"/>
              </w:tcPr>
              <w:p>
                <w:pPr>
                  <w:jc w:val="center"/>
                </w:pPr>
                <w:r>
                  <w:t>987</w:t>
                </w:r>
              </w:p>
            </w:tc>
          </w:tr>
          <w:tr>
            <w:trPr>
              <w:jc w:val="center"/>
            </w:trPr>
            <w:tc>
              <w:tcPr>
                <w:tcW w:w="3324" w:type="dxa"/>
              </w:tcPr>
              <w:p>
                <w:r>
                  <w:t>Prienų rajono</w:t>
                </w:r>
              </w:p>
            </w:tc>
            <w:tc>
              <w:tcPr>
                <w:tcW w:w="2431" w:type="dxa"/>
              </w:tcPr>
              <w:p>
                <w:pPr>
                  <w:jc w:val="center"/>
                </w:pPr>
                <w:r>
                  <w:t>882</w:t>
                </w:r>
              </w:p>
            </w:tc>
          </w:tr>
          <w:tr>
            <w:trPr>
              <w:jc w:val="center"/>
            </w:trPr>
            <w:tc>
              <w:tcPr>
                <w:tcW w:w="3324" w:type="dxa"/>
              </w:tcPr>
              <w:p>
                <w:r>
                  <w:t>Radviliškio rajono</w:t>
                </w:r>
              </w:p>
            </w:tc>
            <w:tc>
              <w:tcPr>
                <w:tcW w:w="2431" w:type="dxa"/>
              </w:tcPr>
              <w:p>
                <w:pPr>
                  <w:jc w:val="center"/>
                </w:pPr>
                <w:r>
                  <w:t>2 602</w:t>
                </w:r>
              </w:p>
            </w:tc>
          </w:tr>
          <w:tr>
            <w:trPr>
              <w:jc w:val="center"/>
            </w:trPr>
            <w:tc>
              <w:tcPr>
                <w:tcW w:w="3324" w:type="dxa"/>
              </w:tcPr>
              <w:p>
                <w:r>
                  <w:t>Raseinių rajono</w:t>
                </w:r>
              </w:p>
            </w:tc>
            <w:tc>
              <w:tcPr>
                <w:tcW w:w="2431" w:type="dxa"/>
              </w:tcPr>
              <w:p>
                <w:pPr>
                  <w:jc w:val="center"/>
                </w:pPr>
                <w:r>
                  <w:t>1 752</w:t>
                </w:r>
              </w:p>
            </w:tc>
          </w:tr>
          <w:tr>
            <w:trPr>
              <w:jc w:val="center"/>
            </w:trPr>
            <w:tc>
              <w:tcPr>
                <w:tcW w:w="3324" w:type="dxa"/>
              </w:tcPr>
              <w:p>
                <w:r>
                  <w:t>Rokiškio rajono</w:t>
                </w:r>
              </w:p>
            </w:tc>
            <w:tc>
              <w:tcPr>
                <w:tcW w:w="2431" w:type="dxa"/>
              </w:tcPr>
              <w:p>
                <w:pPr>
                  <w:jc w:val="center"/>
                </w:pPr>
                <w:r>
                  <w:t>1 346</w:t>
                </w:r>
              </w:p>
            </w:tc>
          </w:tr>
          <w:tr>
            <w:trPr>
              <w:jc w:val="center"/>
            </w:trPr>
            <w:tc>
              <w:tcPr>
                <w:tcW w:w="3324" w:type="dxa"/>
              </w:tcPr>
              <w:p>
                <w:r>
                  <w:t>Skuodo rajono</w:t>
                </w:r>
              </w:p>
            </w:tc>
            <w:tc>
              <w:tcPr>
                <w:tcW w:w="2431" w:type="dxa"/>
              </w:tcPr>
              <w:p>
                <w:pPr>
                  <w:jc w:val="center"/>
                </w:pPr>
                <w:r>
                  <w:t>1 031</w:t>
                </w:r>
              </w:p>
            </w:tc>
          </w:tr>
          <w:tr>
            <w:trPr>
              <w:jc w:val="center"/>
            </w:trPr>
            <w:tc>
              <w:tcPr>
                <w:tcW w:w="3324" w:type="dxa"/>
              </w:tcPr>
              <w:p>
                <w:r>
                  <w:t>Šakių rajono</w:t>
                </w:r>
              </w:p>
            </w:tc>
            <w:tc>
              <w:tcPr>
                <w:tcW w:w="2431" w:type="dxa"/>
              </w:tcPr>
              <w:p>
                <w:pPr>
                  <w:jc w:val="center"/>
                </w:pPr>
                <w:r>
                  <w:t>541</w:t>
                </w:r>
              </w:p>
            </w:tc>
          </w:tr>
          <w:tr>
            <w:trPr>
              <w:jc w:val="center"/>
            </w:trPr>
            <w:tc>
              <w:tcPr>
                <w:tcW w:w="3324" w:type="dxa"/>
              </w:tcPr>
              <w:p>
                <w:r>
                  <w:t>Šalčininkų rajono</w:t>
                </w:r>
              </w:p>
            </w:tc>
            <w:tc>
              <w:tcPr>
                <w:tcW w:w="2431" w:type="dxa"/>
              </w:tcPr>
              <w:p>
                <w:pPr>
                  <w:jc w:val="center"/>
                </w:pPr>
                <w:r>
                  <w:t>1 638</w:t>
                </w:r>
              </w:p>
            </w:tc>
          </w:tr>
          <w:tr>
            <w:trPr>
              <w:jc w:val="center"/>
            </w:trPr>
            <w:tc>
              <w:tcPr>
                <w:tcW w:w="3324" w:type="dxa"/>
              </w:tcPr>
              <w:p>
                <w:r>
                  <w:t>Šiaulių rajono</w:t>
                </w:r>
              </w:p>
            </w:tc>
            <w:tc>
              <w:tcPr>
                <w:tcW w:w="2431" w:type="dxa"/>
              </w:tcPr>
              <w:p>
                <w:pPr>
                  <w:jc w:val="center"/>
                </w:pPr>
                <w:r>
                  <w:t>466</w:t>
                </w:r>
              </w:p>
            </w:tc>
          </w:tr>
          <w:tr>
            <w:trPr>
              <w:jc w:val="center"/>
            </w:trPr>
            <w:tc>
              <w:tcPr>
                <w:tcW w:w="3324" w:type="dxa"/>
              </w:tcPr>
              <w:p>
                <w:r>
                  <w:t>Šilalės rajono</w:t>
                </w:r>
              </w:p>
            </w:tc>
            <w:tc>
              <w:tcPr>
                <w:tcW w:w="2431" w:type="dxa"/>
              </w:tcPr>
              <w:p>
                <w:pPr>
                  <w:jc w:val="center"/>
                </w:pPr>
                <w:r>
                  <w:t>1 361</w:t>
                </w:r>
              </w:p>
            </w:tc>
          </w:tr>
          <w:tr>
            <w:trPr>
              <w:jc w:val="center"/>
            </w:trPr>
            <w:tc>
              <w:tcPr>
                <w:tcW w:w="3324" w:type="dxa"/>
              </w:tcPr>
              <w:p>
                <w:r>
                  <w:t>Šilutės rajono</w:t>
                </w:r>
              </w:p>
              <w:p>
                <w:r>
                  <w:t>Širvintų rajono</w:t>
                </w:r>
              </w:p>
            </w:tc>
            <w:tc>
              <w:tcPr>
                <w:tcW w:w="2431" w:type="dxa"/>
              </w:tcPr>
              <w:p>
                <w:pPr>
                  <w:jc w:val="center"/>
                </w:pPr>
                <w:r>
                  <w:t>626</w:t>
                </w:r>
              </w:p>
              <w:p>
                <w:pPr>
                  <w:jc w:val="center"/>
                </w:pPr>
                <w:r>
                  <w:t>59</w:t>
                </w:r>
              </w:p>
            </w:tc>
          </w:tr>
          <w:tr>
            <w:trPr>
              <w:jc w:val="center"/>
            </w:trPr>
            <w:tc>
              <w:tcPr>
                <w:tcW w:w="3324" w:type="dxa"/>
              </w:tcPr>
              <w:p>
                <w:r>
                  <w:t>Švenčionių rajono</w:t>
                </w:r>
              </w:p>
            </w:tc>
            <w:tc>
              <w:tcPr>
                <w:tcW w:w="2431" w:type="dxa"/>
              </w:tcPr>
              <w:p>
                <w:pPr>
                  <w:jc w:val="center"/>
                </w:pPr>
                <w:r>
                  <w:t>149</w:t>
                </w:r>
              </w:p>
            </w:tc>
          </w:tr>
          <w:tr>
            <w:trPr>
              <w:jc w:val="center"/>
            </w:trPr>
            <w:tc>
              <w:tcPr>
                <w:tcW w:w="3324" w:type="dxa"/>
              </w:tcPr>
              <w:p>
                <w:r>
                  <w:t>Tauragės rajono</w:t>
                </w:r>
              </w:p>
            </w:tc>
            <w:tc>
              <w:tcPr>
                <w:tcW w:w="2431" w:type="dxa"/>
              </w:tcPr>
              <w:p>
                <w:pPr>
                  <w:jc w:val="center"/>
                </w:pPr>
                <w:r>
                  <w:t>743</w:t>
                </w:r>
              </w:p>
            </w:tc>
          </w:tr>
          <w:tr>
            <w:trPr>
              <w:jc w:val="center"/>
            </w:trPr>
            <w:tc>
              <w:tcPr>
                <w:tcW w:w="3324" w:type="dxa"/>
              </w:tcPr>
              <w:p>
                <w:r>
                  <w:t>Telšių rajono</w:t>
                </w:r>
              </w:p>
              <w:p>
                <w:r>
                  <w:t>Trakų rajono</w:t>
                </w:r>
              </w:p>
            </w:tc>
            <w:tc>
              <w:tcPr>
                <w:tcW w:w="2431" w:type="dxa"/>
              </w:tcPr>
              <w:p>
                <w:pPr>
                  <w:jc w:val="center"/>
                </w:pPr>
                <w:r>
                  <w:t>1 489</w:t>
                </w:r>
              </w:p>
              <w:p>
                <w:pPr>
                  <w:jc w:val="center"/>
                </w:pPr>
                <w:r>
                  <w:t>168</w:t>
                </w:r>
              </w:p>
            </w:tc>
          </w:tr>
          <w:tr>
            <w:trPr>
              <w:jc w:val="center"/>
            </w:trPr>
            <w:tc>
              <w:tcPr>
                <w:tcW w:w="3324" w:type="dxa"/>
              </w:tcPr>
              <w:p>
                <w:r>
                  <w:t>Ukmergės rajono</w:t>
                </w:r>
              </w:p>
            </w:tc>
            <w:tc>
              <w:tcPr>
                <w:tcW w:w="2431" w:type="dxa"/>
              </w:tcPr>
              <w:p>
                <w:pPr>
                  <w:jc w:val="center"/>
                </w:pPr>
                <w:r>
                  <w:t>1 470</w:t>
                </w:r>
              </w:p>
            </w:tc>
          </w:tr>
          <w:tr>
            <w:trPr>
              <w:jc w:val="center"/>
            </w:trPr>
            <w:tc>
              <w:tcPr>
                <w:tcW w:w="3324" w:type="dxa"/>
              </w:tcPr>
              <w:p>
                <w:r>
                  <w:t>Utenos rajono</w:t>
                </w:r>
              </w:p>
            </w:tc>
            <w:tc>
              <w:tcPr>
                <w:tcW w:w="2431" w:type="dxa"/>
              </w:tcPr>
              <w:p>
                <w:pPr>
                  <w:jc w:val="center"/>
                </w:pPr>
                <w:r>
                  <w:t>1 073</w:t>
                </w:r>
              </w:p>
            </w:tc>
          </w:tr>
          <w:tr>
            <w:trPr>
              <w:jc w:val="center"/>
            </w:trPr>
            <w:tc>
              <w:tcPr>
                <w:tcW w:w="3324" w:type="dxa"/>
              </w:tcPr>
              <w:p>
                <w:r>
                  <w:t>Varėnos rajono</w:t>
                </w:r>
              </w:p>
            </w:tc>
            <w:tc>
              <w:tcPr>
                <w:tcW w:w="2431" w:type="dxa"/>
              </w:tcPr>
              <w:p>
                <w:pPr>
                  <w:jc w:val="center"/>
                </w:pPr>
                <w:r>
                  <w:t>1 284</w:t>
                </w:r>
              </w:p>
            </w:tc>
          </w:tr>
          <w:tr>
            <w:trPr>
              <w:jc w:val="center"/>
            </w:trPr>
            <w:tc>
              <w:tcPr>
                <w:tcW w:w="3324" w:type="dxa"/>
              </w:tcPr>
              <w:p>
                <w:r>
                  <w:t>Vilkaviškio rajono</w:t>
                </w:r>
              </w:p>
            </w:tc>
            <w:tc>
              <w:tcPr>
                <w:tcW w:w="2431" w:type="dxa"/>
              </w:tcPr>
              <w:p>
                <w:pPr>
                  <w:jc w:val="center"/>
                </w:pPr>
                <w:r>
                  <w:t>1 457</w:t>
                </w:r>
              </w:p>
            </w:tc>
          </w:tr>
          <w:tr>
            <w:trPr>
              <w:jc w:val="center"/>
            </w:trPr>
            <w:tc>
              <w:tcPr>
                <w:tcW w:w="3324" w:type="dxa"/>
              </w:tcPr>
              <w:p>
                <w:r>
                  <w:t>Zarasų rajono</w:t>
                </w:r>
              </w:p>
            </w:tc>
            <w:tc>
              <w:tcPr>
                <w:tcW w:w="2431" w:type="dxa"/>
              </w:tcPr>
              <w:p>
                <w:pPr>
                  <w:jc w:val="center"/>
                </w:pPr>
                <w:r>
                  <w:t>1 785</w:t>
                </w:r>
              </w:p>
            </w:tc>
          </w:tr>
          <w:tr>
            <w:trPr>
              <w:jc w:val="center"/>
            </w:trPr>
            <w:tc>
              <w:tcPr>
                <w:tcW w:w="3324" w:type="dxa"/>
              </w:tcPr>
              <w:p>
                <w:r>
                  <w:t>Kalvarijos</w:t>
                </w:r>
              </w:p>
            </w:tc>
            <w:tc>
              <w:tcPr>
                <w:tcW w:w="2431" w:type="dxa"/>
              </w:tcPr>
              <w:p>
                <w:pPr>
                  <w:jc w:val="center"/>
                </w:pPr>
                <w:r>
                  <w:t>737</w:t>
                </w:r>
              </w:p>
            </w:tc>
          </w:tr>
          <w:tr>
            <w:trPr>
              <w:jc w:val="center"/>
            </w:trPr>
            <w:tc>
              <w:tcPr>
                <w:tcW w:w="3324" w:type="dxa"/>
              </w:tcPr>
              <w:p>
                <w:r>
                  <w:t xml:space="preserve">Kazlų Rūdos </w:t>
                </w:r>
              </w:p>
            </w:tc>
            <w:tc>
              <w:tcPr>
                <w:tcW w:w="2431" w:type="dxa"/>
              </w:tcPr>
              <w:p>
                <w:pPr>
                  <w:jc w:val="center"/>
                </w:pPr>
                <w:r>
                  <w:t>222</w:t>
                </w:r>
              </w:p>
            </w:tc>
          </w:tr>
          <w:tr>
            <w:trPr>
              <w:jc w:val="center"/>
            </w:trPr>
            <w:tc>
              <w:tcPr>
                <w:tcW w:w="3324" w:type="dxa"/>
              </w:tcPr>
              <w:p>
                <w:r>
                  <w:t>Pagėgių</w:t>
                </w:r>
              </w:p>
            </w:tc>
            <w:tc>
              <w:tcPr>
                <w:tcW w:w="2431" w:type="dxa"/>
              </w:tcPr>
              <w:p>
                <w:pPr>
                  <w:jc w:val="center"/>
                </w:pPr>
                <w:r>
                  <w:t>391</w:t>
                </w:r>
              </w:p>
            </w:tc>
          </w:tr>
          <w:tr>
            <w:trPr>
              <w:jc w:val="center"/>
            </w:trPr>
            <w:tc>
              <w:tcPr>
                <w:tcW w:w="3324" w:type="dxa"/>
              </w:tcPr>
              <w:p>
                <w:r>
                  <w:t>Rietavo</w:t>
                </w:r>
              </w:p>
            </w:tc>
            <w:tc>
              <w:tcPr>
                <w:tcW w:w="2431" w:type="dxa"/>
              </w:tcPr>
              <w:p>
                <w:pPr>
                  <w:jc w:val="center"/>
                </w:pPr>
                <w:r>
                  <w:t>209</w:t>
                </w:r>
              </w:p>
            </w:tc>
          </w:tr>
          <w:tr>
            <w:trPr>
              <w:jc w:val="center"/>
            </w:trPr>
            <w:tc>
              <w:tcPr>
                <w:tcW w:w="3324" w:type="dxa"/>
                <w:tcBorders>
                  <w:top w:val="single" w:sz="4" w:space="0" w:color="auto"/>
                </w:tcBorders>
                <w:vAlign w:val="bottom"/>
              </w:tcPr>
              <w:p>
                <w:r>
                  <w:t>IŠ VISO</w:t>
                </w:r>
              </w:p>
            </w:tc>
            <w:tc>
              <w:tcPr>
                <w:tcW w:w="2431" w:type="dxa"/>
                <w:tcBorders>
                  <w:top w:val="single" w:sz="4" w:space="0" w:color="auto"/>
                </w:tcBorders>
                <w:vAlign w:val="bottom"/>
              </w:tcPr>
              <w:p>
                <w:pPr>
                  <w:jc w:val="center"/>
                  <w:rPr>
                    <w:bCs/>
                  </w:rPr>
                </w:pPr>
                <w:r>
                  <w:rPr>
                    <w:bCs/>
                  </w:rPr>
                  <w:t>64 793</w:t>
                </w:r>
              </w:p>
            </w:tc>
          </w:tr>
        </w:tbl>
        <w:p/>
        <w:p/>
        <w:p>
          <w:pPr>
            <w:sectPr>
              <w:pgSz w:w="11906" w:h="16838" w:code="9"/>
              <w:pgMar w:top="1134" w:right="1134" w:bottom="1134" w:left="1701" w:header="567" w:footer="567" w:gutter="0"/>
              <w:pgNumType w:start="1"/>
              <w:cols w:space="1296"/>
              <w:titlePg/>
              <w:docGrid w:linePitch="360"/>
            </w:sectPr>
          </w:pPr>
        </w:p>
        <w:p>
          <w:pPr>
            <w:tabs>
              <w:tab w:val="center" w:pos="4153"/>
              <w:tab w:val="right" w:pos="8306"/>
            </w:tabs>
            <w:rPr>
              <w:rFonts w:ascii="TimesLT" w:hAnsi="TimesLT"/>
              <w:lang w:val="en-US"/>
            </w:rPr>
          </w:pPr>
        </w:p>
      </w:sdtContent>
    </w:sdt>
    <w:sdt>
      <w:sdtPr>
        <w:alias w:val="7 pr."/>
        <w:tag w:val="part_1aef94fab4f843a3a82c8bd1112acdd7"/>
        <w:lock w:val="sdtLocked"/>
        <w:richText/>
      </w:sdtPr>
      <w:sdtContent>
        <w:p>
          <w:pPr>
            <w:ind w:firstLine="5670"/>
          </w:pPr>
          <w:r>
            <w:t>Lietuvos Respublikos</w:t>
          </w:r>
        </w:p>
        <w:p>
          <w:pPr>
            <w:ind w:firstLine="5670"/>
          </w:pPr>
          <w:r>
            <w:t>2016 metų valstybės biudžeto ir</w:t>
          </w:r>
        </w:p>
        <w:p>
          <w:pPr>
            <w:ind w:firstLine="5670"/>
          </w:pPr>
          <w:r>
            <w:t>savivaldybių biudžetų finansinių</w:t>
          </w:r>
        </w:p>
        <w:p>
          <w:pPr>
            <w:ind w:firstLine="5670"/>
          </w:pPr>
          <w:r>
            <w:t>rodiklių patvirtinimo įstatymo</w:t>
          </w:r>
        </w:p>
        <w:p>
          <w:pPr>
            <w:ind w:firstLine="5670"/>
          </w:pPr>
          <w:sdt>
            <w:sdtPr>
              <w:alias w:val="Numeris"/>
              <w:tag w:val="nr_1aef94fab4f843a3a82c8bd1112acdd7"/>
              <w:lock w:val="sdtLocked"/>
              <w:richText/>
            </w:sdtPr>
            <w:sdtContent>
              <w:r>
                <w:t>7</w:t>
              </w:r>
            </w:sdtContent>
          </w:sdt>
          <w:r>
            <w:t xml:space="preserve"> priedas</w:t>
          </w:r>
        </w:p>
        <w:p/>
        <w:sdt>
          <w:sdtPr>
            <w:alias w:val="Pavadinimas"/>
            <w:tag w:val="title_1aef94fab4f843a3a82c8bd1112acdd7"/>
            <w:lock w:val="sdtLocked"/>
            <w:richText/>
          </w:sdtPr>
          <w:sdtContent>
            <w:p>
              <w:pPr>
                <w:jc w:val="center"/>
                <w:rPr>
                  <w:b/>
                </w:rPr>
              </w:pPr>
              <w:r>
                <w:rPr>
                  <w:b/>
                </w:rPr>
                <w:t>LIETUVOS RESPUBLIKOS</w:t>
              </w:r>
            </w:p>
            <w:p>
              <w:pPr>
                <w:jc w:val="center"/>
                <w:rPr>
                  <w:b/>
                </w:rPr>
              </w:pPr>
              <w:r>
                <w:rPr>
                  <w:b/>
                </w:rPr>
                <w:t>2016 METŲ SAVIVALDYBIŲ BIUDŽETŲ PROGNOZUOJAMOS PAJAMOS</w:t>
              </w:r>
            </w:p>
          </w:sdtContent>
        </w:sdt>
        <w:p/>
        <w:tbl>
          <w:tblPr>
            <w:tblW w:w="0" w:type="auto"/>
            <w:jc w:val="center"/>
            <w:tblLook w:val="01E0" w:firstRow="1" w:lastRow="1" w:firstColumn="1" w:lastColumn="1" w:noHBand="0" w:noVBand="0"/>
          </w:tblPr>
          <w:tblGrid>
            <w:gridCol w:w="2248"/>
            <w:gridCol w:w="2596"/>
            <w:gridCol w:w="1938"/>
          </w:tblGrid>
          <w:tr>
            <w:trPr>
              <w:trHeight w:val="211"/>
              <w:tblHeader/>
              <w:jc w:val="center"/>
            </w:trPr>
            <w:tc>
              <w:tcPr>
                <w:tcW w:w="2248" w:type="dxa"/>
                <w:tcBorders>
                  <w:bottom w:val="single" w:sz="4" w:space="0" w:color="auto"/>
                </w:tcBorders>
                <w:vAlign w:val="center"/>
              </w:tcPr>
              <w:p>
                <w:pPr>
                  <w:jc w:val="center"/>
                </w:pPr>
              </w:p>
            </w:tc>
            <w:tc>
              <w:tcPr>
                <w:tcW w:w="2596" w:type="dxa"/>
                <w:tcBorders>
                  <w:bottom w:val="single" w:sz="4" w:space="0" w:color="auto"/>
                </w:tcBorders>
                <w:vAlign w:val="center"/>
              </w:tcPr>
              <w:p>
                <w:pPr>
                  <w:jc w:val="center"/>
                </w:pPr>
              </w:p>
            </w:tc>
            <w:tc>
              <w:tcPr>
                <w:tcW w:w="1938" w:type="dxa"/>
                <w:tcBorders>
                  <w:bottom w:val="single" w:sz="4" w:space="0" w:color="auto"/>
                </w:tcBorders>
              </w:tcPr>
              <w:p>
                <w:pPr>
                  <w:jc w:val="center"/>
                </w:pPr>
                <w:r>
                  <w:t>Tūkst. Eur</w:t>
                </w:r>
              </w:p>
            </w:tc>
          </w:tr>
          <w:tr>
            <w:trPr>
              <w:trHeight w:val="211"/>
              <w:tblHeader/>
              <w:jc w:val="center"/>
            </w:trPr>
            <w:tc>
              <w:tcPr>
                <w:tcW w:w="2248" w:type="dxa"/>
                <w:vMerge w:val="restart"/>
                <w:tcBorders>
                  <w:top w:val="single" w:sz="4" w:space="0" w:color="auto"/>
                  <w:left w:val="single" w:sz="4" w:space="0" w:color="auto"/>
                  <w:bottom w:val="single" w:sz="4" w:space="0" w:color="auto"/>
                  <w:right w:val="single" w:sz="4" w:space="0" w:color="auto"/>
                </w:tcBorders>
                <w:vAlign w:val="center"/>
              </w:tcPr>
              <w:p>
                <w:pPr>
                  <w:jc w:val="center"/>
                </w:pPr>
                <w:r>
                  <w:t>Savivaldybės pavadinimas</w:t>
                </w:r>
              </w:p>
            </w:tc>
            <w:tc>
              <w:tcPr>
                <w:tcW w:w="2596" w:type="dxa"/>
                <w:vMerge w:val="restart"/>
                <w:tcBorders>
                  <w:top w:val="single" w:sz="4" w:space="0" w:color="auto"/>
                  <w:left w:val="single" w:sz="4" w:space="0" w:color="auto"/>
                  <w:bottom w:val="single" w:sz="4" w:space="0" w:color="auto"/>
                  <w:right w:val="single" w:sz="4" w:space="0" w:color="auto"/>
                </w:tcBorders>
                <w:vAlign w:val="center"/>
              </w:tcPr>
              <w:p>
                <w:pPr>
                  <w:jc w:val="center"/>
                </w:pPr>
                <w:r>
                  <w:t>Prognozuojamos gauti pajamos skaičiuojant savivaldybių biudžetų finansinius rodiklius</w:t>
                </w:r>
              </w:p>
            </w:tc>
            <w:tc>
              <w:tcPr>
                <w:tcW w:w="1938" w:type="dxa"/>
                <w:tcBorders>
                  <w:top w:val="single" w:sz="4" w:space="0" w:color="auto"/>
                  <w:left w:val="single" w:sz="4" w:space="0" w:color="auto"/>
                  <w:bottom w:val="single" w:sz="4" w:space="0" w:color="auto"/>
                  <w:right w:val="single" w:sz="4" w:space="0" w:color="auto"/>
                </w:tcBorders>
              </w:tcPr>
              <w:p>
                <w:pPr>
                  <w:jc w:val="center"/>
                </w:pPr>
                <w:r>
                  <w:t>iš jų:</w:t>
                </w:r>
              </w:p>
            </w:tc>
          </w:tr>
          <w:tr>
            <w:trPr>
              <w:trHeight w:val="1106"/>
              <w:tblHeader/>
              <w:jc w:val="center"/>
            </w:trPr>
            <w:tc>
              <w:tcPr>
                <w:tcW w:w="2248" w:type="dxa"/>
                <w:vMerge/>
                <w:tcBorders>
                  <w:top w:val="single" w:sz="4" w:space="0" w:color="auto"/>
                  <w:left w:val="single" w:sz="4" w:space="0" w:color="auto"/>
                  <w:bottom w:val="single" w:sz="4" w:space="0" w:color="auto"/>
                  <w:right w:val="single" w:sz="4" w:space="0" w:color="auto"/>
                </w:tcBorders>
                <w:vAlign w:val="center"/>
              </w:tcPr>
              <w:p>
                <w:pPr>
                  <w:jc w:val="center"/>
                </w:pPr>
              </w:p>
            </w:tc>
            <w:tc>
              <w:tcPr>
                <w:tcW w:w="2596" w:type="dxa"/>
                <w:vMerge/>
                <w:tcBorders>
                  <w:top w:val="single" w:sz="4" w:space="0" w:color="auto"/>
                  <w:left w:val="single" w:sz="4" w:space="0" w:color="auto"/>
                  <w:bottom w:val="single" w:sz="4" w:space="0" w:color="auto"/>
                  <w:right w:val="single" w:sz="4" w:space="0" w:color="auto"/>
                </w:tcBorders>
                <w:vAlign w:val="center"/>
              </w:tcPr>
              <w:p>
                <w:pPr>
                  <w:jc w:val="center"/>
                </w:pPr>
              </w:p>
            </w:tc>
            <w:tc>
              <w:tcPr>
                <w:tcW w:w="1938" w:type="dxa"/>
                <w:tcBorders>
                  <w:top w:val="single" w:sz="4" w:space="0" w:color="auto"/>
                  <w:left w:val="single" w:sz="4" w:space="0" w:color="auto"/>
                  <w:bottom w:val="single" w:sz="4" w:space="0" w:color="auto"/>
                  <w:right w:val="single" w:sz="4" w:space="0" w:color="auto"/>
                </w:tcBorders>
              </w:tcPr>
              <w:p>
                <w:pPr>
                  <w:jc w:val="center"/>
                </w:pPr>
                <w:r>
                  <w:t>gyventojų pajamų mokestis (be pajamų iš valstybės iždo sąskaitos)</w:t>
                </w:r>
              </w:p>
            </w:tc>
          </w:tr>
          <w:tr>
            <w:trPr>
              <w:gridAfter w:val="1"/>
              <w:wAfter w:w="1938" w:type="dxa"/>
              <w:tblHeader/>
              <w:jc w:val="center"/>
            </w:trPr>
            <w:tc>
              <w:tcPr>
                <w:tcW w:w="2248" w:type="dxa"/>
                <w:tcBorders>
                  <w:top w:val="single" w:sz="4" w:space="0" w:color="auto"/>
                </w:tcBorders>
              </w:tcPr>
              <w:p/>
            </w:tc>
            <w:tc>
              <w:tcPr>
                <w:tcW w:w="2596" w:type="dxa"/>
                <w:tcBorders>
                  <w:top w:val="single" w:sz="4" w:space="0" w:color="auto"/>
                </w:tcBorders>
              </w:tcPr>
              <w:p>
                <w:pPr>
                  <w:jc w:val="center"/>
                </w:pPr>
              </w:p>
            </w:tc>
          </w:tr>
          <w:tr>
            <w:trPr>
              <w:jc w:val="center"/>
            </w:trPr>
            <w:tc>
              <w:tcPr>
                <w:tcW w:w="2248" w:type="dxa"/>
                <w:vAlign w:val="center"/>
              </w:tcPr>
              <w:p>
                <w:r>
                  <w:t>Vilniaus miesto</w:t>
                </w:r>
              </w:p>
            </w:tc>
            <w:tc>
              <w:tcPr>
                <w:tcW w:w="2596" w:type="dxa"/>
                <w:vAlign w:val="bottom"/>
              </w:tcPr>
              <w:p>
                <w:pPr>
                  <w:jc w:val="center"/>
                  <w:rPr>
                    <w:bCs/>
                  </w:rPr>
                </w:pPr>
                <w:r>
                  <w:rPr>
                    <w:bCs/>
                  </w:rPr>
                  <w:t>262 354</w:t>
                </w:r>
              </w:p>
            </w:tc>
            <w:tc>
              <w:tcPr>
                <w:tcW w:w="1938" w:type="dxa"/>
                <w:vAlign w:val="bottom"/>
              </w:tcPr>
              <w:p>
                <w:pPr>
                  <w:jc w:val="right"/>
                </w:pPr>
                <w:r>
                  <w:t>198 092</w:t>
                </w:r>
              </w:p>
            </w:tc>
          </w:tr>
          <w:tr>
            <w:trPr>
              <w:jc w:val="center"/>
            </w:trPr>
            <w:tc>
              <w:tcPr>
                <w:tcW w:w="2248" w:type="dxa"/>
                <w:vAlign w:val="center"/>
              </w:tcPr>
              <w:p>
                <w:r>
                  <w:t>Alytaus miesto</w:t>
                </w:r>
              </w:p>
            </w:tc>
            <w:tc>
              <w:tcPr>
                <w:tcW w:w="2596" w:type="dxa"/>
                <w:vAlign w:val="bottom"/>
              </w:tcPr>
              <w:p>
                <w:pPr>
                  <w:jc w:val="center"/>
                  <w:rPr>
                    <w:bCs/>
                  </w:rPr>
                </w:pPr>
                <w:r>
                  <w:rPr>
                    <w:bCs/>
                  </w:rPr>
                  <w:t>20 637</w:t>
                </w:r>
              </w:p>
            </w:tc>
            <w:tc>
              <w:tcPr>
                <w:tcW w:w="1938" w:type="dxa"/>
                <w:vAlign w:val="bottom"/>
              </w:tcPr>
              <w:p>
                <w:pPr>
                  <w:jc w:val="right"/>
                </w:pPr>
                <w:r>
                  <w:t>16 553</w:t>
                </w:r>
              </w:p>
            </w:tc>
          </w:tr>
          <w:tr>
            <w:trPr>
              <w:jc w:val="center"/>
            </w:trPr>
            <w:tc>
              <w:tcPr>
                <w:tcW w:w="2248" w:type="dxa"/>
                <w:vAlign w:val="center"/>
              </w:tcPr>
              <w:p>
                <w:r>
                  <w:t>Birštono</w:t>
                </w:r>
              </w:p>
            </w:tc>
            <w:tc>
              <w:tcPr>
                <w:tcW w:w="2596" w:type="dxa"/>
                <w:vAlign w:val="bottom"/>
              </w:tcPr>
              <w:p>
                <w:pPr>
                  <w:jc w:val="center"/>
                  <w:rPr>
                    <w:bCs/>
                  </w:rPr>
                </w:pPr>
                <w:r>
                  <w:rPr>
                    <w:bCs/>
                  </w:rPr>
                  <w:t>2 064</w:t>
                </w:r>
              </w:p>
            </w:tc>
            <w:tc>
              <w:tcPr>
                <w:tcW w:w="1938" w:type="dxa"/>
                <w:vAlign w:val="bottom"/>
              </w:tcPr>
              <w:p>
                <w:pPr>
                  <w:jc w:val="right"/>
                </w:pPr>
                <w:r>
                  <w:t>1 017</w:t>
                </w:r>
              </w:p>
            </w:tc>
          </w:tr>
          <w:tr>
            <w:trPr>
              <w:jc w:val="center"/>
            </w:trPr>
            <w:tc>
              <w:tcPr>
                <w:tcW w:w="2248" w:type="dxa"/>
                <w:vAlign w:val="center"/>
              </w:tcPr>
              <w:p>
                <w:r>
                  <w:t>Druskininkų</w:t>
                </w:r>
              </w:p>
            </w:tc>
            <w:tc>
              <w:tcPr>
                <w:tcW w:w="2596" w:type="dxa"/>
                <w:vAlign w:val="bottom"/>
              </w:tcPr>
              <w:p>
                <w:pPr>
                  <w:jc w:val="center"/>
                  <w:rPr>
                    <w:bCs/>
                  </w:rPr>
                </w:pPr>
                <w:r>
                  <w:rPr>
                    <w:bCs/>
                  </w:rPr>
                  <w:t>8 803</w:t>
                </w:r>
              </w:p>
            </w:tc>
            <w:tc>
              <w:tcPr>
                <w:tcW w:w="1938" w:type="dxa"/>
                <w:vAlign w:val="bottom"/>
              </w:tcPr>
              <w:p>
                <w:pPr>
                  <w:jc w:val="right"/>
                </w:pPr>
                <w:r>
                  <w:t>5 077</w:t>
                </w:r>
              </w:p>
            </w:tc>
          </w:tr>
          <w:tr>
            <w:trPr>
              <w:jc w:val="center"/>
            </w:trPr>
            <w:tc>
              <w:tcPr>
                <w:tcW w:w="2248" w:type="dxa"/>
                <w:vAlign w:val="center"/>
              </w:tcPr>
              <w:p>
                <w:r>
                  <w:t>Kauno miesto</w:t>
                </w:r>
              </w:p>
            </w:tc>
            <w:tc>
              <w:tcPr>
                <w:tcW w:w="2596" w:type="dxa"/>
                <w:vAlign w:val="bottom"/>
              </w:tcPr>
              <w:p>
                <w:pPr>
                  <w:jc w:val="center"/>
                  <w:rPr>
                    <w:bCs/>
                  </w:rPr>
                </w:pPr>
                <w:r>
                  <w:rPr>
                    <w:bCs/>
                  </w:rPr>
                  <w:t>147 038</w:t>
                </w:r>
              </w:p>
            </w:tc>
            <w:tc>
              <w:tcPr>
                <w:tcW w:w="1938" w:type="dxa"/>
                <w:vAlign w:val="bottom"/>
              </w:tcPr>
              <w:p>
                <w:pPr>
                  <w:jc w:val="right"/>
                </w:pPr>
                <w:r>
                  <w:t>113 513</w:t>
                </w:r>
              </w:p>
            </w:tc>
          </w:tr>
          <w:tr>
            <w:trPr>
              <w:jc w:val="center"/>
            </w:trPr>
            <w:tc>
              <w:tcPr>
                <w:tcW w:w="2248" w:type="dxa"/>
                <w:vAlign w:val="center"/>
              </w:tcPr>
              <w:p>
                <w:r>
                  <w:t>Klaipėdos miesto</w:t>
                </w:r>
              </w:p>
            </w:tc>
            <w:tc>
              <w:tcPr>
                <w:tcW w:w="2596" w:type="dxa"/>
                <w:vAlign w:val="bottom"/>
              </w:tcPr>
              <w:p>
                <w:pPr>
                  <w:jc w:val="center"/>
                  <w:rPr>
                    <w:bCs/>
                  </w:rPr>
                </w:pPr>
                <w:r>
                  <w:rPr>
                    <w:bCs/>
                  </w:rPr>
                  <w:t>81 874</w:t>
                </w:r>
              </w:p>
            </w:tc>
            <w:tc>
              <w:tcPr>
                <w:tcW w:w="1938" w:type="dxa"/>
                <w:vAlign w:val="bottom"/>
              </w:tcPr>
              <w:p>
                <w:pPr>
                  <w:jc w:val="right"/>
                </w:pPr>
                <w:r>
                  <w:t>61 755</w:t>
                </w:r>
              </w:p>
            </w:tc>
          </w:tr>
          <w:tr>
            <w:trPr>
              <w:jc w:val="center"/>
            </w:trPr>
            <w:tc>
              <w:tcPr>
                <w:tcW w:w="2248" w:type="dxa"/>
                <w:vAlign w:val="center"/>
              </w:tcPr>
              <w:p>
                <w:r>
                  <w:t>Marijampolės</w:t>
                </w:r>
              </w:p>
            </w:tc>
            <w:tc>
              <w:tcPr>
                <w:tcW w:w="2596" w:type="dxa"/>
                <w:vAlign w:val="bottom"/>
              </w:tcPr>
              <w:p>
                <w:pPr>
                  <w:jc w:val="center"/>
                  <w:rPr>
                    <w:bCs/>
                  </w:rPr>
                </w:pPr>
                <w:r>
                  <w:rPr>
                    <w:bCs/>
                  </w:rPr>
                  <w:t>22 090</w:t>
                </w:r>
              </w:p>
            </w:tc>
            <w:tc>
              <w:tcPr>
                <w:tcW w:w="1938" w:type="dxa"/>
                <w:vAlign w:val="bottom"/>
              </w:tcPr>
              <w:p>
                <w:pPr>
                  <w:jc w:val="right"/>
                </w:pPr>
                <w:r>
                  <w:t>15 200</w:t>
                </w:r>
              </w:p>
            </w:tc>
          </w:tr>
          <w:tr>
            <w:trPr>
              <w:jc w:val="center"/>
            </w:trPr>
            <w:tc>
              <w:tcPr>
                <w:tcW w:w="2248" w:type="dxa"/>
                <w:vAlign w:val="center"/>
              </w:tcPr>
              <w:p>
                <w:r>
                  <w:t>Neringos</w:t>
                </w:r>
              </w:p>
            </w:tc>
            <w:tc>
              <w:tcPr>
                <w:tcW w:w="2596" w:type="dxa"/>
                <w:vAlign w:val="bottom"/>
              </w:tcPr>
              <w:p>
                <w:pPr>
                  <w:jc w:val="center"/>
                  <w:rPr>
                    <w:bCs/>
                  </w:rPr>
                </w:pPr>
                <w:r>
                  <w:rPr>
                    <w:bCs/>
                  </w:rPr>
                  <w:t>4 956</w:t>
                </w:r>
              </w:p>
            </w:tc>
            <w:tc>
              <w:tcPr>
                <w:tcW w:w="1938" w:type="dxa"/>
                <w:vAlign w:val="bottom"/>
              </w:tcPr>
              <w:p>
                <w:pPr>
                  <w:jc w:val="right"/>
                </w:pPr>
                <w:r>
                  <w:t>1 576</w:t>
                </w:r>
              </w:p>
            </w:tc>
          </w:tr>
          <w:tr>
            <w:trPr>
              <w:jc w:val="center"/>
            </w:trPr>
            <w:tc>
              <w:tcPr>
                <w:tcW w:w="2248" w:type="dxa"/>
                <w:vAlign w:val="center"/>
              </w:tcPr>
              <w:p>
                <w:r>
                  <w:t>Palangos miesto</w:t>
                </w:r>
              </w:p>
            </w:tc>
            <w:tc>
              <w:tcPr>
                <w:tcW w:w="2596" w:type="dxa"/>
                <w:vAlign w:val="bottom"/>
              </w:tcPr>
              <w:p>
                <w:pPr>
                  <w:jc w:val="center"/>
                  <w:rPr>
                    <w:bCs/>
                  </w:rPr>
                </w:pPr>
                <w:r>
                  <w:rPr>
                    <w:bCs/>
                  </w:rPr>
                  <w:t>11 736</w:t>
                </w:r>
              </w:p>
            </w:tc>
            <w:tc>
              <w:tcPr>
                <w:tcW w:w="1938" w:type="dxa"/>
                <w:vAlign w:val="bottom"/>
              </w:tcPr>
              <w:p>
                <w:pPr>
                  <w:jc w:val="right"/>
                </w:pPr>
                <w:r>
                  <w:t>5 422</w:t>
                </w:r>
              </w:p>
            </w:tc>
          </w:tr>
          <w:tr>
            <w:trPr>
              <w:jc w:val="center"/>
            </w:trPr>
            <w:tc>
              <w:tcPr>
                <w:tcW w:w="2248" w:type="dxa"/>
                <w:vAlign w:val="center"/>
              </w:tcPr>
              <w:p>
                <w:r>
                  <w:t>Panevėžio miesto</w:t>
                </w:r>
              </w:p>
            </w:tc>
            <w:tc>
              <w:tcPr>
                <w:tcW w:w="2596" w:type="dxa"/>
                <w:vAlign w:val="bottom"/>
              </w:tcPr>
              <w:p>
                <w:pPr>
                  <w:jc w:val="center"/>
                  <w:rPr>
                    <w:bCs/>
                  </w:rPr>
                </w:pPr>
                <w:r>
                  <w:rPr>
                    <w:bCs/>
                  </w:rPr>
                  <w:t>38 121</w:t>
                </w:r>
              </w:p>
            </w:tc>
            <w:tc>
              <w:tcPr>
                <w:tcW w:w="1938" w:type="dxa"/>
                <w:vAlign w:val="bottom"/>
              </w:tcPr>
              <w:p>
                <w:pPr>
                  <w:jc w:val="right"/>
                </w:pPr>
                <w:r>
                  <w:t>31 634</w:t>
                </w:r>
              </w:p>
            </w:tc>
          </w:tr>
          <w:tr>
            <w:trPr>
              <w:jc w:val="center"/>
            </w:trPr>
            <w:tc>
              <w:tcPr>
                <w:tcW w:w="2248" w:type="dxa"/>
                <w:vAlign w:val="center"/>
              </w:tcPr>
              <w:p>
                <w:r>
                  <w:t>Šiaulių miesto</w:t>
                </w:r>
              </w:p>
            </w:tc>
            <w:tc>
              <w:tcPr>
                <w:tcW w:w="2596" w:type="dxa"/>
                <w:vAlign w:val="bottom"/>
              </w:tcPr>
              <w:p>
                <w:pPr>
                  <w:jc w:val="center"/>
                  <w:rPr>
                    <w:bCs/>
                  </w:rPr>
                </w:pPr>
                <w:r>
                  <w:rPr>
                    <w:bCs/>
                  </w:rPr>
                  <w:t>46 767</w:t>
                </w:r>
              </w:p>
            </w:tc>
            <w:tc>
              <w:tcPr>
                <w:tcW w:w="1938" w:type="dxa"/>
                <w:vAlign w:val="bottom"/>
              </w:tcPr>
              <w:p>
                <w:pPr>
                  <w:jc w:val="right"/>
                </w:pPr>
                <w:r>
                  <w:t>37 583</w:t>
                </w:r>
              </w:p>
            </w:tc>
          </w:tr>
          <w:tr>
            <w:trPr>
              <w:jc w:val="center"/>
            </w:trPr>
            <w:tc>
              <w:tcPr>
                <w:tcW w:w="2248" w:type="dxa"/>
                <w:vAlign w:val="center"/>
              </w:tcPr>
              <w:p>
                <w:r>
                  <w:t xml:space="preserve">Visagino </w:t>
                </w:r>
              </w:p>
            </w:tc>
            <w:tc>
              <w:tcPr>
                <w:tcW w:w="2596" w:type="dxa"/>
                <w:vAlign w:val="bottom"/>
              </w:tcPr>
              <w:p>
                <w:pPr>
                  <w:jc w:val="center"/>
                  <w:rPr>
                    <w:bCs/>
                  </w:rPr>
                </w:pPr>
                <w:r>
                  <w:rPr>
                    <w:bCs/>
                  </w:rPr>
                  <w:t>9 202</w:t>
                </w:r>
              </w:p>
            </w:tc>
            <w:tc>
              <w:tcPr>
                <w:tcW w:w="1938" w:type="dxa"/>
                <w:vAlign w:val="bottom"/>
              </w:tcPr>
              <w:p>
                <w:pPr>
                  <w:jc w:val="right"/>
                </w:pPr>
                <w:r>
                  <w:t>8 050</w:t>
                </w:r>
              </w:p>
            </w:tc>
          </w:tr>
          <w:tr>
            <w:trPr>
              <w:jc w:val="center"/>
            </w:trPr>
            <w:tc>
              <w:tcPr>
                <w:tcW w:w="2248" w:type="dxa"/>
                <w:vAlign w:val="center"/>
              </w:tcPr>
              <w:p>
                <w:r>
                  <w:t>Akmenės rajono</w:t>
                </w:r>
              </w:p>
            </w:tc>
            <w:tc>
              <w:tcPr>
                <w:tcW w:w="2596" w:type="dxa"/>
                <w:vAlign w:val="bottom"/>
              </w:tcPr>
              <w:p>
                <w:pPr>
                  <w:jc w:val="center"/>
                  <w:rPr>
                    <w:bCs/>
                  </w:rPr>
                </w:pPr>
                <w:r>
                  <w:rPr>
                    <w:bCs/>
                  </w:rPr>
                  <w:t>8 328</w:t>
                </w:r>
              </w:p>
            </w:tc>
            <w:tc>
              <w:tcPr>
                <w:tcW w:w="1938" w:type="dxa"/>
                <w:vAlign w:val="bottom"/>
              </w:tcPr>
              <w:p>
                <w:pPr>
                  <w:jc w:val="right"/>
                </w:pPr>
                <w:r>
                  <w:t>4 561</w:t>
                </w:r>
              </w:p>
            </w:tc>
          </w:tr>
          <w:tr>
            <w:trPr>
              <w:jc w:val="center"/>
            </w:trPr>
            <w:tc>
              <w:tcPr>
                <w:tcW w:w="2248" w:type="dxa"/>
                <w:vAlign w:val="center"/>
              </w:tcPr>
              <w:p>
                <w:r>
                  <w:t>Alytaus rajono</w:t>
                </w:r>
              </w:p>
            </w:tc>
            <w:tc>
              <w:tcPr>
                <w:tcW w:w="2596" w:type="dxa"/>
                <w:vAlign w:val="bottom"/>
              </w:tcPr>
              <w:p>
                <w:pPr>
                  <w:jc w:val="center"/>
                  <w:rPr>
                    <w:bCs/>
                  </w:rPr>
                </w:pPr>
                <w:r>
                  <w:rPr>
                    <w:bCs/>
                  </w:rPr>
                  <w:t>10 347</w:t>
                </w:r>
              </w:p>
            </w:tc>
            <w:tc>
              <w:tcPr>
                <w:tcW w:w="1938" w:type="dxa"/>
                <w:vAlign w:val="bottom"/>
              </w:tcPr>
              <w:p>
                <w:pPr>
                  <w:jc w:val="right"/>
                </w:pPr>
                <w:r>
                  <w:t>3 787</w:t>
                </w:r>
              </w:p>
            </w:tc>
          </w:tr>
          <w:tr>
            <w:trPr>
              <w:jc w:val="center"/>
            </w:trPr>
            <w:tc>
              <w:tcPr>
                <w:tcW w:w="2248" w:type="dxa"/>
                <w:vAlign w:val="center"/>
              </w:tcPr>
              <w:p>
                <w:r>
                  <w:t>Anykščių rajono</w:t>
                </w:r>
              </w:p>
            </w:tc>
            <w:tc>
              <w:tcPr>
                <w:tcW w:w="2596" w:type="dxa"/>
                <w:vAlign w:val="bottom"/>
              </w:tcPr>
              <w:p>
                <w:pPr>
                  <w:jc w:val="center"/>
                  <w:rPr>
                    <w:bCs/>
                  </w:rPr>
                </w:pPr>
                <w:r>
                  <w:rPr>
                    <w:bCs/>
                  </w:rPr>
                  <w:t>10 582</w:t>
                </w:r>
              </w:p>
            </w:tc>
            <w:tc>
              <w:tcPr>
                <w:tcW w:w="1938" w:type="dxa"/>
                <w:vAlign w:val="bottom"/>
              </w:tcPr>
              <w:p>
                <w:pPr>
                  <w:jc w:val="right"/>
                </w:pPr>
                <w:r>
                  <w:t>4 272</w:t>
                </w:r>
              </w:p>
            </w:tc>
          </w:tr>
          <w:tr>
            <w:trPr>
              <w:jc w:val="center"/>
            </w:trPr>
            <w:tc>
              <w:tcPr>
                <w:tcW w:w="2248" w:type="dxa"/>
                <w:vAlign w:val="center"/>
              </w:tcPr>
              <w:p>
                <w:r>
                  <w:t>Biržų rajono</w:t>
                </w:r>
              </w:p>
            </w:tc>
            <w:tc>
              <w:tcPr>
                <w:tcW w:w="2596" w:type="dxa"/>
                <w:vAlign w:val="bottom"/>
              </w:tcPr>
              <w:p>
                <w:pPr>
                  <w:jc w:val="center"/>
                  <w:rPr>
                    <w:bCs/>
                  </w:rPr>
                </w:pPr>
                <w:r>
                  <w:rPr>
                    <w:bCs/>
                  </w:rPr>
                  <w:t>10 387</w:t>
                </w:r>
              </w:p>
            </w:tc>
            <w:tc>
              <w:tcPr>
                <w:tcW w:w="1938" w:type="dxa"/>
                <w:vAlign w:val="bottom"/>
              </w:tcPr>
              <w:p>
                <w:pPr>
                  <w:jc w:val="right"/>
                </w:pPr>
                <w:r>
                  <w:t>4 799</w:t>
                </w:r>
              </w:p>
            </w:tc>
          </w:tr>
          <w:tr>
            <w:trPr>
              <w:jc w:val="center"/>
            </w:trPr>
            <w:tc>
              <w:tcPr>
                <w:tcW w:w="2248" w:type="dxa"/>
                <w:vAlign w:val="center"/>
              </w:tcPr>
              <w:p>
                <w:r>
                  <w:t>Ignalinos rajono</w:t>
                </w:r>
              </w:p>
            </w:tc>
            <w:tc>
              <w:tcPr>
                <w:tcW w:w="2596" w:type="dxa"/>
                <w:vAlign w:val="bottom"/>
              </w:tcPr>
              <w:p>
                <w:pPr>
                  <w:jc w:val="center"/>
                  <w:rPr>
                    <w:bCs/>
                  </w:rPr>
                </w:pPr>
                <w:r>
                  <w:rPr>
                    <w:bCs/>
                  </w:rPr>
                  <w:t>7 101</w:t>
                </w:r>
              </w:p>
            </w:tc>
            <w:tc>
              <w:tcPr>
                <w:tcW w:w="1938" w:type="dxa"/>
                <w:vAlign w:val="bottom"/>
              </w:tcPr>
              <w:p>
                <w:pPr>
                  <w:jc w:val="right"/>
                </w:pPr>
                <w:r>
                  <w:t>2 996</w:t>
                </w:r>
              </w:p>
            </w:tc>
          </w:tr>
          <w:tr>
            <w:trPr>
              <w:jc w:val="center"/>
            </w:trPr>
            <w:tc>
              <w:tcPr>
                <w:tcW w:w="2248" w:type="dxa"/>
                <w:vAlign w:val="center"/>
              </w:tcPr>
              <w:p>
                <w:r>
                  <w:t>Jonavos rajono</w:t>
                </w:r>
              </w:p>
            </w:tc>
            <w:tc>
              <w:tcPr>
                <w:tcW w:w="2596" w:type="dxa"/>
                <w:vAlign w:val="bottom"/>
              </w:tcPr>
              <w:p>
                <w:pPr>
                  <w:jc w:val="center"/>
                  <w:rPr>
                    <w:bCs/>
                  </w:rPr>
                </w:pPr>
                <w:r>
                  <w:rPr>
                    <w:bCs/>
                  </w:rPr>
                  <w:t>16 173</w:t>
                </w:r>
              </w:p>
            </w:tc>
            <w:tc>
              <w:tcPr>
                <w:tcW w:w="1938" w:type="dxa"/>
                <w:vAlign w:val="bottom"/>
              </w:tcPr>
              <w:p>
                <w:pPr>
                  <w:jc w:val="right"/>
                </w:pPr>
                <w:r>
                  <w:t>12 404</w:t>
                </w:r>
              </w:p>
            </w:tc>
          </w:tr>
          <w:tr>
            <w:trPr>
              <w:jc w:val="center"/>
            </w:trPr>
            <w:tc>
              <w:tcPr>
                <w:tcW w:w="2248" w:type="dxa"/>
                <w:vAlign w:val="center"/>
              </w:tcPr>
              <w:p>
                <w:r>
                  <w:t>Joniškio rajono</w:t>
                </w:r>
              </w:p>
            </w:tc>
            <w:tc>
              <w:tcPr>
                <w:tcW w:w="2596" w:type="dxa"/>
                <w:vAlign w:val="bottom"/>
              </w:tcPr>
              <w:p>
                <w:pPr>
                  <w:jc w:val="center"/>
                  <w:rPr>
                    <w:bCs/>
                  </w:rPr>
                </w:pPr>
                <w:r>
                  <w:rPr>
                    <w:bCs/>
                  </w:rPr>
                  <w:t>9 786</w:t>
                </w:r>
              </w:p>
            </w:tc>
            <w:tc>
              <w:tcPr>
                <w:tcW w:w="1938" w:type="dxa"/>
                <w:vAlign w:val="bottom"/>
              </w:tcPr>
              <w:p>
                <w:pPr>
                  <w:jc w:val="right"/>
                </w:pPr>
                <w:r>
                  <w:t>5 436</w:t>
                </w:r>
              </w:p>
            </w:tc>
          </w:tr>
          <w:tr>
            <w:trPr>
              <w:jc w:val="center"/>
            </w:trPr>
            <w:tc>
              <w:tcPr>
                <w:tcW w:w="2248" w:type="dxa"/>
                <w:vAlign w:val="center"/>
              </w:tcPr>
              <w:p>
                <w:r>
                  <w:t>Jurbarko rajono</w:t>
                </w:r>
              </w:p>
            </w:tc>
            <w:tc>
              <w:tcPr>
                <w:tcW w:w="2596" w:type="dxa"/>
                <w:vAlign w:val="bottom"/>
              </w:tcPr>
              <w:p>
                <w:pPr>
                  <w:jc w:val="center"/>
                  <w:rPr>
                    <w:bCs/>
                  </w:rPr>
                </w:pPr>
                <w:r>
                  <w:rPr>
                    <w:bCs/>
                  </w:rPr>
                  <w:t>11 061</w:t>
                </w:r>
              </w:p>
            </w:tc>
            <w:tc>
              <w:tcPr>
                <w:tcW w:w="1938" w:type="dxa"/>
                <w:vAlign w:val="bottom"/>
              </w:tcPr>
              <w:p>
                <w:pPr>
                  <w:jc w:val="right"/>
                </w:pPr>
                <w:r>
                  <w:t>5 141</w:t>
                </w:r>
              </w:p>
            </w:tc>
          </w:tr>
          <w:tr>
            <w:trPr>
              <w:jc w:val="center"/>
            </w:trPr>
            <w:tc>
              <w:tcPr>
                <w:tcW w:w="2248" w:type="dxa"/>
                <w:vAlign w:val="center"/>
              </w:tcPr>
              <w:p>
                <w:r>
                  <w:t>Kaišiadorių rajono</w:t>
                </w:r>
              </w:p>
            </w:tc>
            <w:tc>
              <w:tcPr>
                <w:tcW w:w="2596" w:type="dxa"/>
                <w:vAlign w:val="bottom"/>
              </w:tcPr>
              <w:p>
                <w:pPr>
                  <w:jc w:val="center"/>
                  <w:rPr>
                    <w:bCs/>
                  </w:rPr>
                </w:pPr>
                <w:r>
                  <w:rPr>
                    <w:bCs/>
                  </w:rPr>
                  <w:t>12 947</w:t>
                </w:r>
              </w:p>
            </w:tc>
            <w:tc>
              <w:tcPr>
                <w:tcW w:w="1938" w:type="dxa"/>
                <w:vAlign w:val="bottom"/>
              </w:tcPr>
              <w:p>
                <w:pPr>
                  <w:jc w:val="right"/>
                </w:pPr>
                <w:r>
                  <w:t>8 078</w:t>
                </w:r>
              </w:p>
            </w:tc>
          </w:tr>
          <w:tr>
            <w:trPr>
              <w:jc w:val="center"/>
            </w:trPr>
            <w:tc>
              <w:tcPr>
                <w:tcW w:w="2248" w:type="dxa"/>
                <w:vAlign w:val="center"/>
              </w:tcPr>
              <w:p>
                <w:r>
                  <w:t>Kauno rajono</w:t>
                </w:r>
              </w:p>
            </w:tc>
            <w:tc>
              <w:tcPr>
                <w:tcW w:w="2596" w:type="dxa"/>
                <w:vAlign w:val="bottom"/>
              </w:tcPr>
              <w:p>
                <w:pPr>
                  <w:jc w:val="center"/>
                  <w:rPr>
                    <w:bCs/>
                  </w:rPr>
                </w:pPr>
                <w:r>
                  <w:rPr>
                    <w:bCs/>
                  </w:rPr>
                  <w:t>32 703</w:t>
                </w:r>
              </w:p>
            </w:tc>
            <w:tc>
              <w:tcPr>
                <w:tcW w:w="1938" w:type="dxa"/>
                <w:vAlign w:val="bottom"/>
              </w:tcPr>
              <w:p>
                <w:pPr>
                  <w:jc w:val="right"/>
                </w:pPr>
                <w:r>
                  <w:t>25 830</w:t>
                </w:r>
              </w:p>
            </w:tc>
          </w:tr>
          <w:tr>
            <w:trPr>
              <w:jc w:val="center"/>
            </w:trPr>
            <w:tc>
              <w:tcPr>
                <w:tcW w:w="2248" w:type="dxa"/>
                <w:vAlign w:val="center"/>
              </w:tcPr>
              <w:p>
                <w:r>
                  <w:t>Kėdainių rajono</w:t>
                </w:r>
              </w:p>
            </w:tc>
            <w:tc>
              <w:tcPr>
                <w:tcW w:w="2596" w:type="dxa"/>
                <w:vAlign w:val="bottom"/>
              </w:tcPr>
              <w:p>
                <w:pPr>
                  <w:jc w:val="center"/>
                  <w:rPr>
                    <w:bCs/>
                  </w:rPr>
                </w:pPr>
                <w:r>
                  <w:rPr>
                    <w:bCs/>
                  </w:rPr>
                  <w:t>19 843</w:t>
                </w:r>
              </w:p>
            </w:tc>
            <w:tc>
              <w:tcPr>
                <w:tcW w:w="1938" w:type="dxa"/>
                <w:vAlign w:val="bottom"/>
              </w:tcPr>
              <w:p>
                <w:pPr>
                  <w:jc w:val="right"/>
                </w:pPr>
                <w:r>
                  <w:t>13 155</w:t>
                </w:r>
              </w:p>
            </w:tc>
          </w:tr>
          <w:tr>
            <w:trPr>
              <w:jc w:val="center"/>
            </w:trPr>
            <w:tc>
              <w:tcPr>
                <w:tcW w:w="2248" w:type="dxa"/>
                <w:vAlign w:val="center"/>
              </w:tcPr>
              <w:p>
                <w:r>
                  <w:t>Kelmės rajono</w:t>
                </w:r>
              </w:p>
            </w:tc>
            <w:tc>
              <w:tcPr>
                <w:tcW w:w="2596" w:type="dxa"/>
                <w:vAlign w:val="bottom"/>
              </w:tcPr>
              <w:p>
                <w:pPr>
                  <w:jc w:val="center"/>
                  <w:rPr>
                    <w:bCs/>
                  </w:rPr>
                </w:pPr>
                <w:r>
                  <w:rPr>
                    <w:bCs/>
                  </w:rPr>
                  <w:t>11 328</w:t>
                </w:r>
              </w:p>
            </w:tc>
            <w:tc>
              <w:tcPr>
                <w:tcW w:w="1938" w:type="dxa"/>
                <w:vAlign w:val="bottom"/>
              </w:tcPr>
              <w:p>
                <w:pPr>
                  <w:jc w:val="right"/>
                </w:pPr>
                <w:r>
                  <w:t>4 468</w:t>
                </w:r>
              </w:p>
            </w:tc>
          </w:tr>
          <w:tr>
            <w:trPr>
              <w:jc w:val="center"/>
            </w:trPr>
            <w:tc>
              <w:tcPr>
                <w:tcW w:w="2248" w:type="dxa"/>
                <w:vAlign w:val="center"/>
              </w:tcPr>
              <w:p>
                <w:r>
                  <w:t>Klaipėdos rajono</w:t>
                </w:r>
              </w:p>
            </w:tc>
            <w:tc>
              <w:tcPr>
                <w:tcW w:w="2596" w:type="dxa"/>
                <w:vAlign w:val="bottom"/>
              </w:tcPr>
              <w:p>
                <w:pPr>
                  <w:jc w:val="center"/>
                  <w:rPr>
                    <w:bCs/>
                  </w:rPr>
                </w:pPr>
                <w:r>
                  <w:rPr>
                    <w:bCs/>
                  </w:rPr>
                  <w:t>19 971</w:t>
                </w:r>
              </w:p>
            </w:tc>
            <w:tc>
              <w:tcPr>
                <w:tcW w:w="1938" w:type="dxa"/>
                <w:vAlign w:val="bottom"/>
              </w:tcPr>
              <w:p>
                <w:pPr>
                  <w:jc w:val="right"/>
                </w:pPr>
                <w:r>
                  <w:t>15 046</w:t>
                </w:r>
              </w:p>
            </w:tc>
          </w:tr>
          <w:tr>
            <w:trPr>
              <w:jc w:val="center"/>
            </w:trPr>
            <w:tc>
              <w:tcPr>
                <w:tcW w:w="2248" w:type="dxa"/>
                <w:vAlign w:val="center"/>
              </w:tcPr>
              <w:p>
                <w:r>
                  <w:t>Kretingos rajono</w:t>
                </w:r>
              </w:p>
            </w:tc>
            <w:tc>
              <w:tcPr>
                <w:tcW w:w="2596" w:type="dxa"/>
                <w:vAlign w:val="bottom"/>
              </w:tcPr>
              <w:p>
                <w:pPr>
                  <w:jc w:val="center"/>
                  <w:rPr>
                    <w:bCs/>
                  </w:rPr>
                </w:pPr>
                <w:r>
                  <w:rPr>
                    <w:bCs/>
                  </w:rPr>
                  <w:t>14 764</w:t>
                </w:r>
              </w:p>
            </w:tc>
            <w:tc>
              <w:tcPr>
                <w:tcW w:w="1938" w:type="dxa"/>
                <w:vAlign w:val="bottom"/>
              </w:tcPr>
              <w:p>
                <w:pPr>
                  <w:jc w:val="right"/>
                </w:pPr>
                <w:r>
                  <w:t>8 899</w:t>
                </w:r>
              </w:p>
            </w:tc>
          </w:tr>
          <w:tr>
            <w:trPr>
              <w:jc w:val="center"/>
            </w:trPr>
            <w:tc>
              <w:tcPr>
                <w:tcW w:w="2248" w:type="dxa"/>
                <w:vAlign w:val="center"/>
              </w:tcPr>
              <w:p>
                <w:r>
                  <w:t>Kupiškio rajono</w:t>
                </w:r>
              </w:p>
            </w:tc>
            <w:tc>
              <w:tcPr>
                <w:tcW w:w="2596" w:type="dxa"/>
                <w:vAlign w:val="bottom"/>
              </w:tcPr>
              <w:p>
                <w:pPr>
                  <w:jc w:val="center"/>
                  <w:rPr>
                    <w:bCs/>
                  </w:rPr>
                </w:pPr>
                <w:r>
                  <w:rPr>
                    <w:bCs/>
                  </w:rPr>
                  <w:t>7 347</w:t>
                </w:r>
              </w:p>
            </w:tc>
            <w:tc>
              <w:tcPr>
                <w:tcW w:w="1938" w:type="dxa"/>
                <w:vAlign w:val="bottom"/>
              </w:tcPr>
              <w:p>
                <w:pPr>
                  <w:jc w:val="right"/>
                </w:pPr>
                <w:r>
                  <w:t>3 364</w:t>
                </w:r>
              </w:p>
            </w:tc>
          </w:tr>
          <w:tr>
            <w:trPr>
              <w:jc w:val="center"/>
            </w:trPr>
            <w:tc>
              <w:tcPr>
                <w:tcW w:w="2248" w:type="dxa"/>
                <w:vAlign w:val="center"/>
              </w:tcPr>
              <w:p>
                <w:r>
                  <w:t>Lazdijų rajono</w:t>
                </w:r>
              </w:p>
            </w:tc>
            <w:tc>
              <w:tcPr>
                <w:tcW w:w="2596" w:type="dxa"/>
                <w:vAlign w:val="bottom"/>
              </w:tcPr>
              <w:p>
                <w:pPr>
                  <w:jc w:val="center"/>
                  <w:rPr>
                    <w:bCs/>
                  </w:rPr>
                </w:pPr>
                <w:r>
                  <w:rPr>
                    <w:bCs/>
                  </w:rPr>
                  <w:t>7 970</w:t>
                </w:r>
              </w:p>
            </w:tc>
            <w:tc>
              <w:tcPr>
                <w:tcW w:w="1938" w:type="dxa"/>
                <w:vAlign w:val="bottom"/>
              </w:tcPr>
              <w:p>
                <w:pPr>
                  <w:jc w:val="right"/>
                </w:pPr>
                <w:r>
                  <w:t>3 219</w:t>
                </w:r>
              </w:p>
            </w:tc>
          </w:tr>
          <w:tr>
            <w:trPr>
              <w:jc w:val="center"/>
            </w:trPr>
            <w:tc>
              <w:tcPr>
                <w:tcW w:w="2248" w:type="dxa"/>
                <w:vAlign w:val="center"/>
              </w:tcPr>
              <w:p>
                <w:r>
                  <w:t>Mažeikių rajono</w:t>
                </w:r>
              </w:p>
            </w:tc>
            <w:tc>
              <w:tcPr>
                <w:tcW w:w="2596" w:type="dxa"/>
                <w:vAlign w:val="bottom"/>
              </w:tcPr>
              <w:p>
                <w:pPr>
                  <w:jc w:val="center"/>
                  <w:rPr>
                    <w:bCs/>
                  </w:rPr>
                </w:pPr>
                <w:r>
                  <w:rPr>
                    <w:bCs/>
                  </w:rPr>
                  <w:t>21 680</w:t>
                </w:r>
              </w:p>
            </w:tc>
            <w:tc>
              <w:tcPr>
                <w:tcW w:w="1938" w:type="dxa"/>
                <w:vAlign w:val="bottom"/>
              </w:tcPr>
              <w:p>
                <w:pPr>
                  <w:jc w:val="right"/>
                </w:pPr>
                <w:r>
                  <w:t>15 271</w:t>
                </w:r>
              </w:p>
            </w:tc>
          </w:tr>
          <w:tr>
            <w:trPr>
              <w:jc w:val="center"/>
            </w:trPr>
            <w:tc>
              <w:tcPr>
                <w:tcW w:w="2248" w:type="dxa"/>
                <w:vAlign w:val="center"/>
              </w:tcPr>
              <w:p>
                <w:r>
                  <w:t>Molėtų rajono</w:t>
                </w:r>
              </w:p>
            </w:tc>
            <w:tc>
              <w:tcPr>
                <w:tcW w:w="2596" w:type="dxa"/>
                <w:vAlign w:val="bottom"/>
              </w:tcPr>
              <w:p>
                <w:pPr>
                  <w:jc w:val="center"/>
                  <w:rPr>
                    <w:bCs/>
                  </w:rPr>
                </w:pPr>
                <w:r>
                  <w:rPr>
                    <w:bCs/>
                  </w:rPr>
                  <w:t>7 560</w:t>
                </w:r>
              </w:p>
            </w:tc>
            <w:tc>
              <w:tcPr>
                <w:tcW w:w="1938" w:type="dxa"/>
                <w:vAlign w:val="bottom"/>
              </w:tcPr>
              <w:p>
                <w:pPr>
                  <w:jc w:val="right"/>
                </w:pPr>
                <w:r>
                  <w:t>3 305</w:t>
                </w:r>
              </w:p>
            </w:tc>
          </w:tr>
          <w:tr>
            <w:trPr>
              <w:jc w:val="center"/>
            </w:trPr>
            <w:tc>
              <w:tcPr>
                <w:tcW w:w="2248" w:type="dxa"/>
                <w:vAlign w:val="center"/>
              </w:tcPr>
              <w:p>
                <w:r>
                  <w:t>Pakruojo rajono</w:t>
                </w:r>
              </w:p>
            </w:tc>
            <w:tc>
              <w:tcPr>
                <w:tcW w:w="2596" w:type="dxa"/>
                <w:vAlign w:val="bottom"/>
              </w:tcPr>
              <w:p>
                <w:pPr>
                  <w:jc w:val="center"/>
                  <w:rPr>
                    <w:bCs/>
                  </w:rPr>
                </w:pPr>
                <w:r>
                  <w:rPr>
                    <w:bCs/>
                  </w:rPr>
                  <w:t>8 879</w:t>
                </w:r>
              </w:p>
            </w:tc>
            <w:tc>
              <w:tcPr>
                <w:tcW w:w="1938" w:type="dxa"/>
                <w:vAlign w:val="bottom"/>
              </w:tcPr>
              <w:p>
                <w:pPr>
                  <w:jc w:val="right"/>
                </w:pPr>
                <w:r>
                  <w:t>4 322</w:t>
                </w:r>
              </w:p>
            </w:tc>
          </w:tr>
          <w:tr>
            <w:trPr>
              <w:jc w:val="center"/>
            </w:trPr>
            <w:tc>
              <w:tcPr>
                <w:tcW w:w="2248" w:type="dxa"/>
                <w:vAlign w:val="center"/>
              </w:tcPr>
              <w:p>
                <w:r>
                  <w:t>Panevėžio rajono</w:t>
                </w:r>
              </w:p>
            </w:tc>
            <w:tc>
              <w:tcPr>
                <w:tcW w:w="2596" w:type="dxa"/>
                <w:vAlign w:val="bottom"/>
              </w:tcPr>
              <w:p>
                <w:pPr>
                  <w:jc w:val="center"/>
                  <w:rPr>
                    <w:bCs/>
                  </w:rPr>
                </w:pPr>
                <w:r>
                  <w:rPr>
                    <w:bCs/>
                  </w:rPr>
                  <w:t>14 581</w:t>
                </w:r>
              </w:p>
            </w:tc>
            <w:tc>
              <w:tcPr>
                <w:tcW w:w="1938" w:type="dxa"/>
                <w:vAlign w:val="bottom"/>
              </w:tcPr>
              <w:p>
                <w:pPr>
                  <w:jc w:val="right"/>
                </w:pPr>
                <w:r>
                  <w:t>8 019</w:t>
                </w:r>
              </w:p>
            </w:tc>
          </w:tr>
          <w:tr>
            <w:trPr>
              <w:jc w:val="center"/>
            </w:trPr>
            <w:tc>
              <w:tcPr>
                <w:tcW w:w="2248" w:type="dxa"/>
                <w:vAlign w:val="center"/>
              </w:tcPr>
              <w:p>
                <w:r>
                  <w:t>Pasvalio rajono</w:t>
                </w:r>
              </w:p>
            </w:tc>
            <w:tc>
              <w:tcPr>
                <w:tcW w:w="2596" w:type="dxa"/>
                <w:vAlign w:val="bottom"/>
              </w:tcPr>
              <w:p>
                <w:pPr>
                  <w:jc w:val="center"/>
                  <w:rPr>
                    <w:bCs/>
                  </w:rPr>
                </w:pPr>
                <w:r>
                  <w:rPr>
                    <w:bCs/>
                  </w:rPr>
                  <w:t>10 552</w:t>
                </w:r>
              </w:p>
            </w:tc>
            <w:tc>
              <w:tcPr>
                <w:tcW w:w="1938" w:type="dxa"/>
                <w:vAlign w:val="bottom"/>
              </w:tcPr>
              <w:p>
                <w:pPr>
                  <w:jc w:val="right"/>
                </w:pPr>
                <w:r>
                  <w:t>5 325</w:t>
                </w:r>
              </w:p>
            </w:tc>
          </w:tr>
          <w:tr>
            <w:trPr>
              <w:jc w:val="center"/>
            </w:trPr>
            <w:tc>
              <w:tcPr>
                <w:tcW w:w="2248" w:type="dxa"/>
                <w:vAlign w:val="center"/>
              </w:tcPr>
              <w:p>
                <w:r>
                  <w:t>Plungės rajono</w:t>
                </w:r>
              </w:p>
            </w:tc>
            <w:tc>
              <w:tcPr>
                <w:tcW w:w="2596" w:type="dxa"/>
                <w:vAlign w:val="bottom"/>
              </w:tcPr>
              <w:p>
                <w:pPr>
                  <w:jc w:val="center"/>
                  <w:rPr>
                    <w:bCs/>
                  </w:rPr>
                </w:pPr>
                <w:r>
                  <w:rPr>
                    <w:bCs/>
                  </w:rPr>
                  <w:t>13 545</w:t>
                </w:r>
              </w:p>
            </w:tc>
            <w:tc>
              <w:tcPr>
                <w:tcW w:w="1938" w:type="dxa"/>
                <w:vAlign w:val="bottom"/>
              </w:tcPr>
              <w:p>
                <w:pPr>
                  <w:jc w:val="right"/>
                </w:pPr>
                <w:r>
                  <w:t>7 718</w:t>
                </w:r>
              </w:p>
            </w:tc>
          </w:tr>
          <w:tr>
            <w:trPr>
              <w:jc w:val="center"/>
            </w:trPr>
            <w:tc>
              <w:tcPr>
                <w:tcW w:w="2248" w:type="dxa"/>
                <w:vAlign w:val="center"/>
              </w:tcPr>
              <w:p>
                <w:r>
                  <w:t>Prienų rajono</w:t>
                </w:r>
              </w:p>
            </w:tc>
            <w:tc>
              <w:tcPr>
                <w:tcW w:w="2596" w:type="dxa"/>
                <w:vAlign w:val="bottom"/>
              </w:tcPr>
              <w:p>
                <w:pPr>
                  <w:jc w:val="center"/>
                  <w:rPr>
                    <w:bCs/>
                  </w:rPr>
                </w:pPr>
                <w:r>
                  <w:rPr>
                    <w:bCs/>
                  </w:rPr>
                  <w:t>10 214</w:t>
                </w:r>
              </w:p>
            </w:tc>
            <w:tc>
              <w:tcPr>
                <w:tcW w:w="1938" w:type="dxa"/>
                <w:vAlign w:val="bottom"/>
              </w:tcPr>
              <w:p>
                <w:pPr>
                  <w:jc w:val="right"/>
                </w:pPr>
                <w:r>
                  <w:t>4 823</w:t>
                </w:r>
              </w:p>
            </w:tc>
          </w:tr>
          <w:tr>
            <w:trPr>
              <w:jc w:val="center"/>
            </w:trPr>
            <w:tc>
              <w:tcPr>
                <w:tcW w:w="2248" w:type="dxa"/>
                <w:vAlign w:val="center"/>
              </w:tcPr>
              <w:p>
                <w:r>
                  <w:t>Radviliškio rajono</w:t>
                </w:r>
              </w:p>
            </w:tc>
            <w:tc>
              <w:tcPr>
                <w:tcW w:w="2596" w:type="dxa"/>
                <w:vAlign w:val="bottom"/>
              </w:tcPr>
              <w:p>
                <w:pPr>
                  <w:jc w:val="center"/>
                  <w:rPr>
                    <w:bCs/>
                  </w:rPr>
                </w:pPr>
                <w:r>
                  <w:rPr>
                    <w:bCs/>
                  </w:rPr>
                  <w:t>15 012</w:t>
                </w:r>
              </w:p>
            </w:tc>
            <w:tc>
              <w:tcPr>
                <w:tcW w:w="1938" w:type="dxa"/>
                <w:vAlign w:val="bottom"/>
              </w:tcPr>
              <w:p>
                <w:pPr>
                  <w:jc w:val="right"/>
                </w:pPr>
                <w:r>
                  <w:t>8 760</w:t>
                </w:r>
              </w:p>
            </w:tc>
          </w:tr>
          <w:tr>
            <w:trPr>
              <w:jc w:val="center"/>
            </w:trPr>
            <w:tc>
              <w:tcPr>
                <w:tcW w:w="2248" w:type="dxa"/>
                <w:vAlign w:val="center"/>
              </w:tcPr>
              <w:p>
                <w:r>
                  <w:t>Raseinių rajono</w:t>
                </w:r>
              </w:p>
            </w:tc>
            <w:tc>
              <w:tcPr>
                <w:tcW w:w="2596" w:type="dxa"/>
                <w:vAlign w:val="bottom"/>
              </w:tcPr>
              <w:p>
                <w:pPr>
                  <w:jc w:val="center"/>
                  <w:rPr>
                    <w:bCs/>
                  </w:rPr>
                </w:pPr>
                <w:r>
                  <w:rPr>
                    <w:bCs/>
                  </w:rPr>
                  <w:t>13 127</w:t>
                </w:r>
              </w:p>
            </w:tc>
            <w:tc>
              <w:tcPr>
                <w:tcW w:w="1938" w:type="dxa"/>
                <w:vAlign w:val="bottom"/>
              </w:tcPr>
              <w:p>
                <w:pPr>
                  <w:jc w:val="right"/>
                </w:pPr>
                <w:r>
                  <w:t>5 492</w:t>
                </w:r>
              </w:p>
            </w:tc>
          </w:tr>
          <w:tr>
            <w:trPr>
              <w:jc w:val="center"/>
            </w:trPr>
            <w:tc>
              <w:tcPr>
                <w:tcW w:w="2248" w:type="dxa"/>
                <w:vAlign w:val="center"/>
              </w:tcPr>
              <w:p>
                <w:r>
                  <w:t>Rokiškio rajono</w:t>
                </w:r>
              </w:p>
            </w:tc>
            <w:tc>
              <w:tcPr>
                <w:tcW w:w="2596" w:type="dxa"/>
                <w:vAlign w:val="bottom"/>
              </w:tcPr>
              <w:p>
                <w:pPr>
                  <w:jc w:val="center"/>
                  <w:rPr>
                    <w:bCs/>
                  </w:rPr>
                </w:pPr>
                <w:r>
                  <w:rPr>
                    <w:bCs/>
                  </w:rPr>
                  <w:t>12 269</w:t>
                </w:r>
              </w:p>
            </w:tc>
            <w:tc>
              <w:tcPr>
                <w:tcW w:w="1938" w:type="dxa"/>
                <w:vAlign w:val="bottom"/>
              </w:tcPr>
              <w:p>
                <w:pPr>
                  <w:jc w:val="right"/>
                </w:pPr>
                <w:r>
                  <w:t>6 784</w:t>
                </w:r>
              </w:p>
            </w:tc>
          </w:tr>
          <w:tr>
            <w:trPr>
              <w:jc w:val="center"/>
            </w:trPr>
            <w:tc>
              <w:tcPr>
                <w:tcW w:w="2248" w:type="dxa"/>
                <w:vAlign w:val="center"/>
              </w:tcPr>
              <w:p>
                <w:r>
                  <w:t>Skuodo rajono</w:t>
                </w:r>
              </w:p>
            </w:tc>
            <w:tc>
              <w:tcPr>
                <w:tcW w:w="2596" w:type="dxa"/>
                <w:vAlign w:val="bottom"/>
              </w:tcPr>
              <w:p>
                <w:pPr>
                  <w:jc w:val="center"/>
                  <w:rPr>
                    <w:bCs/>
                  </w:rPr>
                </w:pPr>
                <w:r>
                  <w:rPr>
                    <w:bCs/>
                  </w:rPr>
                  <w:t>7 271</w:t>
                </w:r>
              </w:p>
            </w:tc>
            <w:tc>
              <w:tcPr>
                <w:tcW w:w="1938" w:type="dxa"/>
                <w:vAlign w:val="bottom"/>
              </w:tcPr>
              <w:p>
                <w:pPr>
                  <w:jc w:val="right"/>
                </w:pPr>
                <w:r>
                  <w:t>2 959</w:t>
                </w:r>
              </w:p>
            </w:tc>
          </w:tr>
          <w:tr>
            <w:trPr>
              <w:jc w:val="center"/>
            </w:trPr>
            <w:tc>
              <w:tcPr>
                <w:tcW w:w="2248" w:type="dxa"/>
                <w:vAlign w:val="center"/>
              </w:tcPr>
              <w:p>
                <w:r>
                  <w:t>Šakių rajono</w:t>
                </w:r>
              </w:p>
            </w:tc>
            <w:tc>
              <w:tcPr>
                <w:tcW w:w="2596" w:type="dxa"/>
                <w:vAlign w:val="bottom"/>
              </w:tcPr>
              <w:p>
                <w:pPr>
                  <w:jc w:val="center"/>
                  <w:rPr>
                    <w:bCs/>
                  </w:rPr>
                </w:pPr>
                <w:r>
                  <w:rPr>
                    <w:bCs/>
                  </w:rPr>
                  <w:t>11 864</w:t>
                </w:r>
              </w:p>
            </w:tc>
            <w:tc>
              <w:tcPr>
                <w:tcW w:w="1938" w:type="dxa"/>
                <w:vAlign w:val="bottom"/>
              </w:tcPr>
              <w:p>
                <w:pPr>
                  <w:jc w:val="right"/>
                </w:pPr>
                <w:r>
                  <w:t>5 571</w:t>
                </w:r>
              </w:p>
            </w:tc>
          </w:tr>
          <w:tr>
            <w:trPr>
              <w:jc w:val="center"/>
            </w:trPr>
            <w:tc>
              <w:tcPr>
                <w:tcW w:w="2248" w:type="dxa"/>
                <w:vAlign w:val="center"/>
              </w:tcPr>
              <w:p>
                <w:r>
                  <w:t>Šalčininkų rajono</w:t>
                </w:r>
              </w:p>
            </w:tc>
            <w:tc>
              <w:tcPr>
                <w:tcW w:w="2596" w:type="dxa"/>
                <w:vAlign w:val="bottom"/>
              </w:tcPr>
              <w:p>
                <w:pPr>
                  <w:jc w:val="center"/>
                  <w:rPr>
                    <w:bCs/>
                  </w:rPr>
                </w:pPr>
                <w:r>
                  <w:rPr>
                    <w:bCs/>
                  </w:rPr>
                  <w:t>11 895</w:t>
                </w:r>
              </w:p>
            </w:tc>
            <w:tc>
              <w:tcPr>
                <w:tcW w:w="1938" w:type="dxa"/>
                <w:vAlign w:val="bottom"/>
              </w:tcPr>
              <w:p>
                <w:pPr>
                  <w:jc w:val="right"/>
                </w:pPr>
                <w:r>
                  <w:t>5 442</w:t>
                </w:r>
              </w:p>
            </w:tc>
          </w:tr>
          <w:tr>
            <w:trPr>
              <w:jc w:val="center"/>
            </w:trPr>
            <w:tc>
              <w:tcPr>
                <w:tcW w:w="2248" w:type="dxa"/>
                <w:vAlign w:val="center"/>
              </w:tcPr>
              <w:p>
                <w:r>
                  <w:t>Šiaulių rajono</w:t>
                </w:r>
              </w:p>
            </w:tc>
            <w:tc>
              <w:tcPr>
                <w:tcW w:w="2596" w:type="dxa"/>
                <w:vAlign w:val="bottom"/>
              </w:tcPr>
              <w:p>
                <w:pPr>
                  <w:jc w:val="center"/>
                  <w:rPr>
                    <w:bCs/>
                  </w:rPr>
                </w:pPr>
                <w:r>
                  <w:rPr>
                    <w:bCs/>
                  </w:rPr>
                  <w:t>15 841</w:t>
                </w:r>
              </w:p>
            </w:tc>
            <w:tc>
              <w:tcPr>
                <w:tcW w:w="1938" w:type="dxa"/>
                <w:vAlign w:val="bottom"/>
              </w:tcPr>
              <w:p>
                <w:pPr>
                  <w:jc w:val="right"/>
                </w:pPr>
                <w:r>
                  <w:t>8 377</w:t>
                </w:r>
              </w:p>
            </w:tc>
          </w:tr>
          <w:tr>
            <w:trPr>
              <w:jc w:val="center"/>
            </w:trPr>
            <w:tc>
              <w:tcPr>
                <w:tcW w:w="2248" w:type="dxa"/>
                <w:vAlign w:val="center"/>
              </w:tcPr>
              <w:p>
                <w:r>
                  <w:t>Šilalės rajono</w:t>
                </w:r>
              </w:p>
            </w:tc>
            <w:tc>
              <w:tcPr>
                <w:tcW w:w="2596" w:type="dxa"/>
                <w:vAlign w:val="bottom"/>
              </w:tcPr>
              <w:p>
                <w:pPr>
                  <w:jc w:val="center"/>
                  <w:rPr>
                    <w:bCs/>
                  </w:rPr>
                </w:pPr>
                <w:r>
                  <w:rPr>
                    <w:bCs/>
                  </w:rPr>
                  <w:t>9 640</w:t>
                </w:r>
              </w:p>
            </w:tc>
            <w:tc>
              <w:tcPr>
                <w:tcW w:w="1938" w:type="dxa"/>
                <w:vAlign w:val="bottom"/>
              </w:tcPr>
              <w:p>
                <w:pPr>
                  <w:jc w:val="right"/>
                </w:pPr>
                <w:r>
                  <w:t>4 393</w:t>
                </w:r>
              </w:p>
            </w:tc>
          </w:tr>
          <w:tr>
            <w:trPr>
              <w:jc w:val="center"/>
            </w:trPr>
            <w:tc>
              <w:tcPr>
                <w:tcW w:w="2248" w:type="dxa"/>
                <w:vAlign w:val="center"/>
              </w:tcPr>
              <w:p>
                <w:r>
                  <w:t>Šilutės rajono</w:t>
                </w:r>
              </w:p>
            </w:tc>
            <w:tc>
              <w:tcPr>
                <w:tcW w:w="2596" w:type="dxa"/>
                <w:vAlign w:val="bottom"/>
              </w:tcPr>
              <w:p>
                <w:pPr>
                  <w:jc w:val="center"/>
                  <w:rPr>
                    <w:bCs/>
                  </w:rPr>
                </w:pPr>
                <w:r>
                  <w:rPr>
                    <w:bCs/>
                  </w:rPr>
                  <w:t>16 393</w:t>
                </w:r>
              </w:p>
            </w:tc>
            <w:tc>
              <w:tcPr>
                <w:tcW w:w="1938" w:type="dxa"/>
                <w:vAlign w:val="bottom"/>
              </w:tcPr>
              <w:p>
                <w:pPr>
                  <w:jc w:val="right"/>
                </w:pPr>
                <w:r>
                  <w:t>8 336</w:t>
                </w:r>
              </w:p>
            </w:tc>
          </w:tr>
          <w:tr>
            <w:trPr>
              <w:jc w:val="center"/>
            </w:trPr>
            <w:tc>
              <w:tcPr>
                <w:tcW w:w="2248" w:type="dxa"/>
                <w:vAlign w:val="center"/>
              </w:tcPr>
              <w:p>
                <w:r>
                  <w:t>Širvintų rajono</w:t>
                </w:r>
              </w:p>
            </w:tc>
            <w:tc>
              <w:tcPr>
                <w:tcW w:w="2596" w:type="dxa"/>
                <w:vAlign w:val="bottom"/>
              </w:tcPr>
              <w:p>
                <w:pPr>
                  <w:jc w:val="center"/>
                  <w:rPr>
                    <w:bCs/>
                  </w:rPr>
                </w:pPr>
                <w:r>
                  <w:rPr>
                    <w:bCs/>
                  </w:rPr>
                  <w:t>6 325</w:t>
                </w:r>
              </w:p>
            </w:tc>
            <w:tc>
              <w:tcPr>
                <w:tcW w:w="1938" w:type="dxa"/>
                <w:vAlign w:val="bottom"/>
              </w:tcPr>
              <w:p>
                <w:pPr>
                  <w:jc w:val="right"/>
                </w:pPr>
                <w:r>
                  <w:t>3 476</w:t>
                </w:r>
              </w:p>
            </w:tc>
          </w:tr>
          <w:tr>
            <w:trPr>
              <w:jc w:val="center"/>
            </w:trPr>
            <w:tc>
              <w:tcPr>
                <w:tcW w:w="2248" w:type="dxa"/>
                <w:vAlign w:val="center"/>
              </w:tcPr>
              <w:p>
                <w:r>
                  <w:t>Švenčionių rajono</w:t>
                </w:r>
              </w:p>
            </w:tc>
            <w:tc>
              <w:tcPr>
                <w:tcW w:w="2596" w:type="dxa"/>
                <w:vAlign w:val="bottom"/>
              </w:tcPr>
              <w:p>
                <w:pPr>
                  <w:jc w:val="center"/>
                  <w:rPr>
                    <w:bCs/>
                  </w:rPr>
                </w:pPr>
                <w:r>
                  <w:rPr>
                    <w:bCs/>
                  </w:rPr>
                  <w:t>9 999</w:t>
                </w:r>
              </w:p>
            </w:tc>
            <w:tc>
              <w:tcPr>
                <w:tcW w:w="1938" w:type="dxa"/>
                <w:vAlign w:val="bottom"/>
              </w:tcPr>
              <w:p>
                <w:pPr>
                  <w:jc w:val="right"/>
                </w:pPr>
                <w:r>
                  <w:t>5 397</w:t>
                </w:r>
              </w:p>
            </w:tc>
          </w:tr>
          <w:tr>
            <w:trPr>
              <w:jc w:val="center"/>
            </w:trPr>
            <w:tc>
              <w:tcPr>
                <w:tcW w:w="2248" w:type="dxa"/>
                <w:vAlign w:val="center"/>
              </w:tcPr>
              <w:p>
                <w:r>
                  <w:t>Tauragės rajono</w:t>
                </w:r>
              </w:p>
            </w:tc>
            <w:tc>
              <w:tcPr>
                <w:tcW w:w="2596" w:type="dxa"/>
                <w:vAlign w:val="bottom"/>
              </w:tcPr>
              <w:p>
                <w:pPr>
                  <w:jc w:val="center"/>
                  <w:rPr>
                    <w:bCs/>
                  </w:rPr>
                </w:pPr>
                <w:r>
                  <w:rPr>
                    <w:bCs/>
                  </w:rPr>
                  <w:t>16 065</w:t>
                </w:r>
              </w:p>
            </w:tc>
            <w:tc>
              <w:tcPr>
                <w:tcW w:w="1938" w:type="dxa"/>
                <w:vAlign w:val="bottom"/>
              </w:tcPr>
              <w:p>
                <w:pPr>
                  <w:jc w:val="right"/>
                </w:pPr>
                <w:r>
                  <w:t>8 180</w:t>
                </w:r>
              </w:p>
            </w:tc>
          </w:tr>
          <w:tr>
            <w:trPr>
              <w:jc w:val="center"/>
            </w:trPr>
            <w:tc>
              <w:tcPr>
                <w:tcW w:w="2248" w:type="dxa"/>
                <w:vAlign w:val="center"/>
              </w:tcPr>
              <w:p>
                <w:r>
                  <w:t>Telšių rajono</w:t>
                </w:r>
              </w:p>
            </w:tc>
            <w:tc>
              <w:tcPr>
                <w:tcW w:w="2596" w:type="dxa"/>
                <w:vAlign w:val="bottom"/>
              </w:tcPr>
              <w:p>
                <w:pPr>
                  <w:jc w:val="center"/>
                  <w:rPr>
                    <w:bCs/>
                  </w:rPr>
                </w:pPr>
                <w:r>
                  <w:rPr>
                    <w:bCs/>
                  </w:rPr>
                  <w:t>16 644</w:t>
                </w:r>
              </w:p>
            </w:tc>
            <w:tc>
              <w:tcPr>
                <w:tcW w:w="1938" w:type="dxa"/>
                <w:vAlign w:val="bottom"/>
              </w:tcPr>
              <w:p>
                <w:pPr>
                  <w:jc w:val="right"/>
                </w:pPr>
                <w:r>
                  <w:t>8 722</w:t>
                </w:r>
              </w:p>
            </w:tc>
          </w:tr>
          <w:tr>
            <w:trPr>
              <w:jc w:val="center"/>
            </w:trPr>
            <w:tc>
              <w:tcPr>
                <w:tcW w:w="2248" w:type="dxa"/>
                <w:vAlign w:val="center"/>
              </w:tcPr>
              <w:p>
                <w:r>
                  <w:t>Trakų rajono</w:t>
                </w:r>
              </w:p>
            </w:tc>
            <w:tc>
              <w:tcPr>
                <w:tcW w:w="2596" w:type="dxa"/>
                <w:vAlign w:val="bottom"/>
              </w:tcPr>
              <w:p>
                <w:pPr>
                  <w:jc w:val="center"/>
                  <w:rPr>
                    <w:bCs/>
                  </w:rPr>
                </w:pPr>
                <w:r>
                  <w:rPr>
                    <w:bCs/>
                  </w:rPr>
                  <w:t>13 767</w:t>
                </w:r>
              </w:p>
            </w:tc>
            <w:tc>
              <w:tcPr>
                <w:tcW w:w="1938" w:type="dxa"/>
                <w:vAlign w:val="bottom"/>
              </w:tcPr>
              <w:p>
                <w:pPr>
                  <w:jc w:val="right"/>
                </w:pPr>
                <w:r>
                  <w:t>10 557</w:t>
                </w:r>
              </w:p>
            </w:tc>
          </w:tr>
          <w:tr>
            <w:trPr>
              <w:jc w:val="center"/>
            </w:trPr>
            <w:tc>
              <w:tcPr>
                <w:tcW w:w="2248" w:type="dxa"/>
                <w:vAlign w:val="center"/>
              </w:tcPr>
              <w:p>
                <w:r>
                  <w:t>Ukmergės rajono</w:t>
                </w:r>
              </w:p>
            </w:tc>
            <w:tc>
              <w:tcPr>
                <w:tcW w:w="2596" w:type="dxa"/>
                <w:vAlign w:val="bottom"/>
              </w:tcPr>
              <w:p>
                <w:pPr>
                  <w:jc w:val="center"/>
                  <w:rPr>
                    <w:bCs/>
                  </w:rPr>
                </w:pPr>
                <w:r>
                  <w:rPr>
                    <w:bCs/>
                  </w:rPr>
                  <w:t>14 284</w:t>
                </w:r>
              </w:p>
            </w:tc>
            <w:tc>
              <w:tcPr>
                <w:tcW w:w="1938" w:type="dxa"/>
                <w:vAlign w:val="bottom"/>
              </w:tcPr>
              <w:p>
                <w:pPr>
                  <w:jc w:val="right"/>
                </w:pPr>
                <w:r>
                  <w:t>7 737</w:t>
                </w:r>
              </w:p>
            </w:tc>
          </w:tr>
          <w:tr>
            <w:trPr>
              <w:jc w:val="center"/>
            </w:trPr>
            <w:tc>
              <w:tcPr>
                <w:tcW w:w="2248" w:type="dxa"/>
                <w:vAlign w:val="center"/>
              </w:tcPr>
              <w:p>
                <w:r>
                  <w:t>Utenos rajono</w:t>
                </w:r>
              </w:p>
            </w:tc>
            <w:tc>
              <w:tcPr>
                <w:tcW w:w="2596" w:type="dxa"/>
                <w:vAlign w:val="bottom"/>
              </w:tcPr>
              <w:p>
                <w:pPr>
                  <w:jc w:val="center"/>
                  <w:rPr>
                    <w:bCs/>
                  </w:rPr>
                </w:pPr>
                <w:r>
                  <w:rPr>
                    <w:bCs/>
                  </w:rPr>
                  <w:t>14 697</w:t>
                </w:r>
              </w:p>
            </w:tc>
            <w:tc>
              <w:tcPr>
                <w:tcW w:w="1938" w:type="dxa"/>
                <w:vAlign w:val="bottom"/>
              </w:tcPr>
              <w:p>
                <w:pPr>
                  <w:jc w:val="right"/>
                </w:pPr>
                <w:r>
                  <w:t>10 493</w:t>
                </w:r>
              </w:p>
            </w:tc>
          </w:tr>
          <w:tr>
            <w:trPr>
              <w:jc w:val="center"/>
            </w:trPr>
            <w:tc>
              <w:tcPr>
                <w:tcW w:w="2248" w:type="dxa"/>
                <w:vAlign w:val="center"/>
              </w:tcPr>
              <w:p>
                <w:r>
                  <w:t>Varėnos rajono</w:t>
                </w:r>
              </w:p>
            </w:tc>
            <w:tc>
              <w:tcPr>
                <w:tcW w:w="2596" w:type="dxa"/>
                <w:vAlign w:val="bottom"/>
              </w:tcPr>
              <w:p>
                <w:pPr>
                  <w:jc w:val="center"/>
                  <w:rPr>
                    <w:bCs/>
                  </w:rPr>
                </w:pPr>
                <w:r>
                  <w:rPr>
                    <w:bCs/>
                  </w:rPr>
                  <w:t>9 454</w:t>
                </w:r>
              </w:p>
            </w:tc>
            <w:tc>
              <w:tcPr>
                <w:tcW w:w="1938" w:type="dxa"/>
                <w:vAlign w:val="bottom"/>
              </w:tcPr>
              <w:p>
                <w:pPr>
                  <w:jc w:val="right"/>
                </w:pPr>
                <w:r>
                  <w:t>4 555</w:t>
                </w:r>
              </w:p>
            </w:tc>
          </w:tr>
          <w:tr>
            <w:trPr>
              <w:jc w:val="center"/>
            </w:trPr>
            <w:tc>
              <w:tcPr>
                <w:tcW w:w="2248" w:type="dxa"/>
                <w:vAlign w:val="center"/>
              </w:tcPr>
              <w:p>
                <w:r>
                  <w:t>Vilkaviškio rajono</w:t>
                </w:r>
              </w:p>
            </w:tc>
            <w:tc>
              <w:tcPr>
                <w:tcW w:w="2596" w:type="dxa"/>
                <w:vAlign w:val="bottom"/>
              </w:tcPr>
              <w:p>
                <w:pPr>
                  <w:jc w:val="center"/>
                  <w:rPr>
                    <w:bCs/>
                  </w:rPr>
                </w:pPr>
                <w:r>
                  <w:rPr>
                    <w:bCs/>
                  </w:rPr>
                  <w:t>14 840</w:t>
                </w:r>
              </w:p>
            </w:tc>
            <w:tc>
              <w:tcPr>
                <w:tcW w:w="1938" w:type="dxa"/>
                <w:vAlign w:val="bottom"/>
              </w:tcPr>
              <w:p>
                <w:pPr>
                  <w:jc w:val="right"/>
                </w:pPr>
                <w:r>
                  <w:t>7 042</w:t>
                </w:r>
              </w:p>
            </w:tc>
          </w:tr>
          <w:tr>
            <w:trPr>
              <w:jc w:val="center"/>
            </w:trPr>
            <w:tc>
              <w:tcPr>
                <w:tcW w:w="2248" w:type="dxa"/>
                <w:vAlign w:val="center"/>
              </w:tcPr>
              <w:p>
                <w:r>
                  <w:t>Vilniaus rajono</w:t>
                </w:r>
              </w:p>
            </w:tc>
            <w:tc>
              <w:tcPr>
                <w:tcW w:w="2596" w:type="dxa"/>
                <w:vAlign w:val="bottom"/>
              </w:tcPr>
              <w:p>
                <w:pPr>
                  <w:jc w:val="center"/>
                  <w:rPr>
                    <w:bCs/>
                  </w:rPr>
                </w:pPr>
                <w:r>
                  <w:rPr>
                    <w:bCs/>
                  </w:rPr>
                  <w:t>36 292</w:t>
                </w:r>
              </w:p>
            </w:tc>
            <w:tc>
              <w:tcPr>
                <w:tcW w:w="1938" w:type="dxa"/>
                <w:vAlign w:val="bottom"/>
              </w:tcPr>
              <w:p>
                <w:pPr>
                  <w:jc w:val="right"/>
                </w:pPr>
                <w:r>
                  <w:t>28 174</w:t>
                </w:r>
              </w:p>
            </w:tc>
          </w:tr>
          <w:tr>
            <w:trPr>
              <w:jc w:val="center"/>
            </w:trPr>
            <w:tc>
              <w:tcPr>
                <w:tcW w:w="2248" w:type="dxa"/>
                <w:vAlign w:val="center"/>
              </w:tcPr>
              <w:p>
                <w:r>
                  <w:t>Zarasų rajono</w:t>
                </w:r>
              </w:p>
            </w:tc>
            <w:tc>
              <w:tcPr>
                <w:tcW w:w="2596" w:type="dxa"/>
                <w:vAlign w:val="bottom"/>
              </w:tcPr>
              <w:p>
                <w:pPr>
                  <w:jc w:val="center"/>
                  <w:rPr>
                    <w:bCs/>
                  </w:rPr>
                </w:pPr>
                <w:r>
                  <w:rPr>
                    <w:bCs/>
                  </w:rPr>
                  <w:t>7 196</w:t>
                </w:r>
              </w:p>
            </w:tc>
            <w:tc>
              <w:tcPr>
                <w:tcW w:w="1938" w:type="dxa"/>
                <w:vAlign w:val="bottom"/>
              </w:tcPr>
              <w:p>
                <w:pPr>
                  <w:jc w:val="right"/>
                </w:pPr>
                <w:r>
                  <w:t>2 906</w:t>
                </w:r>
              </w:p>
            </w:tc>
          </w:tr>
          <w:tr>
            <w:trPr>
              <w:jc w:val="center"/>
            </w:trPr>
            <w:tc>
              <w:tcPr>
                <w:tcW w:w="2248" w:type="dxa"/>
                <w:vAlign w:val="center"/>
              </w:tcPr>
              <w:p>
                <w:r>
                  <w:t xml:space="preserve">Elektrėnų </w:t>
                </w:r>
              </w:p>
            </w:tc>
            <w:tc>
              <w:tcPr>
                <w:tcW w:w="2596" w:type="dxa"/>
                <w:vAlign w:val="bottom"/>
              </w:tcPr>
              <w:p>
                <w:pPr>
                  <w:jc w:val="center"/>
                  <w:rPr>
                    <w:bCs/>
                  </w:rPr>
                </w:pPr>
                <w:r>
                  <w:rPr>
                    <w:bCs/>
                  </w:rPr>
                  <w:t>10 143</w:t>
                </w:r>
              </w:p>
            </w:tc>
            <w:tc>
              <w:tcPr>
                <w:tcW w:w="1938" w:type="dxa"/>
                <w:vAlign w:val="bottom"/>
              </w:tcPr>
              <w:p>
                <w:pPr>
                  <w:jc w:val="right"/>
                </w:pPr>
                <w:r>
                  <w:t>7 433</w:t>
                </w:r>
              </w:p>
            </w:tc>
          </w:tr>
          <w:tr>
            <w:trPr>
              <w:jc w:val="center"/>
            </w:trPr>
            <w:tc>
              <w:tcPr>
                <w:tcW w:w="2248" w:type="dxa"/>
                <w:vAlign w:val="center"/>
              </w:tcPr>
              <w:p>
                <w:r>
                  <w:t>Kalvarijos</w:t>
                </w:r>
              </w:p>
            </w:tc>
            <w:tc>
              <w:tcPr>
                <w:tcW w:w="2596" w:type="dxa"/>
                <w:vAlign w:val="bottom"/>
              </w:tcPr>
              <w:p>
                <w:pPr>
                  <w:jc w:val="center"/>
                  <w:rPr>
                    <w:bCs/>
                  </w:rPr>
                </w:pPr>
                <w:r>
                  <w:rPr>
                    <w:bCs/>
                  </w:rPr>
                  <w:t>4 121</w:t>
                </w:r>
              </w:p>
            </w:tc>
            <w:tc>
              <w:tcPr>
                <w:tcW w:w="1938" w:type="dxa"/>
                <w:vAlign w:val="bottom"/>
              </w:tcPr>
              <w:p>
                <w:pPr>
                  <w:jc w:val="right"/>
                </w:pPr>
                <w:r>
                  <w:t>1 431</w:t>
                </w:r>
              </w:p>
            </w:tc>
          </w:tr>
          <w:tr>
            <w:trPr>
              <w:jc w:val="center"/>
            </w:trPr>
            <w:tc>
              <w:tcPr>
                <w:tcW w:w="2248" w:type="dxa"/>
                <w:vAlign w:val="center"/>
              </w:tcPr>
              <w:p>
                <w:r>
                  <w:t xml:space="preserve">Kazlų Rūdos </w:t>
                </w:r>
              </w:p>
            </w:tc>
            <w:tc>
              <w:tcPr>
                <w:tcW w:w="2596" w:type="dxa"/>
                <w:vAlign w:val="bottom"/>
              </w:tcPr>
              <w:p>
                <w:pPr>
                  <w:jc w:val="center"/>
                  <w:rPr>
                    <w:bCs/>
                  </w:rPr>
                </w:pPr>
                <w:r>
                  <w:rPr>
                    <w:bCs/>
                  </w:rPr>
                  <w:t>4 644</w:t>
                </w:r>
              </w:p>
            </w:tc>
            <w:tc>
              <w:tcPr>
                <w:tcW w:w="1938" w:type="dxa"/>
                <w:vAlign w:val="bottom"/>
              </w:tcPr>
              <w:p>
                <w:pPr>
                  <w:jc w:val="right"/>
                </w:pPr>
                <w:r>
                  <w:t>2 810</w:t>
                </w:r>
              </w:p>
            </w:tc>
          </w:tr>
          <w:tr>
            <w:trPr>
              <w:jc w:val="center"/>
            </w:trPr>
            <w:tc>
              <w:tcPr>
                <w:tcW w:w="2248" w:type="dxa"/>
                <w:vAlign w:val="center"/>
              </w:tcPr>
              <w:p>
                <w:r>
                  <w:t xml:space="preserve">Pagėgių </w:t>
                </w:r>
              </w:p>
            </w:tc>
            <w:tc>
              <w:tcPr>
                <w:tcW w:w="2596" w:type="dxa"/>
                <w:vAlign w:val="bottom"/>
              </w:tcPr>
              <w:p>
                <w:pPr>
                  <w:jc w:val="center"/>
                  <w:rPr>
                    <w:bCs/>
                  </w:rPr>
                </w:pPr>
                <w:r>
                  <w:rPr>
                    <w:bCs/>
                  </w:rPr>
                  <w:t>3 684</w:t>
                </w:r>
              </w:p>
            </w:tc>
            <w:tc>
              <w:tcPr>
                <w:tcW w:w="1938" w:type="dxa"/>
                <w:vAlign w:val="bottom"/>
              </w:tcPr>
              <w:p>
                <w:pPr>
                  <w:jc w:val="right"/>
                </w:pPr>
                <w:r>
                  <w:t>1 293</w:t>
                </w:r>
              </w:p>
            </w:tc>
          </w:tr>
          <w:tr>
            <w:trPr>
              <w:trHeight w:val="321"/>
              <w:jc w:val="center"/>
            </w:trPr>
            <w:tc>
              <w:tcPr>
                <w:tcW w:w="2248" w:type="dxa"/>
                <w:tcBorders>
                  <w:bottom w:val="single" w:sz="4" w:space="0" w:color="auto"/>
                </w:tcBorders>
                <w:vAlign w:val="center"/>
              </w:tcPr>
              <w:p>
                <w:r>
                  <w:t xml:space="preserve">Rietavo </w:t>
                </w:r>
              </w:p>
            </w:tc>
            <w:tc>
              <w:tcPr>
                <w:tcW w:w="2596" w:type="dxa"/>
                <w:tcBorders>
                  <w:bottom w:val="single" w:sz="4" w:space="0" w:color="auto"/>
                </w:tcBorders>
                <w:vAlign w:val="bottom"/>
              </w:tcPr>
              <w:p>
                <w:pPr>
                  <w:jc w:val="center"/>
                  <w:rPr>
                    <w:bCs/>
                  </w:rPr>
                </w:pPr>
                <w:r>
                  <w:rPr>
                    <w:bCs/>
                  </w:rPr>
                  <w:t>3 216</w:t>
                </w:r>
              </w:p>
            </w:tc>
            <w:tc>
              <w:tcPr>
                <w:tcW w:w="1938" w:type="dxa"/>
                <w:tcBorders>
                  <w:bottom w:val="single" w:sz="4" w:space="0" w:color="auto"/>
                </w:tcBorders>
                <w:vAlign w:val="bottom"/>
              </w:tcPr>
              <w:p>
                <w:pPr>
                  <w:jc w:val="right"/>
                </w:pPr>
                <w:r>
                  <w:t>1 381</w:t>
                </w:r>
              </w:p>
            </w:tc>
          </w:tr>
          <w:tr>
            <w:trPr>
              <w:jc w:val="center"/>
            </w:trPr>
            <w:tc>
              <w:tcPr>
                <w:tcW w:w="2248" w:type="dxa"/>
                <w:tcBorders>
                  <w:top w:val="single" w:sz="4" w:space="0" w:color="auto"/>
                </w:tcBorders>
                <w:vAlign w:val="center"/>
              </w:tcPr>
              <w:p>
                <w:pPr>
                  <w:rPr>
                    <w:bCs/>
                  </w:rPr>
                </w:pPr>
                <w:r>
                  <w:rPr>
                    <w:bCs/>
                  </w:rPr>
                  <w:t>IŠ VISO</w:t>
                </w:r>
              </w:p>
            </w:tc>
            <w:tc>
              <w:tcPr>
                <w:tcW w:w="2596" w:type="dxa"/>
                <w:tcBorders>
                  <w:top w:val="single" w:sz="4" w:space="0" w:color="auto"/>
                </w:tcBorders>
                <w:vAlign w:val="bottom"/>
              </w:tcPr>
              <w:p>
                <w:pPr>
                  <w:jc w:val="center"/>
                </w:pPr>
                <w:r>
                  <w:t>1 251 974</w:t>
                </w:r>
              </w:p>
            </w:tc>
            <w:tc>
              <w:tcPr>
                <w:tcW w:w="1938" w:type="dxa"/>
                <w:tcBorders>
                  <w:top w:val="single" w:sz="4" w:space="0" w:color="auto"/>
                </w:tcBorders>
                <w:vAlign w:val="bottom"/>
              </w:tcPr>
              <w:p>
                <w:pPr>
                  <w:jc w:val="right"/>
                  <w:rPr>
                    <w:bCs/>
                  </w:rPr>
                </w:pPr>
                <w:r>
                  <w:rPr>
                    <w:bCs/>
                  </w:rPr>
                  <w:t>837 411</w:t>
                </w:r>
              </w:p>
            </w:tc>
          </w:tr>
        </w:tbl>
        <w:p/>
        <w:p/>
        <w:p>
          <w:pPr>
            <w:sectPr>
              <w:pgSz w:w="11906" w:h="16838" w:code="9"/>
              <w:pgMar w:top="1134" w:right="1134" w:bottom="1134" w:left="1701" w:header="567" w:footer="567" w:gutter="0"/>
              <w:pgNumType w:start="1"/>
              <w:cols w:space="1296"/>
              <w:titlePg/>
              <w:docGrid w:linePitch="360"/>
            </w:sectPr>
          </w:pPr>
        </w:p>
        <w:p>
          <w:pPr>
            <w:tabs>
              <w:tab w:val="center" w:pos="4153"/>
              <w:tab w:val="right" w:pos="8306"/>
            </w:tabs>
            <w:rPr>
              <w:rFonts w:ascii="TimesLT" w:hAnsi="TimesLT"/>
              <w:lang w:val="en-US"/>
            </w:rPr>
          </w:pPr>
        </w:p>
      </w:sdtContent>
    </w:sdt>
    <w:sdt>
      <w:sdtPr>
        <w:alias w:val="8 pr."/>
        <w:tag w:val="part_8c9d13ff804b453bb93e257578b19ca9"/>
        <w:lock w:val="sdtLocked"/>
        <w:richText/>
      </w:sdtPr>
      <w:sdtContent>
        <w:p>
          <w:pPr>
            <w:ind w:firstLine="5670"/>
          </w:pPr>
          <w:r>
            <w:t>Lietuvos Respublikos</w:t>
          </w:r>
        </w:p>
        <w:p>
          <w:pPr>
            <w:ind w:firstLine="5670"/>
          </w:pPr>
          <w:r>
            <w:t>2016 metų valstybės biudžeto ir</w:t>
          </w:r>
        </w:p>
        <w:p>
          <w:pPr>
            <w:ind w:firstLine="5670"/>
          </w:pPr>
          <w:r>
            <w:t>savivaldybių biudžetų finansinių</w:t>
          </w:r>
        </w:p>
        <w:p>
          <w:pPr>
            <w:ind w:firstLine="5670"/>
          </w:pPr>
          <w:r>
            <w:t>rodiklių patvirtinimo įstatymo</w:t>
          </w:r>
        </w:p>
        <w:p>
          <w:pPr>
            <w:ind w:firstLine="5670"/>
          </w:pPr>
          <w:sdt>
            <w:sdtPr>
              <w:alias w:val="Numeris"/>
              <w:tag w:val="nr_8c9d13ff804b453bb93e257578b19ca9"/>
              <w:lock w:val="sdtLocked"/>
              <w:richText/>
            </w:sdtPr>
            <w:sdtContent>
              <w:r>
                <w:t>8</w:t>
              </w:r>
            </w:sdtContent>
          </w:sdt>
          <w:r>
            <w:t xml:space="preserve"> priedas</w:t>
          </w:r>
        </w:p>
        <w:p/>
        <w:sdt>
          <w:sdtPr>
            <w:alias w:val="Pavadinimas"/>
            <w:tag w:val="title_8c9d13ff804b453bb93e257578b19ca9"/>
            <w:lock w:val="sdtLocked"/>
            <w:richText/>
          </w:sdtPr>
          <w:sdtContent>
            <w:p>
              <w:pPr>
                <w:jc w:val="center"/>
                <w:rPr>
                  <w:b/>
                </w:rPr>
              </w:pPr>
              <w:r>
                <w:rPr>
                  <w:b/>
                </w:rPr>
                <w:t>VALSTYBĖS INVESTICIJŲ 2016–2018 METŲ PROGRAMA</w:t>
              </w:r>
            </w:p>
            <w:p>
              <w:pPr>
                <w:jc w:val="center"/>
                <w:rPr>
                  <w:b/>
                </w:rPr>
              </w:pPr>
              <w:r>
                <w:rPr>
                  <w:b/>
                </w:rPr>
                <w:t>(PAGAL INVESTAVIMO SRITIS)</w:t>
              </w:r>
            </w:p>
          </w:sdtContent>
        </w:sdt>
        <w:p/>
        <w:p>
          <w:pPr>
            <w:spacing w:line="360" w:lineRule="auto"/>
            <w:ind w:firstLine="720"/>
            <w:jc w:val="both"/>
          </w:pPr>
        </w:p>
        <w:p>
          <w:pPr>
            <w:spacing w:line="360" w:lineRule="auto"/>
            <w:ind w:firstLine="720"/>
            <w:jc w:val="both"/>
          </w:pPr>
          <w:r>
            <w:t>Lietuvos Respublikos valstybės remiamų programų investicijų projektams įgyvendinti 2016–2018 metams planuojamos šios Lietuvos Respublikos valstybės biudžeto ir valstybės vardu pasiskolintos lėšos:</w:t>
          </w:r>
        </w:p>
        <w:p/>
        <w:tbl>
          <w:tblPr>
            <w:tblW w:w="9202" w:type="dxa"/>
            <w:jc w:val="center"/>
            <w:tblInd w:w="93" w:type="dxa"/>
            <w:tblLook w:val="04A0" w:firstRow="1" w:lastRow="0" w:firstColumn="1" w:lastColumn="0" w:noHBand="0" w:noVBand="1"/>
          </w:tblPr>
          <w:tblGrid>
            <w:gridCol w:w="2274"/>
            <w:gridCol w:w="1299"/>
            <w:gridCol w:w="1299"/>
            <w:gridCol w:w="1732"/>
            <w:gridCol w:w="1299"/>
            <w:gridCol w:w="1299"/>
          </w:tblGrid>
          <w:tr>
            <w:trPr>
              <w:trHeight w:val="304"/>
              <w:jc w:val="center"/>
            </w:trPr>
            <w:tc>
              <w:tcPr>
                <w:tcW w:w="2274" w:type="dxa"/>
                <w:tcBorders>
                  <w:bottom w:val="single" w:sz="4" w:space="0" w:color="auto"/>
                </w:tcBorders>
                <w:shd w:val="clear" w:color="auto" w:fill="auto"/>
                <w:vAlign w:val="center"/>
              </w:tcPr>
              <w:p>
                <w:pPr>
                  <w:jc w:val="center"/>
                </w:pPr>
              </w:p>
            </w:tc>
            <w:tc>
              <w:tcPr>
                <w:tcW w:w="1299" w:type="dxa"/>
                <w:tcBorders>
                  <w:bottom w:val="single" w:sz="4" w:space="0" w:color="auto"/>
                </w:tcBorders>
                <w:shd w:val="clear" w:color="auto" w:fill="auto"/>
                <w:vAlign w:val="center"/>
              </w:tcPr>
              <w:p>
                <w:pPr>
                  <w:jc w:val="center"/>
                </w:pPr>
              </w:p>
            </w:tc>
            <w:tc>
              <w:tcPr>
                <w:tcW w:w="3031" w:type="dxa"/>
                <w:gridSpan w:val="2"/>
                <w:tcBorders>
                  <w:bottom w:val="single" w:sz="4" w:space="0" w:color="auto"/>
                </w:tcBorders>
                <w:shd w:val="clear" w:color="auto" w:fill="auto"/>
                <w:vAlign w:val="center"/>
              </w:tcPr>
              <w:p>
                <w:pPr>
                  <w:jc w:val="center"/>
                </w:pPr>
              </w:p>
            </w:tc>
            <w:tc>
              <w:tcPr>
                <w:tcW w:w="1299" w:type="dxa"/>
                <w:tcBorders>
                  <w:bottom w:val="single" w:sz="4" w:space="0" w:color="auto"/>
                </w:tcBorders>
                <w:shd w:val="clear" w:color="auto" w:fill="auto"/>
                <w:vAlign w:val="center"/>
              </w:tcPr>
              <w:p>
                <w:pPr>
                  <w:jc w:val="center"/>
                </w:pPr>
              </w:p>
            </w:tc>
            <w:tc>
              <w:tcPr>
                <w:tcW w:w="1299" w:type="dxa"/>
                <w:tcBorders>
                  <w:bottom w:val="single" w:sz="4" w:space="0" w:color="auto"/>
                </w:tcBorders>
                <w:shd w:val="clear" w:color="auto" w:fill="auto"/>
                <w:vAlign w:val="center"/>
              </w:tcPr>
              <w:p>
                <w:pPr>
                  <w:jc w:val="center"/>
                </w:pPr>
                <w:r>
                  <w:t>Tūkst. Eur</w:t>
                </w:r>
              </w:p>
            </w:tc>
          </w:tr>
          <w:tr>
            <w:trPr>
              <w:trHeight w:val="304"/>
              <w:jc w:val="center"/>
            </w:trPr>
            <w:tc>
              <w:tcPr>
                <w:tcW w:w="2274" w:type="dxa"/>
                <w:vMerge w:val="restart"/>
                <w:tcBorders>
                  <w:top w:val="single" w:sz="4" w:space="0" w:color="auto"/>
                  <w:left w:val="single" w:sz="4" w:space="0" w:color="000000"/>
                  <w:bottom w:val="single" w:sz="4" w:space="0" w:color="000000"/>
                  <w:right w:val="single" w:sz="4" w:space="0" w:color="000000"/>
                </w:tcBorders>
                <w:shd w:val="clear" w:color="auto" w:fill="auto"/>
                <w:vAlign w:val="center"/>
                <w:hideMark/>
              </w:tcPr>
              <w:p>
                <w:pPr>
                  <w:jc w:val="center"/>
                </w:pPr>
                <w:r>
                  <w:t>Sritis</w:t>
                </w:r>
              </w:p>
            </w:tc>
            <w:tc>
              <w:tcPr>
                <w:tcW w:w="1299" w:type="dxa"/>
                <w:vMerge w:val="restart"/>
                <w:tcBorders>
                  <w:top w:val="single" w:sz="4" w:space="0" w:color="auto"/>
                  <w:left w:val="single" w:sz="4" w:space="0" w:color="000000"/>
                  <w:bottom w:val="single" w:sz="4" w:space="0" w:color="000000"/>
                  <w:right w:val="single" w:sz="4" w:space="0" w:color="000000"/>
                </w:tcBorders>
                <w:shd w:val="clear" w:color="auto" w:fill="auto"/>
                <w:vAlign w:val="center"/>
                <w:hideMark/>
              </w:tcPr>
              <w:p>
                <w:pPr>
                  <w:jc w:val="center"/>
                </w:pPr>
                <w:r>
                  <w:t>2016 metams,</w:t>
                </w:r>
              </w:p>
              <w:p>
                <w:pPr>
                  <w:jc w:val="center"/>
                </w:pPr>
                <w:r>
                  <w:t>iš viso</w:t>
                </w:r>
              </w:p>
            </w:tc>
            <w:tc>
              <w:tcPr>
                <w:tcW w:w="3031" w:type="dxa"/>
                <w:gridSpan w:val="2"/>
                <w:tcBorders>
                  <w:top w:val="single" w:sz="4" w:space="0" w:color="auto"/>
                  <w:left w:val="nil"/>
                  <w:bottom w:val="single" w:sz="4" w:space="0" w:color="auto"/>
                  <w:right w:val="single" w:sz="4" w:space="0" w:color="000000"/>
                </w:tcBorders>
                <w:shd w:val="clear" w:color="auto" w:fill="auto"/>
                <w:vAlign w:val="center"/>
                <w:hideMark/>
              </w:tcPr>
              <w:p>
                <w:pPr>
                  <w:jc w:val="center"/>
                </w:pPr>
                <w:r>
                  <w:t>iš jų</w:t>
                </w:r>
              </w:p>
            </w:tc>
            <w:tc>
              <w:tcPr>
                <w:tcW w:w="1299" w:type="dxa"/>
                <w:vMerge w:val="restart"/>
                <w:tcBorders>
                  <w:top w:val="single" w:sz="4" w:space="0" w:color="auto"/>
                  <w:left w:val="nil"/>
                  <w:bottom w:val="single" w:sz="4" w:space="0" w:color="000000"/>
                  <w:right w:val="single" w:sz="4" w:space="0" w:color="000000"/>
                </w:tcBorders>
                <w:shd w:val="clear" w:color="auto" w:fill="auto"/>
                <w:vAlign w:val="center"/>
                <w:hideMark/>
              </w:tcPr>
              <w:p>
                <w:pPr>
                  <w:jc w:val="center"/>
                </w:pPr>
                <w:r>
                  <w:t>2017</w:t>
                </w:r>
              </w:p>
              <w:p>
                <w:pPr>
                  <w:jc w:val="center"/>
                </w:pPr>
                <w:r>
                  <w:t>metams</w:t>
                </w:r>
              </w:p>
            </w:tc>
            <w:tc>
              <w:tcPr>
                <w:tcW w:w="1299" w:type="dxa"/>
                <w:vMerge w:val="restart"/>
                <w:tcBorders>
                  <w:top w:val="single" w:sz="4" w:space="0" w:color="auto"/>
                  <w:left w:val="single" w:sz="4" w:space="0" w:color="000000"/>
                  <w:bottom w:val="single" w:sz="4" w:space="0" w:color="000000"/>
                  <w:right w:val="single" w:sz="4" w:space="0" w:color="000000"/>
                </w:tcBorders>
                <w:shd w:val="clear" w:color="auto" w:fill="auto"/>
                <w:vAlign w:val="center"/>
                <w:hideMark/>
              </w:tcPr>
              <w:p>
                <w:pPr>
                  <w:jc w:val="center"/>
                </w:pPr>
                <w:r>
                  <w:t>2018</w:t>
                </w:r>
              </w:p>
              <w:p>
                <w:pPr>
                  <w:jc w:val="center"/>
                </w:pPr>
                <w:r>
                  <w:t>metams</w:t>
                </w:r>
              </w:p>
            </w:tc>
          </w:tr>
          <w:tr>
            <w:trPr>
              <w:trHeight w:val="300"/>
              <w:jc w:val="center"/>
            </w:trPr>
            <w:tc>
              <w:tcPr>
                <w:tcW w:w="2274" w:type="dxa"/>
                <w:vMerge/>
                <w:tcBorders>
                  <w:top w:val="single" w:sz="4" w:space="0" w:color="000000"/>
                  <w:left w:val="single" w:sz="4" w:space="0" w:color="000000"/>
                  <w:bottom w:val="single" w:sz="4" w:space="0" w:color="000000"/>
                  <w:right w:val="single" w:sz="4" w:space="0" w:color="000000"/>
                </w:tcBorders>
                <w:vAlign w:val="center"/>
                <w:hideMark/>
              </w:tcPr>
              <w:p/>
            </w:tc>
            <w:tc>
              <w:tcPr>
                <w:tcW w:w="1299" w:type="dxa"/>
                <w:vMerge/>
                <w:tcBorders>
                  <w:top w:val="single" w:sz="4" w:space="0" w:color="000000"/>
                  <w:left w:val="single" w:sz="4" w:space="0" w:color="000000"/>
                  <w:bottom w:val="single" w:sz="4" w:space="0" w:color="000000"/>
                  <w:right w:val="single" w:sz="4" w:space="0" w:color="000000"/>
                </w:tcBorders>
                <w:vAlign w:val="center"/>
                <w:hideMark/>
              </w:tcPr>
              <w:p/>
            </w:tc>
            <w:tc>
              <w:tcPr>
                <w:tcW w:w="1299" w:type="dxa"/>
                <w:vMerge w:val="restart"/>
                <w:tcBorders>
                  <w:top w:val="nil"/>
                  <w:left w:val="single" w:sz="4" w:space="0" w:color="000000"/>
                  <w:bottom w:val="single" w:sz="4" w:space="0" w:color="000000"/>
                  <w:right w:val="single" w:sz="4" w:space="0" w:color="000000"/>
                </w:tcBorders>
                <w:shd w:val="clear" w:color="auto" w:fill="auto"/>
                <w:vAlign w:val="center"/>
                <w:hideMark/>
              </w:tcPr>
              <w:p>
                <w:pPr>
                  <w:jc w:val="center"/>
                </w:pPr>
                <w:r>
                  <w:t>valstybės biudžetas</w:t>
                </w:r>
              </w:p>
            </w:tc>
            <w:tc>
              <w:tcPr>
                <w:tcW w:w="1732" w:type="dxa"/>
                <w:vMerge w:val="restart"/>
                <w:tcBorders>
                  <w:top w:val="nil"/>
                  <w:left w:val="single" w:sz="4" w:space="0" w:color="000000"/>
                  <w:bottom w:val="single" w:sz="4" w:space="0" w:color="000000"/>
                  <w:right w:val="single" w:sz="4" w:space="0" w:color="000000"/>
                </w:tcBorders>
                <w:shd w:val="clear" w:color="auto" w:fill="auto"/>
                <w:vAlign w:val="center"/>
                <w:hideMark/>
              </w:tcPr>
              <w:p>
                <w:pPr>
                  <w:jc w:val="center"/>
                </w:pPr>
                <w:r>
                  <w:t>valstybės vardu pasiskolintos lėšos</w:t>
                </w:r>
              </w:p>
            </w:tc>
            <w:tc>
              <w:tcPr>
                <w:tcW w:w="1299" w:type="dxa"/>
                <w:vMerge/>
                <w:tcBorders>
                  <w:top w:val="single" w:sz="4" w:space="0" w:color="000000"/>
                  <w:left w:val="nil"/>
                  <w:bottom w:val="single" w:sz="4" w:space="0" w:color="000000"/>
                  <w:right w:val="single" w:sz="4" w:space="0" w:color="000000"/>
                </w:tcBorders>
                <w:vAlign w:val="center"/>
                <w:hideMark/>
              </w:tcPr>
              <w:p/>
            </w:tc>
            <w:tc>
              <w:tcPr>
                <w:tcW w:w="1299" w:type="dxa"/>
                <w:vMerge/>
                <w:tcBorders>
                  <w:top w:val="single" w:sz="4" w:space="0" w:color="000000"/>
                  <w:left w:val="single" w:sz="4" w:space="0" w:color="000000"/>
                  <w:bottom w:val="single" w:sz="4" w:space="0" w:color="000000"/>
                  <w:right w:val="single" w:sz="4" w:space="0" w:color="000000"/>
                </w:tcBorders>
                <w:vAlign w:val="center"/>
                <w:hideMark/>
              </w:tcPr>
              <w:p/>
            </w:tc>
          </w:tr>
          <w:tr>
            <w:trPr>
              <w:trHeight w:val="990"/>
              <w:jc w:val="center"/>
            </w:trPr>
            <w:tc>
              <w:tcPr>
                <w:tcW w:w="2274" w:type="dxa"/>
                <w:vMerge/>
                <w:tcBorders>
                  <w:top w:val="single" w:sz="4" w:space="0" w:color="000000"/>
                  <w:left w:val="single" w:sz="4" w:space="0" w:color="000000"/>
                  <w:bottom w:val="single" w:sz="4" w:space="0" w:color="000000"/>
                  <w:right w:val="single" w:sz="4" w:space="0" w:color="000000"/>
                </w:tcBorders>
                <w:vAlign w:val="center"/>
                <w:hideMark/>
              </w:tcPr>
              <w:p/>
            </w:tc>
            <w:tc>
              <w:tcPr>
                <w:tcW w:w="1299" w:type="dxa"/>
                <w:vMerge/>
                <w:tcBorders>
                  <w:top w:val="single" w:sz="4" w:space="0" w:color="000000"/>
                  <w:left w:val="single" w:sz="4" w:space="0" w:color="000000"/>
                  <w:bottom w:val="single" w:sz="4" w:space="0" w:color="000000"/>
                  <w:right w:val="single" w:sz="4" w:space="0" w:color="000000"/>
                </w:tcBorders>
                <w:vAlign w:val="center"/>
                <w:hideMark/>
              </w:tcPr>
              <w:p/>
            </w:tc>
            <w:tc>
              <w:tcPr>
                <w:tcW w:w="1299" w:type="dxa"/>
                <w:vMerge/>
                <w:tcBorders>
                  <w:top w:val="nil"/>
                  <w:left w:val="single" w:sz="4" w:space="0" w:color="000000"/>
                  <w:bottom w:val="single" w:sz="4" w:space="0" w:color="000000"/>
                  <w:right w:val="single" w:sz="4" w:space="0" w:color="000000"/>
                </w:tcBorders>
                <w:vAlign w:val="center"/>
                <w:hideMark/>
              </w:tcPr>
              <w:p/>
            </w:tc>
            <w:tc>
              <w:tcPr>
                <w:tcW w:w="1732" w:type="dxa"/>
                <w:vMerge/>
                <w:tcBorders>
                  <w:top w:val="nil"/>
                  <w:left w:val="single" w:sz="4" w:space="0" w:color="000000"/>
                  <w:bottom w:val="single" w:sz="4" w:space="0" w:color="000000"/>
                  <w:right w:val="single" w:sz="4" w:space="0" w:color="000000"/>
                </w:tcBorders>
                <w:vAlign w:val="center"/>
                <w:hideMark/>
              </w:tcPr>
              <w:p/>
            </w:tc>
            <w:tc>
              <w:tcPr>
                <w:tcW w:w="1299" w:type="dxa"/>
                <w:vMerge/>
                <w:tcBorders>
                  <w:top w:val="single" w:sz="4" w:space="0" w:color="000000"/>
                  <w:left w:val="nil"/>
                  <w:bottom w:val="single" w:sz="4" w:space="0" w:color="000000"/>
                  <w:right w:val="single" w:sz="4" w:space="0" w:color="000000"/>
                </w:tcBorders>
                <w:vAlign w:val="center"/>
                <w:hideMark/>
              </w:tcPr>
              <w:p/>
            </w:tc>
            <w:tc>
              <w:tcPr>
                <w:tcW w:w="1299" w:type="dxa"/>
                <w:vMerge/>
                <w:tcBorders>
                  <w:top w:val="single" w:sz="4" w:space="0" w:color="000000"/>
                  <w:left w:val="single" w:sz="4" w:space="0" w:color="000000"/>
                  <w:bottom w:val="single" w:sz="4" w:space="0" w:color="000000"/>
                  <w:right w:val="single" w:sz="4" w:space="0" w:color="000000"/>
                </w:tcBorders>
                <w:vAlign w:val="center"/>
                <w:hideMark/>
              </w:tcPr>
              <w:p/>
            </w:tc>
          </w:tr>
          <w:tr>
            <w:trPr>
              <w:trHeight w:val="315"/>
              <w:jc w:val="center"/>
            </w:trPr>
            <w:tc>
              <w:tcPr>
                <w:tcW w:w="2274" w:type="dxa"/>
                <w:tcBorders>
                  <w:top w:val="nil"/>
                  <w:left w:val="nil"/>
                  <w:bottom w:val="nil"/>
                  <w:right w:val="nil"/>
                </w:tcBorders>
                <w:shd w:val="clear" w:color="auto" w:fill="auto"/>
                <w:vAlign w:val="bottom"/>
                <w:hideMark/>
              </w:tcPr>
              <w:p>
                <w:r>
                  <w:t>Valstybės valdymas</w:t>
                </w:r>
              </w:p>
            </w:tc>
            <w:tc>
              <w:tcPr>
                <w:tcW w:w="1299" w:type="dxa"/>
                <w:tcBorders>
                  <w:top w:val="nil"/>
                  <w:left w:val="nil"/>
                  <w:bottom w:val="nil"/>
                  <w:right w:val="nil"/>
                </w:tcBorders>
                <w:shd w:val="clear" w:color="auto" w:fill="auto"/>
                <w:vAlign w:val="bottom"/>
                <w:hideMark/>
              </w:tcPr>
              <w:p>
                <w:pPr>
                  <w:ind w:firstLine="60"/>
                  <w:jc w:val="right"/>
                </w:pPr>
                <w:r>
                  <w:t>19 287</w:t>
                </w:r>
              </w:p>
            </w:tc>
            <w:tc>
              <w:tcPr>
                <w:tcW w:w="1299" w:type="dxa"/>
                <w:tcBorders>
                  <w:top w:val="nil"/>
                  <w:left w:val="nil"/>
                  <w:bottom w:val="nil"/>
                  <w:right w:val="nil"/>
                </w:tcBorders>
                <w:shd w:val="clear" w:color="auto" w:fill="auto"/>
                <w:vAlign w:val="bottom"/>
                <w:hideMark/>
              </w:tcPr>
              <w:p>
                <w:pPr>
                  <w:ind w:firstLine="60"/>
                  <w:jc w:val="right"/>
                </w:pPr>
                <w:r>
                  <w:t>19 287</w:t>
                </w:r>
              </w:p>
            </w:tc>
            <w:tc>
              <w:tcPr>
                <w:tcW w:w="1732" w:type="dxa"/>
                <w:tcBorders>
                  <w:top w:val="nil"/>
                  <w:left w:val="nil"/>
                  <w:bottom w:val="nil"/>
                  <w:right w:val="nil"/>
                </w:tcBorders>
                <w:shd w:val="clear" w:color="auto" w:fill="auto"/>
                <w:vAlign w:val="bottom"/>
                <w:hideMark/>
              </w:tcPr>
              <w:p>
                <w:pPr>
                  <w:ind w:firstLine="120"/>
                  <w:jc w:val="right"/>
                </w:pPr>
              </w:p>
            </w:tc>
            <w:tc>
              <w:tcPr>
                <w:tcW w:w="1299" w:type="dxa"/>
                <w:tcBorders>
                  <w:top w:val="nil"/>
                  <w:left w:val="nil"/>
                  <w:bottom w:val="nil"/>
                  <w:right w:val="nil"/>
                </w:tcBorders>
                <w:shd w:val="clear" w:color="auto" w:fill="auto"/>
                <w:vAlign w:val="bottom"/>
                <w:hideMark/>
              </w:tcPr>
              <w:p>
                <w:pPr>
                  <w:ind w:firstLine="60"/>
                  <w:jc w:val="right"/>
                </w:pPr>
                <w:r>
                  <w:t>15 250</w:t>
                </w:r>
              </w:p>
            </w:tc>
            <w:tc>
              <w:tcPr>
                <w:tcW w:w="1299" w:type="dxa"/>
                <w:tcBorders>
                  <w:top w:val="nil"/>
                  <w:left w:val="nil"/>
                  <w:bottom w:val="nil"/>
                  <w:right w:val="nil"/>
                </w:tcBorders>
                <w:shd w:val="clear" w:color="auto" w:fill="auto"/>
                <w:vAlign w:val="bottom"/>
                <w:hideMark/>
              </w:tcPr>
              <w:p>
                <w:pPr>
                  <w:ind w:firstLine="60"/>
                  <w:jc w:val="right"/>
                </w:pPr>
                <w:r>
                  <w:t>15 155</w:t>
                </w:r>
              </w:p>
            </w:tc>
          </w:tr>
          <w:tr>
            <w:trPr>
              <w:trHeight w:val="315"/>
              <w:jc w:val="center"/>
            </w:trPr>
            <w:tc>
              <w:tcPr>
                <w:tcW w:w="2274" w:type="dxa"/>
                <w:tcBorders>
                  <w:top w:val="nil"/>
                  <w:left w:val="nil"/>
                  <w:bottom w:val="nil"/>
                  <w:right w:val="nil"/>
                </w:tcBorders>
                <w:shd w:val="clear" w:color="auto" w:fill="auto"/>
                <w:vAlign w:val="bottom"/>
                <w:hideMark/>
              </w:tcPr>
              <w:p>
                <w:r>
                  <w:t>Krašto apsauga</w:t>
                </w:r>
              </w:p>
            </w:tc>
            <w:tc>
              <w:tcPr>
                <w:tcW w:w="1299" w:type="dxa"/>
                <w:tcBorders>
                  <w:top w:val="nil"/>
                  <w:left w:val="nil"/>
                  <w:bottom w:val="nil"/>
                  <w:right w:val="nil"/>
                </w:tcBorders>
                <w:shd w:val="clear" w:color="auto" w:fill="auto"/>
                <w:vAlign w:val="bottom"/>
                <w:hideMark/>
              </w:tcPr>
              <w:p>
                <w:pPr>
                  <w:ind w:firstLine="60"/>
                  <w:jc w:val="right"/>
                </w:pPr>
                <w:r>
                  <w:t>87 158</w:t>
                </w:r>
              </w:p>
            </w:tc>
            <w:tc>
              <w:tcPr>
                <w:tcW w:w="1299" w:type="dxa"/>
                <w:tcBorders>
                  <w:top w:val="nil"/>
                  <w:left w:val="nil"/>
                  <w:bottom w:val="nil"/>
                  <w:right w:val="nil"/>
                </w:tcBorders>
                <w:shd w:val="clear" w:color="auto" w:fill="auto"/>
                <w:vAlign w:val="bottom"/>
                <w:hideMark/>
              </w:tcPr>
              <w:p>
                <w:pPr>
                  <w:ind w:firstLine="60"/>
                  <w:jc w:val="right"/>
                </w:pPr>
                <w:r>
                  <w:t>87 158</w:t>
                </w:r>
              </w:p>
            </w:tc>
            <w:tc>
              <w:tcPr>
                <w:tcW w:w="1732" w:type="dxa"/>
                <w:tcBorders>
                  <w:top w:val="nil"/>
                  <w:left w:val="nil"/>
                  <w:bottom w:val="nil"/>
                  <w:right w:val="nil"/>
                </w:tcBorders>
                <w:shd w:val="clear" w:color="auto" w:fill="auto"/>
                <w:vAlign w:val="bottom"/>
              </w:tcPr>
              <w:p>
                <w:pPr>
                  <w:ind w:firstLine="120"/>
                  <w:jc w:val="right"/>
                </w:pPr>
              </w:p>
            </w:tc>
            <w:tc>
              <w:tcPr>
                <w:tcW w:w="1299" w:type="dxa"/>
                <w:tcBorders>
                  <w:top w:val="nil"/>
                  <w:left w:val="nil"/>
                  <w:bottom w:val="nil"/>
                  <w:right w:val="nil"/>
                </w:tcBorders>
                <w:shd w:val="clear" w:color="auto" w:fill="auto"/>
                <w:vAlign w:val="bottom"/>
              </w:tcPr>
              <w:p>
                <w:pPr>
                  <w:ind w:firstLine="60"/>
                  <w:jc w:val="right"/>
                </w:pPr>
                <w:r>
                  <w:t>99 649</w:t>
                </w:r>
              </w:p>
            </w:tc>
            <w:tc>
              <w:tcPr>
                <w:tcW w:w="1299" w:type="dxa"/>
                <w:tcBorders>
                  <w:top w:val="nil"/>
                  <w:left w:val="nil"/>
                  <w:bottom w:val="nil"/>
                  <w:right w:val="nil"/>
                </w:tcBorders>
                <w:shd w:val="clear" w:color="auto" w:fill="auto"/>
                <w:vAlign w:val="bottom"/>
                <w:hideMark/>
              </w:tcPr>
              <w:p>
                <w:pPr>
                  <w:ind w:firstLine="60"/>
                  <w:jc w:val="right"/>
                </w:pPr>
                <w:r>
                  <w:t>107 173</w:t>
                </w:r>
              </w:p>
            </w:tc>
          </w:tr>
          <w:tr>
            <w:trPr>
              <w:trHeight w:val="315"/>
              <w:jc w:val="center"/>
            </w:trPr>
            <w:tc>
              <w:tcPr>
                <w:tcW w:w="2274" w:type="dxa"/>
                <w:tcBorders>
                  <w:top w:val="nil"/>
                  <w:left w:val="nil"/>
                  <w:bottom w:val="nil"/>
                  <w:right w:val="nil"/>
                </w:tcBorders>
                <w:shd w:val="clear" w:color="auto" w:fill="auto"/>
                <w:vAlign w:val="bottom"/>
                <w:hideMark/>
              </w:tcPr>
              <w:p>
                <w:r>
                  <w:t>Viešoji tvarka</w:t>
                </w:r>
              </w:p>
            </w:tc>
            <w:tc>
              <w:tcPr>
                <w:tcW w:w="1299" w:type="dxa"/>
                <w:tcBorders>
                  <w:top w:val="nil"/>
                  <w:left w:val="nil"/>
                  <w:bottom w:val="nil"/>
                  <w:right w:val="nil"/>
                </w:tcBorders>
                <w:shd w:val="clear" w:color="auto" w:fill="auto"/>
                <w:vAlign w:val="bottom"/>
                <w:hideMark/>
              </w:tcPr>
              <w:p>
                <w:pPr>
                  <w:ind w:firstLine="60"/>
                  <w:jc w:val="right"/>
                </w:pPr>
                <w:r>
                  <w:t>15 667</w:t>
                </w:r>
              </w:p>
            </w:tc>
            <w:tc>
              <w:tcPr>
                <w:tcW w:w="1299" w:type="dxa"/>
                <w:tcBorders>
                  <w:top w:val="nil"/>
                  <w:left w:val="nil"/>
                  <w:bottom w:val="nil"/>
                  <w:right w:val="nil"/>
                </w:tcBorders>
                <w:shd w:val="clear" w:color="auto" w:fill="auto"/>
                <w:vAlign w:val="bottom"/>
                <w:hideMark/>
              </w:tcPr>
              <w:p>
                <w:pPr>
                  <w:ind w:firstLine="60"/>
                  <w:jc w:val="right"/>
                </w:pPr>
                <w:r>
                  <w:t>15 667</w:t>
                </w:r>
              </w:p>
            </w:tc>
            <w:tc>
              <w:tcPr>
                <w:tcW w:w="1732" w:type="dxa"/>
                <w:tcBorders>
                  <w:top w:val="nil"/>
                  <w:left w:val="nil"/>
                  <w:bottom w:val="nil"/>
                  <w:right w:val="nil"/>
                </w:tcBorders>
                <w:shd w:val="clear" w:color="auto" w:fill="auto"/>
                <w:noWrap/>
                <w:vAlign w:val="bottom"/>
                <w:hideMark/>
              </w:tcPr>
              <w:p>
                <w:pPr>
                  <w:jc w:val="right"/>
                </w:pPr>
              </w:p>
            </w:tc>
            <w:tc>
              <w:tcPr>
                <w:tcW w:w="1299" w:type="dxa"/>
                <w:tcBorders>
                  <w:top w:val="nil"/>
                  <w:left w:val="nil"/>
                  <w:bottom w:val="nil"/>
                  <w:right w:val="nil"/>
                </w:tcBorders>
                <w:shd w:val="clear" w:color="auto" w:fill="auto"/>
                <w:vAlign w:val="bottom"/>
                <w:hideMark/>
              </w:tcPr>
              <w:p>
                <w:pPr>
                  <w:ind w:firstLine="60"/>
                  <w:jc w:val="right"/>
                </w:pPr>
                <w:r>
                  <w:t>8 308</w:t>
                </w:r>
              </w:p>
            </w:tc>
            <w:tc>
              <w:tcPr>
                <w:tcW w:w="1299" w:type="dxa"/>
                <w:tcBorders>
                  <w:top w:val="nil"/>
                  <w:left w:val="nil"/>
                  <w:bottom w:val="nil"/>
                  <w:right w:val="nil"/>
                </w:tcBorders>
                <w:shd w:val="clear" w:color="auto" w:fill="auto"/>
                <w:vAlign w:val="bottom"/>
                <w:hideMark/>
              </w:tcPr>
              <w:p>
                <w:pPr>
                  <w:ind w:firstLine="60"/>
                  <w:jc w:val="right"/>
                </w:pPr>
                <w:r>
                  <w:t>7 833</w:t>
                </w:r>
              </w:p>
            </w:tc>
          </w:tr>
          <w:tr>
            <w:trPr>
              <w:trHeight w:val="315"/>
              <w:jc w:val="center"/>
            </w:trPr>
            <w:tc>
              <w:tcPr>
                <w:tcW w:w="2274" w:type="dxa"/>
                <w:tcBorders>
                  <w:top w:val="nil"/>
                  <w:left w:val="nil"/>
                  <w:bottom w:val="nil"/>
                  <w:right w:val="nil"/>
                </w:tcBorders>
                <w:shd w:val="clear" w:color="auto" w:fill="auto"/>
                <w:vAlign w:val="bottom"/>
                <w:hideMark/>
              </w:tcPr>
              <w:p>
                <w:r>
                  <w:t>Švietimas</w:t>
                </w:r>
              </w:p>
            </w:tc>
            <w:tc>
              <w:tcPr>
                <w:tcW w:w="1299" w:type="dxa"/>
                <w:tcBorders>
                  <w:top w:val="nil"/>
                  <w:left w:val="nil"/>
                  <w:bottom w:val="nil"/>
                  <w:right w:val="nil"/>
                </w:tcBorders>
                <w:shd w:val="clear" w:color="auto" w:fill="auto"/>
                <w:vAlign w:val="bottom"/>
                <w:hideMark/>
              </w:tcPr>
              <w:p>
                <w:pPr>
                  <w:ind w:firstLine="60"/>
                  <w:jc w:val="right"/>
                </w:pPr>
                <w:r>
                  <w:t>84 422</w:t>
                </w:r>
              </w:p>
            </w:tc>
            <w:tc>
              <w:tcPr>
                <w:tcW w:w="1299" w:type="dxa"/>
                <w:tcBorders>
                  <w:top w:val="nil"/>
                  <w:left w:val="nil"/>
                  <w:bottom w:val="nil"/>
                  <w:right w:val="nil"/>
                </w:tcBorders>
                <w:shd w:val="clear" w:color="auto" w:fill="auto"/>
                <w:vAlign w:val="bottom"/>
                <w:hideMark/>
              </w:tcPr>
              <w:p>
                <w:pPr>
                  <w:ind w:firstLine="60"/>
                  <w:jc w:val="right"/>
                </w:pPr>
                <w:r>
                  <w:t>81 422</w:t>
                </w:r>
              </w:p>
            </w:tc>
            <w:tc>
              <w:tcPr>
                <w:tcW w:w="1732" w:type="dxa"/>
                <w:tcBorders>
                  <w:top w:val="nil"/>
                  <w:left w:val="nil"/>
                  <w:bottom w:val="nil"/>
                  <w:right w:val="nil"/>
                </w:tcBorders>
                <w:shd w:val="clear" w:color="auto" w:fill="auto"/>
                <w:vAlign w:val="bottom"/>
                <w:hideMark/>
              </w:tcPr>
              <w:p>
                <w:pPr>
                  <w:ind w:firstLine="60"/>
                  <w:jc w:val="right"/>
                </w:pPr>
                <w:r>
                  <w:t>3 000</w:t>
                </w:r>
              </w:p>
            </w:tc>
            <w:tc>
              <w:tcPr>
                <w:tcW w:w="1299" w:type="dxa"/>
                <w:tcBorders>
                  <w:top w:val="nil"/>
                  <w:left w:val="nil"/>
                  <w:bottom w:val="nil"/>
                  <w:right w:val="nil"/>
                </w:tcBorders>
                <w:shd w:val="clear" w:color="auto" w:fill="auto"/>
                <w:vAlign w:val="bottom"/>
                <w:hideMark/>
              </w:tcPr>
              <w:p>
                <w:pPr>
                  <w:ind w:firstLine="60"/>
                  <w:jc w:val="right"/>
                </w:pPr>
                <w:r>
                  <w:t>107 441</w:t>
                </w:r>
              </w:p>
            </w:tc>
            <w:tc>
              <w:tcPr>
                <w:tcW w:w="1299" w:type="dxa"/>
                <w:tcBorders>
                  <w:top w:val="nil"/>
                  <w:left w:val="nil"/>
                  <w:bottom w:val="nil"/>
                  <w:right w:val="nil"/>
                </w:tcBorders>
                <w:shd w:val="clear" w:color="auto" w:fill="auto"/>
                <w:vAlign w:val="bottom"/>
                <w:hideMark/>
              </w:tcPr>
              <w:p>
                <w:pPr>
                  <w:ind w:firstLine="60"/>
                  <w:jc w:val="right"/>
                </w:pPr>
                <w:r>
                  <w:t>184 651</w:t>
                </w:r>
              </w:p>
            </w:tc>
          </w:tr>
          <w:tr>
            <w:trPr>
              <w:trHeight w:val="315"/>
              <w:jc w:val="center"/>
            </w:trPr>
            <w:tc>
              <w:tcPr>
                <w:tcW w:w="2274" w:type="dxa"/>
                <w:tcBorders>
                  <w:top w:val="nil"/>
                  <w:left w:val="nil"/>
                  <w:bottom w:val="nil"/>
                  <w:right w:val="nil"/>
                </w:tcBorders>
                <w:shd w:val="clear" w:color="auto" w:fill="auto"/>
                <w:vAlign w:val="bottom"/>
                <w:hideMark/>
              </w:tcPr>
              <w:p>
                <w:r>
                  <w:t>Sveikatos apsauga</w:t>
                </w:r>
              </w:p>
            </w:tc>
            <w:tc>
              <w:tcPr>
                <w:tcW w:w="1299" w:type="dxa"/>
                <w:tcBorders>
                  <w:top w:val="nil"/>
                  <w:left w:val="nil"/>
                  <w:bottom w:val="nil"/>
                  <w:right w:val="nil"/>
                </w:tcBorders>
                <w:shd w:val="clear" w:color="auto" w:fill="auto"/>
                <w:vAlign w:val="bottom"/>
                <w:hideMark/>
              </w:tcPr>
              <w:p>
                <w:pPr>
                  <w:ind w:firstLine="60"/>
                  <w:jc w:val="right"/>
                </w:pPr>
                <w:r>
                  <w:t>63 440</w:t>
                </w:r>
              </w:p>
            </w:tc>
            <w:tc>
              <w:tcPr>
                <w:tcW w:w="1299" w:type="dxa"/>
                <w:tcBorders>
                  <w:top w:val="nil"/>
                  <w:left w:val="nil"/>
                  <w:bottom w:val="nil"/>
                  <w:right w:val="nil"/>
                </w:tcBorders>
                <w:shd w:val="clear" w:color="auto" w:fill="auto"/>
                <w:vAlign w:val="bottom"/>
                <w:hideMark/>
              </w:tcPr>
              <w:p>
                <w:pPr>
                  <w:ind w:firstLine="60"/>
                  <w:jc w:val="right"/>
                </w:pPr>
                <w:r>
                  <w:t>63 440</w:t>
                </w:r>
              </w:p>
            </w:tc>
            <w:tc>
              <w:tcPr>
                <w:tcW w:w="1732" w:type="dxa"/>
                <w:tcBorders>
                  <w:top w:val="nil"/>
                  <w:left w:val="nil"/>
                  <w:bottom w:val="nil"/>
                  <w:right w:val="nil"/>
                </w:tcBorders>
                <w:shd w:val="clear" w:color="auto" w:fill="auto"/>
                <w:vAlign w:val="bottom"/>
                <w:hideMark/>
              </w:tcPr>
              <w:p>
                <w:pPr>
                  <w:ind w:firstLine="120"/>
                  <w:jc w:val="right"/>
                </w:pPr>
              </w:p>
            </w:tc>
            <w:tc>
              <w:tcPr>
                <w:tcW w:w="1299" w:type="dxa"/>
                <w:tcBorders>
                  <w:top w:val="nil"/>
                  <w:left w:val="nil"/>
                  <w:bottom w:val="nil"/>
                  <w:right w:val="nil"/>
                </w:tcBorders>
                <w:shd w:val="clear" w:color="auto" w:fill="auto"/>
                <w:vAlign w:val="bottom"/>
                <w:hideMark/>
              </w:tcPr>
              <w:p>
                <w:pPr>
                  <w:ind w:firstLine="60"/>
                  <w:jc w:val="right"/>
                </w:pPr>
                <w:r>
                  <w:t>41 040</w:t>
                </w:r>
              </w:p>
            </w:tc>
            <w:tc>
              <w:tcPr>
                <w:tcW w:w="1299" w:type="dxa"/>
                <w:tcBorders>
                  <w:top w:val="nil"/>
                  <w:left w:val="nil"/>
                  <w:bottom w:val="nil"/>
                  <w:right w:val="nil"/>
                </w:tcBorders>
                <w:shd w:val="clear" w:color="auto" w:fill="auto"/>
                <w:vAlign w:val="bottom"/>
                <w:hideMark/>
              </w:tcPr>
              <w:p>
                <w:pPr>
                  <w:ind w:firstLine="60"/>
                  <w:jc w:val="right"/>
                </w:pPr>
                <w:r>
                  <w:t>60 234</w:t>
                </w:r>
              </w:p>
            </w:tc>
          </w:tr>
          <w:tr>
            <w:trPr>
              <w:trHeight w:val="315"/>
              <w:jc w:val="center"/>
            </w:trPr>
            <w:tc>
              <w:tcPr>
                <w:tcW w:w="2274" w:type="dxa"/>
                <w:tcBorders>
                  <w:top w:val="nil"/>
                  <w:left w:val="nil"/>
                  <w:bottom w:val="nil"/>
                  <w:right w:val="nil"/>
                </w:tcBorders>
                <w:shd w:val="clear" w:color="auto" w:fill="auto"/>
                <w:vAlign w:val="bottom"/>
                <w:hideMark/>
              </w:tcPr>
              <w:p>
                <w:r>
                  <w:t>Socialinė apsauga</w:t>
                </w:r>
              </w:p>
            </w:tc>
            <w:tc>
              <w:tcPr>
                <w:tcW w:w="1299" w:type="dxa"/>
                <w:tcBorders>
                  <w:top w:val="nil"/>
                  <w:left w:val="nil"/>
                  <w:bottom w:val="nil"/>
                  <w:right w:val="nil"/>
                </w:tcBorders>
                <w:shd w:val="clear" w:color="auto" w:fill="auto"/>
                <w:vAlign w:val="bottom"/>
                <w:hideMark/>
              </w:tcPr>
              <w:p>
                <w:pPr>
                  <w:ind w:firstLine="60"/>
                  <w:jc w:val="right"/>
                </w:pPr>
                <w:r>
                  <w:t>10 889</w:t>
                </w:r>
              </w:p>
            </w:tc>
            <w:tc>
              <w:tcPr>
                <w:tcW w:w="1299" w:type="dxa"/>
                <w:tcBorders>
                  <w:top w:val="nil"/>
                  <w:left w:val="nil"/>
                  <w:bottom w:val="nil"/>
                  <w:right w:val="nil"/>
                </w:tcBorders>
                <w:shd w:val="clear" w:color="auto" w:fill="auto"/>
                <w:vAlign w:val="bottom"/>
                <w:hideMark/>
              </w:tcPr>
              <w:p>
                <w:pPr>
                  <w:ind w:firstLine="60"/>
                  <w:jc w:val="right"/>
                </w:pPr>
                <w:r>
                  <w:t>10 889</w:t>
                </w:r>
              </w:p>
            </w:tc>
            <w:tc>
              <w:tcPr>
                <w:tcW w:w="1732" w:type="dxa"/>
                <w:tcBorders>
                  <w:top w:val="nil"/>
                  <w:left w:val="nil"/>
                  <w:bottom w:val="nil"/>
                  <w:right w:val="nil"/>
                </w:tcBorders>
                <w:shd w:val="clear" w:color="auto" w:fill="auto"/>
                <w:vAlign w:val="bottom"/>
                <w:hideMark/>
              </w:tcPr>
              <w:p>
                <w:pPr>
                  <w:ind w:firstLine="120"/>
                  <w:jc w:val="right"/>
                </w:pPr>
              </w:p>
            </w:tc>
            <w:tc>
              <w:tcPr>
                <w:tcW w:w="1299" w:type="dxa"/>
                <w:tcBorders>
                  <w:top w:val="nil"/>
                  <w:left w:val="nil"/>
                  <w:bottom w:val="nil"/>
                  <w:right w:val="nil"/>
                </w:tcBorders>
                <w:shd w:val="clear" w:color="auto" w:fill="auto"/>
                <w:vAlign w:val="bottom"/>
                <w:hideMark/>
              </w:tcPr>
              <w:p>
                <w:pPr>
                  <w:ind w:firstLine="60"/>
                  <w:jc w:val="right"/>
                </w:pPr>
                <w:r>
                  <w:t>21 352</w:t>
                </w:r>
              </w:p>
            </w:tc>
            <w:tc>
              <w:tcPr>
                <w:tcW w:w="1299" w:type="dxa"/>
                <w:tcBorders>
                  <w:top w:val="nil"/>
                  <w:left w:val="nil"/>
                  <w:bottom w:val="nil"/>
                  <w:right w:val="nil"/>
                </w:tcBorders>
                <w:shd w:val="clear" w:color="auto" w:fill="auto"/>
                <w:vAlign w:val="bottom"/>
                <w:hideMark/>
              </w:tcPr>
              <w:p>
                <w:pPr>
                  <w:ind w:firstLine="60"/>
                  <w:jc w:val="right"/>
                </w:pPr>
                <w:r>
                  <w:t>27 296</w:t>
                </w:r>
              </w:p>
            </w:tc>
          </w:tr>
          <w:tr>
            <w:trPr>
              <w:trHeight w:val="315"/>
              <w:jc w:val="center"/>
            </w:trPr>
            <w:tc>
              <w:tcPr>
                <w:tcW w:w="2274" w:type="dxa"/>
                <w:tcBorders>
                  <w:top w:val="nil"/>
                  <w:left w:val="nil"/>
                  <w:bottom w:val="nil"/>
                  <w:right w:val="nil"/>
                </w:tcBorders>
                <w:shd w:val="clear" w:color="auto" w:fill="auto"/>
                <w:vAlign w:val="bottom"/>
                <w:hideMark/>
              </w:tcPr>
              <w:p>
                <w:r>
                  <w:t>Aplinkos apsauga</w:t>
                </w:r>
              </w:p>
            </w:tc>
            <w:tc>
              <w:tcPr>
                <w:tcW w:w="1299" w:type="dxa"/>
                <w:tcBorders>
                  <w:top w:val="nil"/>
                  <w:left w:val="nil"/>
                  <w:bottom w:val="nil"/>
                  <w:right w:val="nil"/>
                </w:tcBorders>
                <w:shd w:val="clear" w:color="auto" w:fill="auto"/>
                <w:vAlign w:val="bottom"/>
                <w:hideMark/>
              </w:tcPr>
              <w:p>
                <w:pPr>
                  <w:ind w:firstLine="60"/>
                  <w:jc w:val="right"/>
                </w:pPr>
                <w:r>
                  <w:t>64 900</w:t>
                </w:r>
              </w:p>
            </w:tc>
            <w:tc>
              <w:tcPr>
                <w:tcW w:w="1299" w:type="dxa"/>
                <w:tcBorders>
                  <w:top w:val="nil"/>
                  <w:left w:val="nil"/>
                  <w:bottom w:val="nil"/>
                  <w:right w:val="nil"/>
                </w:tcBorders>
                <w:shd w:val="clear" w:color="auto" w:fill="auto"/>
                <w:vAlign w:val="bottom"/>
                <w:hideMark/>
              </w:tcPr>
              <w:p>
                <w:pPr>
                  <w:ind w:firstLine="60"/>
                  <w:jc w:val="right"/>
                </w:pPr>
                <w:r>
                  <w:t>64 900</w:t>
                </w:r>
              </w:p>
            </w:tc>
            <w:tc>
              <w:tcPr>
                <w:tcW w:w="1732" w:type="dxa"/>
                <w:tcBorders>
                  <w:top w:val="nil"/>
                  <w:left w:val="nil"/>
                  <w:bottom w:val="nil"/>
                  <w:right w:val="nil"/>
                </w:tcBorders>
                <w:shd w:val="clear" w:color="auto" w:fill="auto"/>
                <w:vAlign w:val="bottom"/>
                <w:hideMark/>
              </w:tcPr>
              <w:p>
                <w:pPr>
                  <w:ind w:firstLine="120"/>
                  <w:jc w:val="right"/>
                </w:pPr>
              </w:p>
            </w:tc>
            <w:tc>
              <w:tcPr>
                <w:tcW w:w="1299" w:type="dxa"/>
                <w:tcBorders>
                  <w:top w:val="nil"/>
                  <w:left w:val="nil"/>
                  <w:bottom w:val="nil"/>
                  <w:right w:val="nil"/>
                </w:tcBorders>
                <w:shd w:val="clear" w:color="auto" w:fill="auto"/>
                <w:vAlign w:val="bottom"/>
                <w:hideMark/>
              </w:tcPr>
              <w:p>
                <w:pPr>
                  <w:ind w:firstLine="60"/>
                  <w:jc w:val="right"/>
                </w:pPr>
                <w:r>
                  <w:t>189 079</w:t>
                </w:r>
              </w:p>
            </w:tc>
            <w:tc>
              <w:tcPr>
                <w:tcW w:w="1299" w:type="dxa"/>
                <w:tcBorders>
                  <w:top w:val="nil"/>
                  <w:left w:val="nil"/>
                  <w:bottom w:val="nil"/>
                  <w:right w:val="nil"/>
                </w:tcBorders>
                <w:shd w:val="clear" w:color="auto" w:fill="auto"/>
                <w:vAlign w:val="bottom"/>
                <w:hideMark/>
              </w:tcPr>
              <w:p>
                <w:pPr>
                  <w:ind w:firstLine="60"/>
                  <w:jc w:val="right"/>
                </w:pPr>
                <w:r>
                  <w:t>219 307</w:t>
                </w:r>
              </w:p>
            </w:tc>
          </w:tr>
          <w:tr>
            <w:trPr>
              <w:trHeight w:val="315"/>
              <w:jc w:val="center"/>
            </w:trPr>
            <w:tc>
              <w:tcPr>
                <w:tcW w:w="2274" w:type="dxa"/>
                <w:tcBorders>
                  <w:top w:val="nil"/>
                  <w:left w:val="nil"/>
                  <w:bottom w:val="nil"/>
                  <w:right w:val="nil"/>
                </w:tcBorders>
                <w:shd w:val="clear" w:color="auto" w:fill="auto"/>
                <w:vAlign w:val="bottom"/>
                <w:hideMark/>
              </w:tcPr>
              <w:p>
                <w:r>
                  <w:t>Kultūra</w:t>
                </w:r>
              </w:p>
            </w:tc>
            <w:tc>
              <w:tcPr>
                <w:tcW w:w="1299" w:type="dxa"/>
                <w:tcBorders>
                  <w:top w:val="nil"/>
                  <w:left w:val="nil"/>
                  <w:bottom w:val="nil"/>
                  <w:right w:val="nil"/>
                </w:tcBorders>
                <w:shd w:val="clear" w:color="auto" w:fill="auto"/>
                <w:vAlign w:val="bottom"/>
                <w:hideMark/>
              </w:tcPr>
              <w:p>
                <w:pPr>
                  <w:ind w:firstLine="60"/>
                  <w:jc w:val="right"/>
                </w:pPr>
                <w:r>
                  <w:t>60 401</w:t>
                </w:r>
              </w:p>
            </w:tc>
            <w:tc>
              <w:tcPr>
                <w:tcW w:w="1299" w:type="dxa"/>
                <w:tcBorders>
                  <w:top w:val="nil"/>
                  <w:left w:val="nil"/>
                  <w:bottom w:val="nil"/>
                  <w:right w:val="nil"/>
                </w:tcBorders>
                <w:shd w:val="clear" w:color="auto" w:fill="auto"/>
                <w:vAlign w:val="bottom"/>
                <w:hideMark/>
              </w:tcPr>
              <w:p>
                <w:pPr>
                  <w:ind w:firstLine="60"/>
                  <w:jc w:val="right"/>
                </w:pPr>
                <w:r>
                  <w:t>60 401</w:t>
                </w:r>
              </w:p>
            </w:tc>
            <w:tc>
              <w:tcPr>
                <w:tcW w:w="1732" w:type="dxa"/>
                <w:tcBorders>
                  <w:top w:val="nil"/>
                  <w:left w:val="nil"/>
                  <w:bottom w:val="nil"/>
                  <w:right w:val="nil"/>
                </w:tcBorders>
                <w:shd w:val="clear" w:color="auto" w:fill="auto"/>
                <w:vAlign w:val="bottom"/>
                <w:hideMark/>
              </w:tcPr>
              <w:p>
                <w:pPr>
                  <w:ind w:firstLine="120"/>
                  <w:jc w:val="right"/>
                </w:pPr>
              </w:p>
            </w:tc>
            <w:tc>
              <w:tcPr>
                <w:tcW w:w="1299" w:type="dxa"/>
                <w:tcBorders>
                  <w:top w:val="nil"/>
                  <w:left w:val="nil"/>
                  <w:bottom w:val="nil"/>
                  <w:right w:val="nil"/>
                </w:tcBorders>
                <w:shd w:val="clear" w:color="auto" w:fill="auto"/>
                <w:vAlign w:val="bottom"/>
                <w:hideMark/>
              </w:tcPr>
              <w:p>
                <w:pPr>
                  <w:ind w:firstLine="60"/>
                  <w:jc w:val="right"/>
                </w:pPr>
                <w:r>
                  <w:t>68 974</w:t>
                </w:r>
              </w:p>
            </w:tc>
            <w:tc>
              <w:tcPr>
                <w:tcW w:w="1299" w:type="dxa"/>
                <w:tcBorders>
                  <w:top w:val="nil"/>
                  <w:left w:val="nil"/>
                  <w:bottom w:val="nil"/>
                  <w:right w:val="nil"/>
                </w:tcBorders>
                <w:shd w:val="clear" w:color="auto" w:fill="auto"/>
                <w:vAlign w:val="bottom"/>
                <w:hideMark/>
              </w:tcPr>
              <w:p>
                <w:pPr>
                  <w:ind w:firstLine="60"/>
                  <w:jc w:val="right"/>
                </w:pPr>
                <w:r>
                  <w:t>88 052</w:t>
                </w:r>
              </w:p>
            </w:tc>
          </w:tr>
          <w:tr>
            <w:trPr>
              <w:trHeight w:val="315"/>
              <w:jc w:val="center"/>
            </w:trPr>
            <w:tc>
              <w:tcPr>
                <w:tcW w:w="2274" w:type="dxa"/>
                <w:tcBorders>
                  <w:top w:val="nil"/>
                  <w:left w:val="nil"/>
                  <w:bottom w:val="nil"/>
                  <w:right w:val="nil"/>
                </w:tcBorders>
                <w:shd w:val="clear" w:color="auto" w:fill="auto"/>
                <w:vAlign w:val="bottom"/>
                <w:hideMark/>
              </w:tcPr>
              <w:p>
                <w:r>
                  <w:t>Žemės ūkis</w:t>
                </w:r>
              </w:p>
            </w:tc>
            <w:tc>
              <w:tcPr>
                <w:tcW w:w="1299" w:type="dxa"/>
                <w:tcBorders>
                  <w:top w:val="nil"/>
                  <w:left w:val="nil"/>
                  <w:bottom w:val="nil"/>
                  <w:right w:val="nil"/>
                </w:tcBorders>
                <w:shd w:val="clear" w:color="auto" w:fill="auto"/>
                <w:vAlign w:val="bottom"/>
                <w:hideMark/>
              </w:tcPr>
              <w:p>
                <w:pPr>
                  <w:ind w:firstLine="60"/>
                  <w:jc w:val="right"/>
                </w:pPr>
                <w:r>
                  <w:t>32 813</w:t>
                </w:r>
              </w:p>
            </w:tc>
            <w:tc>
              <w:tcPr>
                <w:tcW w:w="1299" w:type="dxa"/>
                <w:tcBorders>
                  <w:top w:val="nil"/>
                  <w:left w:val="nil"/>
                  <w:bottom w:val="nil"/>
                  <w:right w:val="nil"/>
                </w:tcBorders>
                <w:shd w:val="clear" w:color="auto" w:fill="auto"/>
                <w:vAlign w:val="bottom"/>
                <w:hideMark/>
              </w:tcPr>
              <w:p>
                <w:pPr>
                  <w:ind w:firstLine="60"/>
                  <w:jc w:val="right"/>
                </w:pPr>
                <w:r>
                  <w:t>32 813</w:t>
                </w:r>
              </w:p>
            </w:tc>
            <w:tc>
              <w:tcPr>
                <w:tcW w:w="1732" w:type="dxa"/>
                <w:tcBorders>
                  <w:top w:val="nil"/>
                  <w:left w:val="nil"/>
                  <w:bottom w:val="nil"/>
                  <w:right w:val="nil"/>
                </w:tcBorders>
                <w:shd w:val="clear" w:color="auto" w:fill="auto"/>
                <w:vAlign w:val="bottom"/>
                <w:hideMark/>
              </w:tcPr>
              <w:p>
                <w:pPr>
                  <w:ind w:firstLine="120"/>
                  <w:jc w:val="right"/>
                </w:pPr>
              </w:p>
            </w:tc>
            <w:tc>
              <w:tcPr>
                <w:tcW w:w="1299" w:type="dxa"/>
                <w:tcBorders>
                  <w:top w:val="nil"/>
                  <w:left w:val="nil"/>
                  <w:bottom w:val="nil"/>
                  <w:right w:val="nil"/>
                </w:tcBorders>
                <w:shd w:val="clear" w:color="auto" w:fill="auto"/>
                <w:vAlign w:val="bottom"/>
                <w:hideMark/>
              </w:tcPr>
              <w:p>
                <w:pPr>
                  <w:ind w:firstLine="60"/>
                  <w:jc w:val="right"/>
                </w:pPr>
                <w:r>
                  <w:t>27 146</w:t>
                </w:r>
              </w:p>
            </w:tc>
            <w:tc>
              <w:tcPr>
                <w:tcW w:w="1299" w:type="dxa"/>
                <w:tcBorders>
                  <w:top w:val="nil"/>
                  <w:left w:val="nil"/>
                  <w:bottom w:val="nil"/>
                  <w:right w:val="nil"/>
                </w:tcBorders>
                <w:shd w:val="clear" w:color="auto" w:fill="auto"/>
                <w:vAlign w:val="bottom"/>
                <w:hideMark/>
              </w:tcPr>
              <w:p>
                <w:pPr>
                  <w:ind w:firstLine="60"/>
                  <w:jc w:val="right"/>
                </w:pPr>
                <w:r>
                  <w:t>30 354</w:t>
                </w:r>
              </w:p>
            </w:tc>
          </w:tr>
          <w:tr>
            <w:trPr>
              <w:trHeight w:val="315"/>
              <w:jc w:val="center"/>
            </w:trPr>
            <w:tc>
              <w:tcPr>
                <w:tcW w:w="2274" w:type="dxa"/>
                <w:tcBorders>
                  <w:top w:val="nil"/>
                  <w:left w:val="nil"/>
                  <w:bottom w:val="nil"/>
                  <w:right w:val="nil"/>
                </w:tcBorders>
                <w:shd w:val="clear" w:color="auto" w:fill="auto"/>
                <w:vAlign w:val="bottom"/>
                <w:hideMark/>
              </w:tcPr>
              <w:p>
                <w:r>
                  <w:t>Visuomenės apsauga</w:t>
                </w:r>
              </w:p>
            </w:tc>
            <w:tc>
              <w:tcPr>
                <w:tcW w:w="1299" w:type="dxa"/>
                <w:tcBorders>
                  <w:top w:val="nil"/>
                  <w:left w:val="nil"/>
                  <w:bottom w:val="nil"/>
                  <w:right w:val="nil"/>
                </w:tcBorders>
                <w:shd w:val="clear" w:color="auto" w:fill="auto"/>
                <w:vAlign w:val="bottom"/>
                <w:hideMark/>
              </w:tcPr>
              <w:p>
                <w:pPr>
                  <w:ind w:firstLine="60"/>
                  <w:jc w:val="right"/>
                </w:pPr>
                <w:r>
                  <w:t>62 653</w:t>
                </w:r>
              </w:p>
            </w:tc>
            <w:tc>
              <w:tcPr>
                <w:tcW w:w="1299" w:type="dxa"/>
                <w:tcBorders>
                  <w:top w:val="nil"/>
                  <w:left w:val="nil"/>
                  <w:bottom w:val="nil"/>
                  <w:right w:val="nil"/>
                </w:tcBorders>
                <w:shd w:val="clear" w:color="auto" w:fill="auto"/>
                <w:vAlign w:val="bottom"/>
                <w:hideMark/>
              </w:tcPr>
              <w:p>
                <w:pPr>
                  <w:ind w:firstLine="60"/>
                  <w:jc w:val="right"/>
                </w:pPr>
                <w:r>
                  <w:t>62 653</w:t>
                </w:r>
              </w:p>
            </w:tc>
            <w:tc>
              <w:tcPr>
                <w:tcW w:w="1732" w:type="dxa"/>
                <w:tcBorders>
                  <w:top w:val="nil"/>
                  <w:left w:val="nil"/>
                  <w:bottom w:val="nil"/>
                  <w:right w:val="nil"/>
                </w:tcBorders>
                <w:shd w:val="clear" w:color="auto" w:fill="auto"/>
                <w:vAlign w:val="bottom"/>
                <w:hideMark/>
              </w:tcPr>
              <w:p>
                <w:pPr>
                  <w:ind w:firstLine="120"/>
                  <w:jc w:val="right"/>
                </w:pPr>
              </w:p>
            </w:tc>
            <w:tc>
              <w:tcPr>
                <w:tcW w:w="1299" w:type="dxa"/>
                <w:tcBorders>
                  <w:top w:val="nil"/>
                  <w:left w:val="nil"/>
                  <w:bottom w:val="nil"/>
                  <w:right w:val="nil"/>
                </w:tcBorders>
                <w:shd w:val="clear" w:color="auto" w:fill="auto"/>
                <w:vAlign w:val="bottom"/>
                <w:hideMark/>
              </w:tcPr>
              <w:p>
                <w:pPr>
                  <w:ind w:firstLine="60"/>
                  <w:jc w:val="right"/>
                </w:pPr>
                <w:r>
                  <w:t>95 535</w:t>
                </w:r>
              </w:p>
            </w:tc>
            <w:tc>
              <w:tcPr>
                <w:tcW w:w="1299" w:type="dxa"/>
                <w:tcBorders>
                  <w:top w:val="nil"/>
                  <w:left w:val="nil"/>
                  <w:bottom w:val="nil"/>
                  <w:right w:val="nil"/>
                </w:tcBorders>
                <w:shd w:val="clear" w:color="auto" w:fill="auto"/>
                <w:vAlign w:val="bottom"/>
                <w:hideMark/>
              </w:tcPr>
              <w:p>
                <w:pPr>
                  <w:ind w:firstLine="60"/>
                  <w:jc w:val="right"/>
                </w:pPr>
                <w:r>
                  <w:t>132 722</w:t>
                </w:r>
              </w:p>
            </w:tc>
          </w:tr>
          <w:tr>
            <w:trPr>
              <w:trHeight w:val="315"/>
              <w:jc w:val="center"/>
            </w:trPr>
            <w:tc>
              <w:tcPr>
                <w:tcW w:w="2274" w:type="dxa"/>
                <w:tcBorders>
                  <w:top w:val="nil"/>
                  <w:left w:val="nil"/>
                  <w:bottom w:val="nil"/>
                  <w:right w:val="nil"/>
                </w:tcBorders>
                <w:shd w:val="clear" w:color="auto" w:fill="auto"/>
                <w:vAlign w:val="bottom"/>
                <w:hideMark/>
              </w:tcPr>
              <w:p>
                <w:r>
                  <w:t>Transportas ir ryšiai</w:t>
                </w:r>
              </w:p>
            </w:tc>
            <w:tc>
              <w:tcPr>
                <w:tcW w:w="1299" w:type="dxa"/>
                <w:tcBorders>
                  <w:top w:val="nil"/>
                  <w:left w:val="nil"/>
                  <w:bottom w:val="nil"/>
                  <w:right w:val="nil"/>
                </w:tcBorders>
                <w:shd w:val="clear" w:color="auto" w:fill="auto"/>
                <w:vAlign w:val="bottom"/>
                <w:hideMark/>
              </w:tcPr>
              <w:p>
                <w:pPr>
                  <w:ind w:firstLine="60"/>
                  <w:jc w:val="right"/>
                </w:pPr>
                <w:r>
                  <w:t>562 536</w:t>
                </w:r>
              </w:p>
            </w:tc>
            <w:tc>
              <w:tcPr>
                <w:tcW w:w="1299" w:type="dxa"/>
                <w:tcBorders>
                  <w:top w:val="nil"/>
                  <w:left w:val="nil"/>
                  <w:bottom w:val="nil"/>
                  <w:right w:val="nil"/>
                </w:tcBorders>
                <w:shd w:val="clear" w:color="auto" w:fill="auto"/>
                <w:vAlign w:val="bottom"/>
                <w:hideMark/>
              </w:tcPr>
              <w:p>
                <w:pPr>
                  <w:ind w:firstLine="60"/>
                  <w:jc w:val="right"/>
                </w:pPr>
                <w:r>
                  <w:t>562 536</w:t>
                </w:r>
              </w:p>
            </w:tc>
            <w:tc>
              <w:tcPr>
                <w:tcW w:w="1732" w:type="dxa"/>
                <w:tcBorders>
                  <w:top w:val="nil"/>
                  <w:left w:val="nil"/>
                  <w:bottom w:val="nil"/>
                  <w:right w:val="nil"/>
                </w:tcBorders>
                <w:shd w:val="clear" w:color="auto" w:fill="auto"/>
                <w:vAlign w:val="bottom"/>
                <w:hideMark/>
              </w:tcPr>
              <w:p>
                <w:pPr>
                  <w:ind w:firstLine="120"/>
                  <w:jc w:val="right"/>
                </w:pPr>
              </w:p>
            </w:tc>
            <w:tc>
              <w:tcPr>
                <w:tcW w:w="1299" w:type="dxa"/>
                <w:tcBorders>
                  <w:top w:val="nil"/>
                  <w:left w:val="nil"/>
                  <w:bottom w:val="nil"/>
                  <w:right w:val="nil"/>
                </w:tcBorders>
                <w:shd w:val="clear" w:color="auto" w:fill="auto"/>
                <w:vAlign w:val="bottom"/>
                <w:hideMark/>
              </w:tcPr>
              <w:p>
                <w:pPr>
                  <w:ind w:firstLine="60"/>
                  <w:jc w:val="right"/>
                </w:pPr>
                <w:r>
                  <w:t>727 737</w:t>
                </w:r>
              </w:p>
            </w:tc>
            <w:tc>
              <w:tcPr>
                <w:tcW w:w="1299" w:type="dxa"/>
                <w:tcBorders>
                  <w:top w:val="nil"/>
                  <w:left w:val="nil"/>
                  <w:bottom w:val="nil"/>
                  <w:right w:val="nil"/>
                </w:tcBorders>
                <w:shd w:val="clear" w:color="auto" w:fill="auto"/>
                <w:vAlign w:val="bottom"/>
                <w:hideMark/>
              </w:tcPr>
              <w:p>
                <w:pPr>
                  <w:ind w:firstLine="60"/>
                  <w:jc w:val="right"/>
                </w:pPr>
                <w:r>
                  <w:t>688 055</w:t>
                </w:r>
              </w:p>
            </w:tc>
          </w:tr>
          <w:tr>
            <w:trPr>
              <w:trHeight w:val="315"/>
              <w:jc w:val="center"/>
            </w:trPr>
            <w:tc>
              <w:tcPr>
                <w:tcW w:w="2274" w:type="dxa"/>
                <w:tcBorders>
                  <w:top w:val="nil"/>
                  <w:left w:val="nil"/>
                  <w:bottom w:val="single" w:sz="4" w:space="0" w:color="auto"/>
                  <w:right w:val="nil"/>
                </w:tcBorders>
                <w:shd w:val="clear" w:color="auto" w:fill="auto"/>
                <w:vAlign w:val="bottom"/>
                <w:hideMark/>
              </w:tcPr>
              <w:p>
                <w:r>
                  <w:t>Kita veikla</w:t>
                </w:r>
              </w:p>
            </w:tc>
            <w:tc>
              <w:tcPr>
                <w:tcW w:w="1299" w:type="dxa"/>
                <w:tcBorders>
                  <w:top w:val="nil"/>
                  <w:left w:val="nil"/>
                  <w:bottom w:val="single" w:sz="4" w:space="0" w:color="auto"/>
                  <w:right w:val="nil"/>
                </w:tcBorders>
                <w:shd w:val="clear" w:color="auto" w:fill="auto"/>
                <w:vAlign w:val="bottom"/>
                <w:hideMark/>
              </w:tcPr>
              <w:p>
                <w:pPr>
                  <w:ind w:firstLine="60"/>
                  <w:jc w:val="right"/>
                </w:pPr>
                <w:r>
                  <w:t>194 162</w:t>
                </w:r>
              </w:p>
            </w:tc>
            <w:tc>
              <w:tcPr>
                <w:tcW w:w="1299" w:type="dxa"/>
                <w:tcBorders>
                  <w:top w:val="nil"/>
                  <w:left w:val="nil"/>
                  <w:bottom w:val="single" w:sz="4" w:space="0" w:color="auto"/>
                  <w:right w:val="nil"/>
                </w:tcBorders>
                <w:shd w:val="clear" w:color="auto" w:fill="auto"/>
                <w:vAlign w:val="bottom"/>
                <w:hideMark/>
              </w:tcPr>
              <w:p>
                <w:pPr>
                  <w:ind w:firstLine="60"/>
                  <w:jc w:val="right"/>
                </w:pPr>
                <w:r>
                  <w:t>194 162</w:t>
                </w:r>
              </w:p>
            </w:tc>
            <w:tc>
              <w:tcPr>
                <w:tcW w:w="1732" w:type="dxa"/>
                <w:tcBorders>
                  <w:top w:val="nil"/>
                  <w:left w:val="nil"/>
                  <w:bottom w:val="single" w:sz="4" w:space="0" w:color="auto"/>
                  <w:right w:val="nil"/>
                </w:tcBorders>
                <w:shd w:val="clear" w:color="auto" w:fill="auto"/>
                <w:vAlign w:val="bottom"/>
                <w:hideMark/>
              </w:tcPr>
              <w:p>
                <w:pPr>
                  <w:ind w:firstLine="120"/>
                  <w:jc w:val="right"/>
                </w:pPr>
              </w:p>
            </w:tc>
            <w:tc>
              <w:tcPr>
                <w:tcW w:w="1299" w:type="dxa"/>
                <w:tcBorders>
                  <w:top w:val="nil"/>
                  <w:left w:val="nil"/>
                  <w:bottom w:val="single" w:sz="4" w:space="0" w:color="auto"/>
                  <w:right w:val="nil"/>
                </w:tcBorders>
                <w:shd w:val="clear" w:color="auto" w:fill="auto"/>
                <w:vAlign w:val="bottom"/>
                <w:hideMark/>
              </w:tcPr>
              <w:p>
                <w:pPr>
                  <w:ind w:firstLine="60"/>
                  <w:jc w:val="right"/>
                </w:pPr>
                <w:r>
                  <w:t>208 901</w:t>
                </w:r>
              </w:p>
            </w:tc>
            <w:tc>
              <w:tcPr>
                <w:tcW w:w="1299" w:type="dxa"/>
                <w:tcBorders>
                  <w:top w:val="nil"/>
                  <w:left w:val="nil"/>
                  <w:bottom w:val="single" w:sz="4" w:space="0" w:color="auto"/>
                  <w:right w:val="nil"/>
                </w:tcBorders>
                <w:shd w:val="clear" w:color="auto" w:fill="auto"/>
                <w:vAlign w:val="bottom"/>
                <w:hideMark/>
              </w:tcPr>
              <w:p>
                <w:pPr>
                  <w:ind w:firstLine="60"/>
                  <w:jc w:val="right"/>
                </w:pPr>
                <w:r>
                  <w:t>222 995</w:t>
                </w:r>
              </w:p>
            </w:tc>
          </w:tr>
          <w:tr>
            <w:trPr>
              <w:trHeight w:val="315"/>
              <w:jc w:val="center"/>
            </w:trPr>
            <w:tc>
              <w:tcPr>
                <w:tcW w:w="2274" w:type="dxa"/>
                <w:tcBorders>
                  <w:top w:val="single" w:sz="4" w:space="0" w:color="auto"/>
                  <w:left w:val="nil"/>
                  <w:bottom w:val="nil"/>
                  <w:right w:val="nil"/>
                </w:tcBorders>
                <w:shd w:val="clear" w:color="auto" w:fill="auto"/>
                <w:vAlign w:val="bottom"/>
                <w:hideMark/>
              </w:tcPr>
              <w:p>
                <w:r>
                  <w:t>IŠ VISO</w:t>
                </w:r>
              </w:p>
            </w:tc>
            <w:tc>
              <w:tcPr>
                <w:tcW w:w="1299" w:type="dxa"/>
                <w:tcBorders>
                  <w:top w:val="single" w:sz="4" w:space="0" w:color="auto"/>
                  <w:left w:val="nil"/>
                  <w:bottom w:val="nil"/>
                  <w:right w:val="nil"/>
                </w:tcBorders>
                <w:shd w:val="clear" w:color="auto" w:fill="auto"/>
                <w:vAlign w:val="bottom"/>
                <w:hideMark/>
              </w:tcPr>
              <w:p>
                <w:pPr>
                  <w:ind w:firstLine="60"/>
                  <w:jc w:val="right"/>
                </w:pPr>
                <w:r>
                  <w:t>1 258 328</w:t>
                </w:r>
              </w:p>
            </w:tc>
            <w:tc>
              <w:tcPr>
                <w:tcW w:w="1299" w:type="dxa"/>
                <w:tcBorders>
                  <w:top w:val="single" w:sz="4" w:space="0" w:color="auto"/>
                  <w:left w:val="nil"/>
                  <w:bottom w:val="nil"/>
                  <w:right w:val="nil"/>
                </w:tcBorders>
                <w:shd w:val="clear" w:color="auto" w:fill="auto"/>
                <w:vAlign w:val="bottom"/>
                <w:hideMark/>
              </w:tcPr>
              <w:p>
                <w:pPr>
                  <w:ind w:firstLine="60"/>
                  <w:jc w:val="right"/>
                </w:pPr>
                <w:r>
                  <w:t>1 255 328</w:t>
                </w:r>
              </w:p>
            </w:tc>
            <w:tc>
              <w:tcPr>
                <w:tcW w:w="1732" w:type="dxa"/>
                <w:tcBorders>
                  <w:top w:val="single" w:sz="4" w:space="0" w:color="auto"/>
                  <w:left w:val="nil"/>
                  <w:bottom w:val="nil"/>
                  <w:right w:val="nil"/>
                </w:tcBorders>
                <w:shd w:val="clear" w:color="auto" w:fill="auto"/>
                <w:vAlign w:val="bottom"/>
                <w:hideMark/>
              </w:tcPr>
              <w:p>
                <w:pPr>
                  <w:ind w:firstLine="60"/>
                  <w:jc w:val="right"/>
                </w:pPr>
                <w:r>
                  <w:t>3 000</w:t>
                </w:r>
              </w:p>
            </w:tc>
            <w:tc>
              <w:tcPr>
                <w:tcW w:w="1299" w:type="dxa"/>
                <w:tcBorders>
                  <w:top w:val="single" w:sz="4" w:space="0" w:color="auto"/>
                  <w:left w:val="nil"/>
                  <w:bottom w:val="nil"/>
                  <w:right w:val="nil"/>
                </w:tcBorders>
                <w:shd w:val="clear" w:color="auto" w:fill="auto"/>
                <w:vAlign w:val="bottom"/>
                <w:hideMark/>
              </w:tcPr>
              <w:p>
                <w:pPr>
                  <w:jc w:val="right"/>
                </w:pPr>
                <w:r>
                  <w:t>1 610 412</w:t>
                </w:r>
              </w:p>
            </w:tc>
            <w:tc>
              <w:tcPr>
                <w:tcW w:w="1299" w:type="dxa"/>
                <w:tcBorders>
                  <w:top w:val="single" w:sz="4" w:space="0" w:color="auto"/>
                  <w:left w:val="nil"/>
                  <w:bottom w:val="nil"/>
                  <w:right w:val="nil"/>
                </w:tcBorders>
                <w:shd w:val="clear" w:color="auto" w:fill="auto"/>
                <w:vAlign w:val="bottom"/>
                <w:hideMark/>
              </w:tcPr>
              <w:p>
                <w:pPr>
                  <w:jc w:val="right"/>
                </w:pPr>
                <w:r>
                  <w:t>1 783 827</w:t>
                </w:r>
              </w:p>
            </w:tc>
          </w:tr>
        </w:tbl>
        <w:p/>
        <w:p/>
        <w:p>
          <w:pPr>
            <w:sectPr>
              <w:pgSz w:w="11906" w:h="16838" w:code="9"/>
              <w:pgMar w:top="1134" w:right="1134" w:bottom="1134" w:left="1701" w:header="567" w:footer="567" w:gutter="0"/>
              <w:pgNumType w:start="1"/>
              <w:cols w:space="1296"/>
              <w:titlePg/>
              <w:docGrid w:linePitch="360"/>
            </w:sectPr>
          </w:pPr>
        </w:p>
        <w:p>
          <w:pPr>
            <w:tabs>
              <w:tab w:val="center" w:pos="4153"/>
              <w:tab w:val="right" w:pos="8306"/>
            </w:tabs>
            <w:rPr>
              <w:rFonts w:ascii="TimesLT" w:hAnsi="TimesLT"/>
              <w:lang w:val="en-US"/>
            </w:rPr>
          </w:pPr>
        </w:p>
      </w:sdtContent>
    </w:sdt>
    <w:sdt>
      <w:sdtPr>
        <w:alias w:val="9 pr."/>
        <w:tag w:val="part_ba09c10026c74ed18311e90be794c1ea"/>
        <w:lock w:val="sdtLocked"/>
        <w:richText/>
      </w:sdtPr>
      <w:sdtContent>
        <w:p>
          <w:pPr>
            <w:ind w:firstLine="5670"/>
          </w:pPr>
          <w:r>
            <w:t>Lietuvos Respublikos</w:t>
          </w:r>
        </w:p>
        <w:p>
          <w:pPr>
            <w:ind w:firstLine="5670"/>
          </w:pPr>
          <w:r>
            <w:t>2016 metų valstybės biudžeto ir</w:t>
          </w:r>
        </w:p>
        <w:p>
          <w:pPr>
            <w:ind w:firstLine="5670"/>
          </w:pPr>
          <w:r>
            <w:t>savivaldybių biudžetų finansinių</w:t>
          </w:r>
        </w:p>
        <w:p>
          <w:pPr>
            <w:ind w:firstLine="5670"/>
          </w:pPr>
          <w:r>
            <w:t>rodiklių patvirtinimo įstatymo</w:t>
          </w:r>
        </w:p>
        <w:p>
          <w:pPr>
            <w:ind w:firstLine="5670"/>
          </w:pPr>
          <w:sdt>
            <w:sdtPr>
              <w:alias w:val="Numeris"/>
              <w:tag w:val="nr_ba09c10026c74ed18311e90be794c1ea"/>
              <w:lock w:val="sdtLocked"/>
              <w:richText/>
            </w:sdtPr>
            <w:sdtContent>
              <w:r>
                <w:t>9</w:t>
              </w:r>
            </w:sdtContent>
          </w:sdt>
          <w:r>
            <w:t xml:space="preserve"> priedas</w:t>
          </w:r>
        </w:p>
        <w:p/>
        <w:p>
          <w:pPr>
            <w:jc w:val="center"/>
          </w:pPr>
          <w:sdt>
            <w:sdtPr>
              <w:alias w:val="Pavadinimas"/>
              <w:tag w:val="title_ba09c10026c74ed18311e90be794c1ea"/>
              <w:lock w:val="sdtLocked"/>
              <w:richText/>
            </w:sdtPr>
            <w:sdtContent>
              <w:r>
                <w:rPr>
                  <w:b/>
                </w:rPr>
                <w:t>2016 METŲ REZERVINIO (STABILIZAVIMO) FONDO LĖŠŲ SĄMATA</w:t>
              </w:r>
            </w:sdtContent>
          </w:sdt>
        </w:p>
        <w:p/>
        <w:tbl>
          <w:tblPr>
            <w:tblW w:w="9205" w:type="dxa"/>
            <w:jc w:val="center"/>
            <w:tblInd w:w="-258" w:type="dxa"/>
            <w:tblLook w:val="04A0" w:firstRow="1" w:lastRow="0" w:firstColumn="1" w:lastColumn="0" w:noHBand="0" w:noVBand="1"/>
          </w:tblPr>
          <w:tblGrid>
            <w:gridCol w:w="576"/>
            <w:gridCol w:w="7378"/>
            <w:gridCol w:w="1251"/>
          </w:tblGrid>
          <w:tr>
            <w:trPr>
              <w:trHeight w:val="375"/>
              <w:jc w:val="center"/>
            </w:trPr>
            <w:tc>
              <w:tcPr>
                <w:tcW w:w="576" w:type="dxa"/>
                <w:shd w:val="clear" w:color="auto" w:fill="auto"/>
                <w:noWrap/>
                <w:vAlign w:val="bottom"/>
                <w:hideMark/>
              </w:tcPr>
              <w:p/>
            </w:tc>
            <w:tc>
              <w:tcPr>
                <w:tcW w:w="7378" w:type="dxa"/>
                <w:shd w:val="clear" w:color="auto" w:fill="auto"/>
                <w:vAlign w:val="center"/>
                <w:hideMark/>
              </w:tcPr>
              <w:p>
                <w:pPr>
                  <w:jc w:val="center"/>
                </w:pPr>
              </w:p>
            </w:tc>
            <w:tc>
              <w:tcPr>
                <w:tcW w:w="1251" w:type="dxa"/>
                <w:shd w:val="clear" w:color="auto" w:fill="auto"/>
                <w:noWrap/>
                <w:vAlign w:val="bottom"/>
                <w:hideMark/>
              </w:tcPr>
              <w:p>
                <w:pPr>
                  <w:ind w:left="-203" w:right="-48"/>
                  <w:jc w:val="right"/>
                </w:pPr>
                <w:r>
                  <w:t>Tūkst. Eur</w:t>
                </w:r>
              </w:p>
            </w:tc>
          </w:tr>
          <w:tr>
            <w:trPr>
              <w:trHeight w:val="435"/>
              <w:jc w:val="center"/>
            </w:trPr>
            <w:tc>
              <w:tcPr>
                <w:tcW w:w="576" w:type="dxa"/>
                <w:shd w:val="clear" w:color="auto" w:fill="auto"/>
                <w:noWrap/>
                <w:hideMark/>
              </w:tcPr>
              <w:p>
                <w:r>
                  <w:t>1.</w:t>
                </w:r>
              </w:p>
            </w:tc>
            <w:tc>
              <w:tcPr>
                <w:tcW w:w="7378" w:type="dxa"/>
                <w:shd w:val="clear" w:color="auto" w:fill="auto"/>
                <w:hideMark/>
              </w:tcPr>
              <w:p>
                <w:r>
                  <w:t xml:space="preserve">Numatomas lėšų likutis 2016 m. sausio 1 d. </w:t>
                </w:r>
              </w:p>
            </w:tc>
            <w:tc>
              <w:tcPr>
                <w:tcW w:w="1251" w:type="dxa"/>
                <w:shd w:val="clear" w:color="auto" w:fill="auto"/>
                <w:noWrap/>
                <w:hideMark/>
              </w:tcPr>
              <w:p>
                <w:pPr>
                  <w:ind w:firstLine="60"/>
                  <w:jc w:val="right"/>
                </w:pPr>
                <w:r>
                  <w:t>63 074</w:t>
                </w:r>
              </w:p>
            </w:tc>
          </w:tr>
          <w:tr>
            <w:trPr>
              <w:trHeight w:val="381"/>
              <w:jc w:val="center"/>
            </w:trPr>
            <w:tc>
              <w:tcPr>
                <w:tcW w:w="576" w:type="dxa"/>
                <w:shd w:val="clear" w:color="auto" w:fill="auto"/>
                <w:noWrap/>
              </w:tcPr>
              <w:p/>
            </w:tc>
            <w:tc>
              <w:tcPr>
                <w:tcW w:w="7378" w:type="dxa"/>
                <w:shd w:val="clear" w:color="auto" w:fill="auto"/>
              </w:tcPr>
              <w:p>
                <w:pPr>
                  <w:ind w:firstLine="120"/>
                </w:pPr>
                <w:r>
                  <w:t>iš jų:</w:t>
                </w:r>
              </w:p>
            </w:tc>
            <w:tc>
              <w:tcPr>
                <w:tcW w:w="1251" w:type="dxa"/>
                <w:shd w:val="clear" w:color="auto" w:fill="auto"/>
                <w:noWrap/>
              </w:tcPr>
              <w:p>
                <w:pPr>
                  <w:jc w:val="right"/>
                </w:pPr>
              </w:p>
            </w:tc>
          </w:tr>
          <w:tr>
            <w:trPr>
              <w:trHeight w:val="712"/>
              <w:jc w:val="center"/>
            </w:trPr>
            <w:tc>
              <w:tcPr>
                <w:tcW w:w="576" w:type="dxa"/>
                <w:shd w:val="clear" w:color="auto" w:fill="auto"/>
                <w:noWrap/>
              </w:tcPr>
              <w:p/>
            </w:tc>
            <w:tc>
              <w:tcPr>
                <w:tcW w:w="7378" w:type="dxa"/>
                <w:shd w:val="clear" w:color="auto" w:fill="auto"/>
              </w:tcPr>
              <w:p>
                <w:r>
                  <w:t>lėšos, naudojamos valstybės turtiniams įsipareigojimams, susijusiems su valstybės skola, vykdyti (grąžintinai) iki 2016 m. gruodžio 31 d.</w:t>
                </w:r>
              </w:p>
            </w:tc>
            <w:tc>
              <w:tcPr>
                <w:tcW w:w="1251" w:type="dxa"/>
                <w:shd w:val="clear" w:color="auto" w:fill="auto"/>
                <w:noWrap/>
                <w:vAlign w:val="bottom"/>
              </w:tcPr>
              <w:p>
                <w:pPr>
                  <w:jc w:val="right"/>
                </w:pPr>
                <w:r>
                  <w:t>57 924</w:t>
                </w:r>
              </w:p>
            </w:tc>
          </w:tr>
          <w:tr>
            <w:trPr>
              <w:trHeight w:val="412"/>
              <w:jc w:val="center"/>
            </w:trPr>
            <w:tc>
              <w:tcPr>
                <w:tcW w:w="576" w:type="dxa"/>
                <w:shd w:val="clear" w:color="auto" w:fill="auto"/>
                <w:noWrap/>
                <w:hideMark/>
              </w:tcPr>
              <w:p>
                <w:r>
                  <w:t>2.</w:t>
                </w:r>
              </w:p>
            </w:tc>
            <w:tc>
              <w:tcPr>
                <w:tcW w:w="7378" w:type="dxa"/>
                <w:shd w:val="clear" w:color="auto" w:fill="auto"/>
                <w:hideMark/>
              </w:tcPr>
              <w:p>
                <w:r>
                  <w:t>Įplaukos 2016 metais</w:t>
                </w:r>
              </w:p>
            </w:tc>
            <w:tc>
              <w:tcPr>
                <w:tcW w:w="1251" w:type="dxa"/>
                <w:shd w:val="clear" w:color="auto" w:fill="auto"/>
                <w:noWrap/>
                <w:hideMark/>
              </w:tcPr>
              <w:p>
                <w:pPr>
                  <w:jc w:val="right"/>
                </w:pPr>
                <w:r>
                  <w:t>66 482</w:t>
                </w:r>
              </w:p>
            </w:tc>
          </w:tr>
          <w:tr>
            <w:trPr>
              <w:trHeight w:val="1027"/>
              <w:jc w:val="center"/>
            </w:trPr>
            <w:tc>
              <w:tcPr>
                <w:tcW w:w="576" w:type="dxa"/>
                <w:shd w:val="clear" w:color="auto" w:fill="auto"/>
                <w:noWrap/>
                <w:hideMark/>
              </w:tcPr>
              <w:p>
                <w:r>
                  <w:t>2.1.</w:t>
                </w:r>
              </w:p>
            </w:tc>
            <w:tc>
              <w:tcPr>
                <w:tcW w:w="7378" w:type="dxa"/>
                <w:shd w:val="clear" w:color="auto" w:fill="auto"/>
                <w:hideMark/>
              </w:tcPr>
              <w:p>
                <w:r>
                  <w:t>50 procentų lėšų, gautų į Lietuvos Respublikos valstybės biudžetą, įstatymų nustatyta tvarka privatizavus valstybei nuosavybės teise priklausančius akcijų paketus</w:t>
                </w:r>
              </w:p>
            </w:tc>
            <w:tc>
              <w:tcPr>
                <w:tcW w:w="1251" w:type="dxa"/>
                <w:shd w:val="clear" w:color="auto" w:fill="auto"/>
                <w:noWrap/>
                <w:hideMark/>
              </w:tcPr>
              <w:p>
                <w:pPr>
                  <w:jc w:val="right"/>
                </w:pPr>
              </w:p>
              <w:p>
                <w:pPr>
                  <w:jc w:val="right"/>
                </w:pPr>
              </w:p>
              <w:p>
                <w:pPr>
                  <w:jc w:val="right"/>
                </w:pPr>
                <w:r>
                  <w:t>2 932</w:t>
                </w:r>
              </w:p>
            </w:tc>
          </w:tr>
          <w:tr>
            <w:trPr>
              <w:trHeight w:val="450"/>
              <w:jc w:val="center"/>
            </w:trPr>
            <w:tc>
              <w:tcPr>
                <w:tcW w:w="576" w:type="dxa"/>
                <w:shd w:val="clear" w:color="auto" w:fill="auto"/>
                <w:noWrap/>
                <w:hideMark/>
              </w:tcPr>
              <w:p>
                <w:r>
                  <w:t>2.2.</w:t>
                </w:r>
              </w:p>
            </w:tc>
            <w:tc>
              <w:tcPr>
                <w:tcW w:w="7378" w:type="dxa"/>
                <w:shd w:val="clear" w:color="auto" w:fill="auto"/>
                <w:hideMark/>
              </w:tcPr>
              <w:p>
                <w:r>
                  <w:t>50 procentų gautų į Lietuvos Respublikos valstybės biudžetą dividendų</w:t>
                </w:r>
              </w:p>
            </w:tc>
            <w:tc>
              <w:tcPr>
                <w:tcW w:w="1251" w:type="dxa"/>
                <w:shd w:val="clear" w:color="auto" w:fill="auto"/>
                <w:noWrap/>
                <w:hideMark/>
              </w:tcPr>
              <w:p>
                <w:pPr>
                  <w:ind w:firstLine="60"/>
                  <w:jc w:val="right"/>
                </w:pPr>
                <w:r>
                  <w:t>44 457</w:t>
                </w:r>
              </w:p>
            </w:tc>
          </w:tr>
          <w:tr>
            <w:trPr>
              <w:trHeight w:val="962"/>
              <w:jc w:val="center"/>
            </w:trPr>
            <w:tc>
              <w:tcPr>
                <w:tcW w:w="576" w:type="dxa"/>
                <w:shd w:val="clear" w:color="auto" w:fill="auto"/>
                <w:noWrap/>
                <w:hideMark/>
              </w:tcPr>
              <w:p>
                <w:r>
                  <w:t>2.3.</w:t>
                </w:r>
              </w:p>
            </w:tc>
            <w:tc>
              <w:tcPr>
                <w:tcW w:w="7378" w:type="dxa"/>
                <w:shd w:val="clear" w:color="auto" w:fill="auto"/>
                <w:hideMark/>
              </w:tcPr>
              <w:p>
                <w:r>
                  <w:t>50 procentų lėšų, gautų į Lietuvos Respublikos valstybės biudžetą pardavus viešo aukciono būdu įstatymų nustatyta tvarka valstybės nekilnojamąjį turtą ir kitus nekilnojamuosius daiktus</w:t>
                </w:r>
              </w:p>
            </w:tc>
            <w:tc>
              <w:tcPr>
                <w:tcW w:w="1251" w:type="dxa"/>
                <w:shd w:val="clear" w:color="auto" w:fill="auto"/>
                <w:noWrap/>
                <w:hideMark/>
              </w:tcPr>
              <w:p>
                <w:pPr>
                  <w:jc w:val="right"/>
                </w:pPr>
              </w:p>
              <w:p>
                <w:pPr>
                  <w:jc w:val="right"/>
                </w:pPr>
              </w:p>
              <w:p>
                <w:pPr>
                  <w:ind w:firstLine="120"/>
                  <w:jc w:val="right"/>
                </w:pPr>
                <w:r>
                  <w:t>963</w:t>
                </w:r>
              </w:p>
            </w:tc>
          </w:tr>
          <w:tr>
            <w:trPr>
              <w:trHeight w:val="693"/>
              <w:jc w:val="center"/>
            </w:trPr>
            <w:tc>
              <w:tcPr>
                <w:tcW w:w="576" w:type="dxa"/>
                <w:shd w:val="clear" w:color="auto" w:fill="auto"/>
                <w:noWrap/>
                <w:hideMark/>
              </w:tcPr>
              <w:p>
                <w:r>
                  <w:t>2.4.</w:t>
                </w:r>
              </w:p>
            </w:tc>
            <w:tc>
              <w:tcPr>
                <w:tcW w:w="7378" w:type="dxa"/>
                <w:shd w:val="clear" w:color="auto" w:fill="auto"/>
                <w:hideMark/>
              </w:tcPr>
              <w:p>
                <w:r>
                  <w:t>50 procentų lėšų, gautų į Lietuvos Respublikos valstybės biudžetą pardavus valstybinės žemės ūkio paskirties žemės sklypus</w:t>
                </w:r>
              </w:p>
            </w:tc>
            <w:tc>
              <w:tcPr>
                <w:tcW w:w="1251" w:type="dxa"/>
                <w:shd w:val="clear" w:color="auto" w:fill="auto"/>
                <w:noWrap/>
                <w:hideMark/>
              </w:tcPr>
              <w:p>
                <w:pPr>
                  <w:jc w:val="right"/>
                </w:pPr>
              </w:p>
              <w:p>
                <w:pPr>
                  <w:ind w:firstLine="60"/>
                  <w:jc w:val="right"/>
                </w:pPr>
                <w:r>
                  <w:t>15 300</w:t>
                </w:r>
              </w:p>
            </w:tc>
          </w:tr>
          <w:tr>
            <w:trPr>
              <w:trHeight w:val="375"/>
              <w:jc w:val="center"/>
            </w:trPr>
            <w:tc>
              <w:tcPr>
                <w:tcW w:w="576" w:type="dxa"/>
                <w:shd w:val="clear" w:color="auto" w:fill="auto"/>
                <w:noWrap/>
                <w:hideMark/>
              </w:tcPr>
              <w:p>
                <w:r>
                  <w:t>2.5.</w:t>
                </w:r>
              </w:p>
            </w:tc>
            <w:tc>
              <w:tcPr>
                <w:tcW w:w="7378" w:type="dxa"/>
                <w:shd w:val="clear" w:color="auto" w:fill="auto"/>
                <w:hideMark/>
              </w:tcPr>
              <w:p>
                <w:r>
                  <w:t>Likutis iš Privatizavimo fondo</w:t>
                </w:r>
              </w:p>
            </w:tc>
            <w:tc>
              <w:tcPr>
                <w:tcW w:w="1251" w:type="dxa"/>
                <w:shd w:val="clear" w:color="auto" w:fill="auto"/>
                <w:noWrap/>
                <w:hideMark/>
              </w:tcPr>
              <w:p>
                <w:pPr>
                  <w:ind w:firstLine="60"/>
                  <w:jc w:val="right"/>
                </w:pPr>
                <w:r>
                  <w:t>2 830</w:t>
                </w:r>
              </w:p>
            </w:tc>
          </w:tr>
          <w:tr>
            <w:trPr>
              <w:trHeight w:val="420"/>
              <w:jc w:val="center"/>
            </w:trPr>
            <w:tc>
              <w:tcPr>
                <w:tcW w:w="576" w:type="dxa"/>
                <w:shd w:val="clear" w:color="auto" w:fill="auto"/>
                <w:noWrap/>
                <w:hideMark/>
              </w:tcPr>
              <w:p>
                <w:r>
                  <w:t>3.</w:t>
                </w:r>
              </w:p>
            </w:tc>
            <w:tc>
              <w:tcPr>
                <w:tcW w:w="7378" w:type="dxa"/>
                <w:shd w:val="clear" w:color="auto" w:fill="auto"/>
                <w:hideMark/>
              </w:tcPr>
              <w:p>
                <w:r>
                  <w:t>Išlaidos 2016 metais</w:t>
                </w:r>
              </w:p>
            </w:tc>
            <w:tc>
              <w:tcPr>
                <w:tcW w:w="1251" w:type="dxa"/>
                <w:shd w:val="clear" w:color="auto" w:fill="auto"/>
                <w:noWrap/>
                <w:hideMark/>
              </w:tcPr>
              <w:p>
                <w:pPr>
                  <w:jc w:val="right"/>
                </w:pPr>
                <w:r>
                  <w:t>183</w:t>
                </w:r>
              </w:p>
            </w:tc>
          </w:tr>
          <w:tr>
            <w:trPr>
              <w:trHeight w:val="525"/>
              <w:jc w:val="center"/>
            </w:trPr>
            <w:tc>
              <w:tcPr>
                <w:tcW w:w="576" w:type="dxa"/>
                <w:shd w:val="clear" w:color="auto" w:fill="auto"/>
                <w:noWrap/>
              </w:tcPr>
              <w:p/>
            </w:tc>
            <w:tc>
              <w:tcPr>
                <w:tcW w:w="7378" w:type="dxa"/>
                <w:shd w:val="clear" w:color="auto" w:fill="auto"/>
              </w:tcPr>
              <w:p>
                <w:pPr>
                  <w:ind w:firstLine="180"/>
                </w:pPr>
                <w:r>
                  <w:t>iš jų:</w:t>
                </w:r>
              </w:p>
            </w:tc>
            <w:tc>
              <w:tcPr>
                <w:tcW w:w="1251" w:type="dxa"/>
                <w:shd w:val="clear" w:color="auto" w:fill="auto"/>
                <w:noWrap/>
              </w:tcPr>
              <w:p>
                <w:pPr>
                  <w:jc w:val="right"/>
                </w:pPr>
              </w:p>
            </w:tc>
          </w:tr>
          <w:tr>
            <w:trPr>
              <w:trHeight w:val="525"/>
              <w:jc w:val="center"/>
            </w:trPr>
            <w:tc>
              <w:tcPr>
                <w:tcW w:w="576" w:type="dxa"/>
                <w:shd w:val="clear" w:color="auto" w:fill="auto"/>
                <w:noWrap/>
              </w:tcPr>
              <w:p/>
            </w:tc>
            <w:tc>
              <w:tcPr>
                <w:tcW w:w="7378" w:type="dxa"/>
                <w:shd w:val="clear" w:color="auto" w:fill="auto"/>
              </w:tcPr>
              <w:p>
                <w:r>
                  <w:t>Rezervinio (stabilizavimo) fondo valdymo išlaidos</w:t>
                </w:r>
              </w:p>
            </w:tc>
            <w:tc>
              <w:tcPr>
                <w:tcW w:w="1251" w:type="dxa"/>
                <w:shd w:val="clear" w:color="auto" w:fill="auto"/>
                <w:noWrap/>
              </w:tcPr>
              <w:p>
                <w:pPr>
                  <w:jc w:val="right"/>
                </w:pPr>
                <w:r>
                  <w:t>183</w:t>
                </w:r>
              </w:p>
            </w:tc>
          </w:tr>
          <w:tr>
            <w:trPr>
              <w:trHeight w:val="525"/>
              <w:jc w:val="center"/>
            </w:trPr>
            <w:tc>
              <w:tcPr>
                <w:tcW w:w="576" w:type="dxa"/>
                <w:shd w:val="clear" w:color="auto" w:fill="auto"/>
                <w:noWrap/>
                <w:hideMark/>
              </w:tcPr>
              <w:p>
                <w:r>
                  <w:t>4.</w:t>
                </w:r>
              </w:p>
            </w:tc>
            <w:tc>
              <w:tcPr>
                <w:tcW w:w="7378" w:type="dxa"/>
                <w:shd w:val="clear" w:color="auto" w:fill="auto"/>
                <w:hideMark/>
              </w:tcPr>
              <w:p>
                <w:r>
                  <w:t>Numatomas lėšų likutis 2017 m. sausio 1 d. (1 + 2 – 3)</w:t>
                </w:r>
              </w:p>
            </w:tc>
            <w:tc>
              <w:tcPr>
                <w:tcW w:w="1251" w:type="dxa"/>
                <w:shd w:val="clear" w:color="auto" w:fill="auto"/>
                <w:noWrap/>
                <w:hideMark/>
              </w:tcPr>
              <w:p>
                <w:pPr>
                  <w:ind w:firstLine="60"/>
                  <w:jc w:val="right"/>
                </w:pPr>
                <w:r>
                  <w:t>129 373</w:t>
                </w:r>
              </w:p>
            </w:tc>
          </w:tr>
        </w:tbl>
        <w:p/>
        <w:p/>
        <w:p>
          <w:pPr>
            <w:sectPr>
              <w:pgSz w:w="11906" w:h="16838" w:code="9"/>
              <w:pgMar w:top="1134" w:right="1134" w:bottom="1134" w:left="1701" w:header="567" w:footer="567" w:gutter="0"/>
              <w:pgNumType w:start="1"/>
              <w:cols w:space="1296"/>
              <w:titlePg/>
              <w:docGrid w:linePitch="360"/>
            </w:sectPr>
          </w:pPr>
        </w:p>
        <w:p>
          <w:pPr>
            <w:tabs>
              <w:tab w:val="center" w:pos="4153"/>
              <w:tab w:val="right" w:pos="8306"/>
            </w:tabs>
            <w:rPr>
              <w:rFonts w:ascii="TimesLT" w:hAnsi="TimesLT"/>
              <w:lang w:val="en-US"/>
            </w:rPr>
          </w:pPr>
        </w:p>
      </w:sdtContent>
    </w:sdt>
    <w:sdt>
      <w:sdtPr>
        <w:alias w:val="10 pr."/>
        <w:tag w:val="part_a53b647c35c04395a4e8662d9a6db912"/>
        <w:lock w:val="sdtLocked"/>
        <w:richText/>
      </w:sdtPr>
      <w:sdtContent>
        <w:p>
          <w:pPr>
            <w:ind w:firstLine="5670"/>
          </w:pPr>
          <w:r>
            <w:t>Lietuvos Respublikos</w:t>
          </w:r>
        </w:p>
        <w:p>
          <w:pPr>
            <w:ind w:firstLine="5670"/>
          </w:pPr>
          <w:r>
            <w:t>2016 metų valstybės biudžeto ir</w:t>
          </w:r>
        </w:p>
        <w:p>
          <w:pPr>
            <w:ind w:firstLine="5670"/>
          </w:pPr>
          <w:r>
            <w:t>savivaldybių biudžetų finansinių</w:t>
          </w:r>
        </w:p>
        <w:p>
          <w:pPr>
            <w:ind w:firstLine="5670"/>
          </w:pPr>
          <w:r>
            <w:t>rodiklių patvirtinimo įstatymo</w:t>
          </w:r>
        </w:p>
        <w:p>
          <w:pPr>
            <w:ind w:firstLine="5670"/>
          </w:pPr>
          <w:sdt>
            <w:sdtPr>
              <w:alias w:val="Numeris"/>
              <w:tag w:val="nr_a53b647c35c04395a4e8662d9a6db912"/>
              <w:lock w:val="sdtLocked"/>
              <w:richText/>
            </w:sdtPr>
            <w:sdtContent>
              <w:r>
                <w:t>10</w:t>
              </w:r>
            </w:sdtContent>
          </w:sdt>
          <w:r>
            <w:t xml:space="preserve"> priedas</w:t>
          </w:r>
        </w:p>
        <w:p/>
        <w:sdt>
          <w:sdtPr>
            <w:alias w:val="Pavadinimas"/>
            <w:tag w:val="title_a53b647c35c04395a4e8662d9a6db912"/>
            <w:lock w:val="sdtLocked"/>
            <w:richText/>
          </w:sdtPr>
          <w:sdtContent>
            <w:p>
              <w:pPr>
                <w:jc w:val="center"/>
                <w:rPr>
                  <w:b/>
                </w:rPr>
              </w:pPr>
              <w:r>
                <w:rPr>
                  <w:b/>
                </w:rPr>
                <w:t>2016 METŲ VALSTYBĖS ĮMONĖS IGNALINOS ATOMINĖS ELEKTRINĖS</w:t>
              </w:r>
            </w:p>
            <w:p>
              <w:pPr>
                <w:jc w:val="center"/>
                <w:rPr>
                  <w:b/>
                </w:rPr>
              </w:pPr>
              <w:r>
                <w:rPr>
                  <w:b/>
                </w:rPr>
                <w:t>EKSPLOATAVIMO NUTRAUKIMO FONDO LĖŠŲ SĄMATA</w:t>
              </w:r>
            </w:p>
          </w:sdtContent>
        </w:sdt>
        <w:p>
          <w:pPr>
            <w:rPr>
              <w:bCs/>
            </w:rPr>
          </w:pPr>
        </w:p>
        <w:tbl>
          <w:tblPr>
            <w:tblW w:w="9144" w:type="dxa"/>
            <w:jc w:val="center"/>
            <w:tblInd w:w="250" w:type="dxa"/>
            <w:tblLayout w:type="fixed"/>
            <w:tblLook w:val="01E0" w:firstRow="1" w:lastRow="1" w:firstColumn="1" w:lastColumn="1" w:noHBand="0" w:noVBand="0"/>
          </w:tblPr>
          <w:tblGrid>
            <w:gridCol w:w="708"/>
            <w:gridCol w:w="6826"/>
            <w:gridCol w:w="1610"/>
          </w:tblGrid>
          <w:tr>
            <w:trPr>
              <w:trHeight w:val="505"/>
              <w:jc w:val="center"/>
            </w:trPr>
            <w:tc>
              <w:tcPr>
                <w:tcW w:w="708" w:type="dxa"/>
              </w:tcPr>
              <w:p>
                <w:pPr>
                  <w:tabs>
                    <w:tab w:val="left" w:pos="5358"/>
                  </w:tabs>
                </w:pPr>
              </w:p>
            </w:tc>
            <w:tc>
              <w:tcPr>
                <w:tcW w:w="6826" w:type="dxa"/>
              </w:tcPr>
              <w:p>
                <w:pPr>
                  <w:tabs>
                    <w:tab w:val="left" w:pos="5358"/>
                  </w:tabs>
                </w:pPr>
              </w:p>
            </w:tc>
            <w:tc>
              <w:tcPr>
                <w:tcW w:w="1610" w:type="dxa"/>
                <w:vAlign w:val="bottom"/>
              </w:tcPr>
              <w:p>
                <w:pPr>
                  <w:tabs>
                    <w:tab w:val="left" w:pos="5358"/>
                  </w:tabs>
                  <w:jc w:val="right"/>
                </w:pPr>
                <w:r>
                  <w:t>Tūkst. Eur</w:t>
                </w:r>
              </w:p>
            </w:tc>
          </w:tr>
          <w:tr>
            <w:trPr>
              <w:jc w:val="center"/>
            </w:trPr>
            <w:tc>
              <w:tcPr>
                <w:tcW w:w="708" w:type="dxa"/>
              </w:tcPr>
              <w:p>
                <w:pPr>
                  <w:tabs>
                    <w:tab w:val="left" w:pos="5358"/>
                  </w:tabs>
                </w:pPr>
                <w:r>
                  <w:t>1.</w:t>
                </w:r>
              </w:p>
            </w:tc>
            <w:tc>
              <w:tcPr>
                <w:tcW w:w="6826" w:type="dxa"/>
              </w:tcPr>
              <w:p>
                <w:pPr>
                  <w:tabs>
                    <w:tab w:val="left" w:pos="5358"/>
                  </w:tabs>
                </w:pPr>
                <w:r>
                  <w:t>Numatomas Valstybės įmonės Ignalinos atominės elektrinės eksploatavimo nutraukimo fondo lėšų likutis 2016 m. sausio 1 d.</w:t>
                </w:r>
              </w:p>
            </w:tc>
            <w:tc>
              <w:tcPr>
                <w:tcW w:w="1610" w:type="dxa"/>
                <w:vAlign w:val="bottom"/>
              </w:tcPr>
              <w:p>
                <w:pPr>
                  <w:tabs>
                    <w:tab w:val="left" w:pos="5358"/>
                  </w:tabs>
                  <w:jc w:val="right"/>
                </w:pPr>
              </w:p>
              <w:p>
                <w:pPr>
                  <w:jc w:val="right"/>
                </w:pPr>
                <w:r>
                  <w:t>4 071</w:t>
                </w:r>
              </w:p>
            </w:tc>
          </w:tr>
          <w:tr>
            <w:trPr>
              <w:trHeight w:val="294"/>
              <w:jc w:val="center"/>
            </w:trPr>
            <w:tc>
              <w:tcPr>
                <w:tcW w:w="708" w:type="dxa"/>
              </w:tcPr>
              <w:p>
                <w:pPr>
                  <w:tabs>
                    <w:tab w:val="left" w:pos="5358"/>
                  </w:tabs>
                  <w:rPr>
                    <w:sz w:val="16"/>
                    <w:szCs w:val="16"/>
                  </w:rPr>
                </w:pPr>
              </w:p>
            </w:tc>
            <w:tc>
              <w:tcPr>
                <w:tcW w:w="6826" w:type="dxa"/>
              </w:tcPr>
              <w:p>
                <w:pPr>
                  <w:tabs>
                    <w:tab w:val="left" w:pos="5358"/>
                  </w:tabs>
                  <w:rPr>
                    <w:sz w:val="16"/>
                    <w:szCs w:val="16"/>
                  </w:rPr>
                </w:pPr>
              </w:p>
            </w:tc>
            <w:tc>
              <w:tcPr>
                <w:tcW w:w="1610" w:type="dxa"/>
                <w:vAlign w:val="bottom"/>
              </w:tcPr>
              <w:p>
                <w:pPr>
                  <w:tabs>
                    <w:tab w:val="left" w:pos="5358"/>
                  </w:tabs>
                  <w:jc w:val="right"/>
                  <w:rPr>
                    <w:sz w:val="16"/>
                    <w:szCs w:val="16"/>
                  </w:rPr>
                </w:pPr>
              </w:p>
            </w:tc>
          </w:tr>
          <w:tr>
            <w:trPr>
              <w:jc w:val="center"/>
            </w:trPr>
            <w:tc>
              <w:tcPr>
                <w:tcW w:w="708" w:type="dxa"/>
              </w:tcPr>
              <w:p>
                <w:pPr>
                  <w:tabs>
                    <w:tab w:val="left" w:pos="5358"/>
                  </w:tabs>
                </w:pPr>
                <w:r>
                  <w:t>2.</w:t>
                </w:r>
              </w:p>
            </w:tc>
            <w:tc>
              <w:tcPr>
                <w:tcW w:w="6826" w:type="dxa"/>
              </w:tcPr>
              <w:p>
                <w:pPr>
                  <w:tabs>
                    <w:tab w:val="left" w:pos="5358"/>
                  </w:tabs>
                </w:pPr>
                <w:r>
                  <w:t>Įplaukos 2016 metais:</w:t>
                </w:r>
              </w:p>
            </w:tc>
            <w:tc>
              <w:tcPr>
                <w:tcW w:w="1610" w:type="dxa"/>
                <w:vAlign w:val="bottom"/>
              </w:tcPr>
              <w:p>
                <w:pPr>
                  <w:tabs>
                    <w:tab w:val="left" w:pos="5358"/>
                  </w:tabs>
                  <w:jc w:val="right"/>
                </w:pPr>
              </w:p>
            </w:tc>
          </w:tr>
          <w:tr>
            <w:trPr>
              <w:jc w:val="center"/>
            </w:trPr>
            <w:tc>
              <w:tcPr>
                <w:tcW w:w="708" w:type="dxa"/>
              </w:tcPr>
              <w:p>
                <w:pPr>
                  <w:tabs>
                    <w:tab w:val="left" w:pos="5358"/>
                  </w:tabs>
                </w:pPr>
                <w:r>
                  <w:t>2.1.</w:t>
                </w:r>
              </w:p>
            </w:tc>
            <w:tc>
              <w:tcPr>
                <w:tcW w:w="6826" w:type="dxa"/>
              </w:tcPr>
              <w:p>
                <w:pPr>
                  <w:tabs>
                    <w:tab w:val="left" w:pos="5358"/>
                  </w:tabs>
                </w:pPr>
                <w:r>
                  <w:t>Lėšos, gautos už Valstybės įmonės Ignalinos atominės elektrinės parduotą turtą</w:t>
                </w:r>
              </w:p>
            </w:tc>
            <w:tc>
              <w:tcPr>
                <w:tcW w:w="1610" w:type="dxa"/>
                <w:vAlign w:val="bottom"/>
              </w:tcPr>
              <w:p>
                <w:pPr>
                  <w:tabs>
                    <w:tab w:val="left" w:pos="5358"/>
                  </w:tabs>
                  <w:jc w:val="right"/>
                </w:pPr>
                <w:r>
                  <w:t>2 000</w:t>
                </w:r>
              </w:p>
            </w:tc>
          </w:tr>
          <w:tr>
            <w:trPr>
              <w:jc w:val="center"/>
            </w:trPr>
            <w:tc>
              <w:tcPr>
                <w:tcW w:w="708" w:type="dxa"/>
              </w:tcPr>
              <w:p>
                <w:pPr>
                  <w:tabs>
                    <w:tab w:val="left" w:pos="5358"/>
                  </w:tabs>
                </w:pPr>
                <w:r>
                  <w:t>2.2.</w:t>
                </w:r>
              </w:p>
            </w:tc>
            <w:tc>
              <w:tcPr>
                <w:tcW w:w="6826" w:type="dxa"/>
              </w:tcPr>
              <w:p>
                <w:pPr>
                  <w:tabs>
                    <w:tab w:val="left" w:pos="5358"/>
                  </w:tabs>
                </w:pPr>
                <w:r>
                  <w:rPr>
                    <w:bCs/>
                  </w:rPr>
                  <w:t>Palūkanos už Vyriausybės vertybinius popierius</w:t>
                </w:r>
              </w:p>
            </w:tc>
            <w:tc>
              <w:tcPr>
                <w:tcW w:w="1610" w:type="dxa"/>
                <w:vAlign w:val="bottom"/>
              </w:tcPr>
              <w:p>
                <w:pPr>
                  <w:tabs>
                    <w:tab w:val="left" w:pos="5358"/>
                  </w:tabs>
                  <w:jc w:val="right"/>
                </w:pPr>
                <w:r>
                  <w:t>172</w:t>
                </w:r>
              </w:p>
            </w:tc>
          </w:tr>
          <w:tr>
            <w:trPr>
              <w:jc w:val="center"/>
            </w:trPr>
            <w:tc>
              <w:tcPr>
                <w:tcW w:w="708" w:type="dxa"/>
              </w:tcPr>
              <w:p>
                <w:pPr>
                  <w:tabs>
                    <w:tab w:val="left" w:pos="5358"/>
                  </w:tabs>
                </w:pPr>
              </w:p>
            </w:tc>
            <w:tc>
              <w:tcPr>
                <w:tcW w:w="6826" w:type="dxa"/>
              </w:tcPr>
              <w:p>
                <w:pPr>
                  <w:tabs>
                    <w:tab w:val="left" w:pos="5358"/>
                  </w:tabs>
                </w:pPr>
                <w:r>
                  <w:t>Iš viso įplaukų</w:t>
                </w:r>
              </w:p>
            </w:tc>
            <w:tc>
              <w:tcPr>
                <w:tcW w:w="1610" w:type="dxa"/>
                <w:vAlign w:val="bottom"/>
              </w:tcPr>
              <w:p>
                <w:pPr>
                  <w:tabs>
                    <w:tab w:val="left" w:pos="5358"/>
                  </w:tabs>
                  <w:jc w:val="right"/>
                </w:pPr>
                <w:r>
                  <w:t>2 172</w:t>
                </w:r>
              </w:p>
            </w:tc>
          </w:tr>
          <w:tr>
            <w:trPr>
              <w:trHeight w:val="341"/>
              <w:jc w:val="center"/>
            </w:trPr>
            <w:tc>
              <w:tcPr>
                <w:tcW w:w="7534" w:type="dxa"/>
                <w:gridSpan w:val="2"/>
              </w:tcPr>
              <w:p>
                <w:pPr>
                  <w:tabs>
                    <w:tab w:val="left" w:pos="5358"/>
                  </w:tabs>
                  <w:rPr>
                    <w:sz w:val="16"/>
                    <w:szCs w:val="16"/>
                  </w:rPr>
                </w:pPr>
              </w:p>
            </w:tc>
            <w:tc>
              <w:tcPr>
                <w:tcW w:w="1610" w:type="dxa"/>
                <w:vAlign w:val="bottom"/>
              </w:tcPr>
              <w:p>
                <w:pPr>
                  <w:tabs>
                    <w:tab w:val="left" w:pos="5358"/>
                  </w:tabs>
                  <w:jc w:val="right"/>
                  <w:rPr>
                    <w:sz w:val="16"/>
                    <w:szCs w:val="16"/>
                  </w:rPr>
                </w:pPr>
              </w:p>
            </w:tc>
          </w:tr>
          <w:tr>
            <w:trPr>
              <w:jc w:val="center"/>
            </w:trPr>
            <w:tc>
              <w:tcPr>
                <w:tcW w:w="708" w:type="dxa"/>
              </w:tcPr>
              <w:p>
                <w:pPr>
                  <w:tabs>
                    <w:tab w:val="left" w:pos="5358"/>
                  </w:tabs>
                </w:pPr>
                <w:r>
                  <w:t>3.</w:t>
                </w:r>
              </w:p>
            </w:tc>
            <w:tc>
              <w:tcPr>
                <w:tcW w:w="6826" w:type="dxa"/>
              </w:tcPr>
              <w:p>
                <w:pPr>
                  <w:tabs>
                    <w:tab w:val="left" w:pos="5358"/>
                  </w:tabs>
                </w:pPr>
                <w:r>
                  <w:t>Išlaidos 2016 metais:</w:t>
                </w:r>
              </w:p>
            </w:tc>
            <w:tc>
              <w:tcPr>
                <w:tcW w:w="1610" w:type="dxa"/>
                <w:vAlign w:val="bottom"/>
              </w:tcPr>
              <w:p>
                <w:pPr>
                  <w:tabs>
                    <w:tab w:val="left" w:pos="5358"/>
                  </w:tabs>
                  <w:jc w:val="right"/>
                </w:pPr>
              </w:p>
            </w:tc>
          </w:tr>
          <w:tr>
            <w:trPr>
              <w:jc w:val="center"/>
            </w:trPr>
            <w:tc>
              <w:tcPr>
                <w:tcW w:w="708" w:type="dxa"/>
              </w:tcPr>
              <w:p>
                <w:pPr>
                  <w:tabs>
                    <w:tab w:val="left" w:pos="5358"/>
                  </w:tabs>
                </w:pPr>
                <w:r>
                  <w:t>3.1.</w:t>
                </w:r>
              </w:p>
            </w:tc>
            <w:tc>
              <w:tcPr>
                <w:tcW w:w="6826" w:type="dxa"/>
              </w:tcPr>
              <w:p>
                <w:pPr>
                  <w:tabs>
                    <w:tab w:val="left" w:pos="5358"/>
                  </w:tabs>
                </w:pPr>
                <w:r>
                  <w:t>Valstybės įmonės Ignalinos atominės elektrinės eksploatavimo nutraukimo techniniams projektams įgyvendinti</w:t>
                </w:r>
              </w:p>
            </w:tc>
            <w:tc>
              <w:tcPr>
                <w:tcW w:w="1610" w:type="dxa"/>
                <w:vAlign w:val="bottom"/>
              </w:tcPr>
              <w:p>
                <w:pPr>
                  <w:tabs>
                    <w:tab w:val="left" w:pos="5358"/>
                  </w:tabs>
                  <w:jc w:val="right"/>
                </w:pPr>
                <w:r>
                  <w:t>753</w:t>
                </w:r>
              </w:p>
            </w:tc>
          </w:tr>
          <w:tr>
            <w:trPr>
              <w:jc w:val="center"/>
            </w:trPr>
            <w:tc>
              <w:tcPr>
                <w:tcW w:w="708" w:type="dxa"/>
              </w:tcPr>
              <w:p>
                <w:pPr>
                  <w:tabs>
                    <w:tab w:val="left" w:pos="5358"/>
                  </w:tabs>
                </w:pPr>
                <w:r>
                  <w:t>3.2.</w:t>
                </w:r>
              </w:p>
            </w:tc>
            <w:tc>
              <w:tcPr>
                <w:tcW w:w="6826" w:type="dxa"/>
              </w:tcPr>
              <w:p>
                <w:pPr>
                  <w:tabs>
                    <w:tab w:val="left" w:pos="5358"/>
                  </w:tabs>
                </w:pPr>
                <w:r>
                  <w:t>Valstybės įmonės Ignalinos atominės elektrinės sustabdytų blokų priežiūrai ir fizinei saugai užtikrinti</w:t>
                </w:r>
              </w:p>
            </w:tc>
            <w:tc>
              <w:tcPr>
                <w:tcW w:w="1610" w:type="dxa"/>
                <w:vAlign w:val="bottom"/>
              </w:tcPr>
              <w:p>
                <w:pPr>
                  <w:tabs>
                    <w:tab w:val="left" w:pos="5358"/>
                  </w:tabs>
                  <w:jc w:val="right"/>
                </w:pPr>
                <w:r>
                  <w:t>3 416</w:t>
                </w:r>
              </w:p>
            </w:tc>
          </w:tr>
          <w:tr>
            <w:trPr>
              <w:trHeight w:val="579"/>
              <w:jc w:val="center"/>
            </w:trPr>
            <w:tc>
              <w:tcPr>
                <w:tcW w:w="708" w:type="dxa"/>
              </w:tcPr>
              <w:p>
                <w:pPr>
                  <w:tabs>
                    <w:tab w:val="left" w:pos="5358"/>
                  </w:tabs>
                </w:pPr>
                <w:r>
                  <w:t>3.3.</w:t>
                </w:r>
              </w:p>
            </w:tc>
            <w:tc>
              <w:tcPr>
                <w:tcW w:w="6826" w:type="dxa"/>
              </w:tcPr>
              <w:p>
                <w:pPr>
                  <w:tabs>
                    <w:tab w:val="left" w:pos="5358"/>
                  </w:tabs>
                </w:pPr>
                <w:r>
                  <w:rPr>
                    <w:bCs/>
                  </w:rPr>
                  <w:t>Neigiamiems socialiniams ir ekonominiams Valstybės įmonės Ignalinos atominės elektrinės eksploatavimo nutraukimo padariniams Lietuvos Respublikos Ignalinos atominės elektrinės regione sušvelninti</w:t>
                </w:r>
              </w:p>
            </w:tc>
            <w:tc>
              <w:tcPr>
                <w:tcW w:w="1610" w:type="dxa"/>
                <w:vAlign w:val="bottom"/>
              </w:tcPr>
              <w:p>
                <w:pPr>
                  <w:tabs>
                    <w:tab w:val="left" w:pos="5358"/>
                  </w:tabs>
                  <w:jc w:val="right"/>
                </w:pPr>
                <w:r>
                  <w:t>1 750</w:t>
                </w:r>
              </w:p>
            </w:tc>
          </w:tr>
          <w:tr>
            <w:trPr>
              <w:jc w:val="center"/>
            </w:trPr>
            <w:tc>
              <w:tcPr>
                <w:tcW w:w="708" w:type="dxa"/>
              </w:tcPr>
              <w:p>
                <w:pPr>
                  <w:tabs>
                    <w:tab w:val="left" w:pos="5358"/>
                  </w:tabs>
                </w:pPr>
                <w:r>
                  <w:t>3.4.</w:t>
                </w:r>
              </w:p>
            </w:tc>
            <w:tc>
              <w:tcPr>
                <w:tcW w:w="6826" w:type="dxa"/>
              </w:tcPr>
              <w:p>
                <w:pPr>
                  <w:tabs>
                    <w:tab w:val="left" w:pos="5358"/>
                  </w:tabs>
                </w:pPr>
                <w:r>
                  <w:t>Valstybės įmonės Ignalinos atominės elektrinės radioaktyviosioms atliekoms, įskaitant panaudotą branduolinį kurą, tvarkyti, saugoti ir laidoti</w:t>
                </w:r>
              </w:p>
            </w:tc>
            <w:tc>
              <w:tcPr>
                <w:tcW w:w="1610" w:type="dxa"/>
                <w:vAlign w:val="bottom"/>
              </w:tcPr>
              <w:p>
                <w:pPr>
                  <w:tabs>
                    <w:tab w:val="left" w:pos="5358"/>
                  </w:tabs>
                  <w:jc w:val="right"/>
                </w:pPr>
                <w:r>
                  <w:t>237</w:t>
                </w:r>
              </w:p>
            </w:tc>
          </w:tr>
          <w:tr>
            <w:trPr>
              <w:jc w:val="center"/>
            </w:trPr>
            <w:tc>
              <w:tcPr>
                <w:tcW w:w="708" w:type="dxa"/>
              </w:tcPr>
              <w:p>
                <w:pPr>
                  <w:tabs>
                    <w:tab w:val="left" w:pos="5358"/>
                  </w:tabs>
                </w:pPr>
                <w:r>
                  <w:t>3.5.</w:t>
                </w:r>
              </w:p>
            </w:tc>
            <w:tc>
              <w:tcPr>
                <w:tcW w:w="6826" w:type="dxa"/>
              </w:tcPr>
              <w:p>
                <w:pPr>
                  <w:tabs>
                    <w:tab w:val="left" w:pos="5358"/>
                  </w:tabs>
                </w:pPr>
                <w:r>
                  <w:t>Valstybės įmonės Ignalinos atominės elektrinės eksploatavimo nutraukimo fondo administravimo išlaidoms padengti</w:t>
                </w:r>
              </w:p>
            </w:tc>
            <w:tc>
              <w:tcPr>
                <w:tcW w:w="1610" w:type="dxa"/>
                <w:vAlign w:val="bottom"/>
              </w:tcPr>
              <w:p>
                <w:pPr>
                  <w:tabs>
                    <w:tab w:val="left" w:pos="5358"/>
                  </w:tabs>
                  <w:jc w:val="right"/>
                </w:pPr>
                <w:r>
                  <w:t xml:space="preserve">81 </w:t>
                </w:r>
              </w:p>
            </w:tc>
          </w:tr>
          <w:tr>
            <w:trPr>
              <w:trHeight w:val="220"/>
              <w:jc w:val="center"/>
            </w:trPr>
            <w:tc>
              <w:tcPr>
                <w:tcW w:w="708" w:type="dxa"/>
              </w:tcPr>
              <w:p>
                <w:pPr>
                  <w:tabs>
                    <w:tab w:val="left" w:pos="5358"/>
                  </w:tabs>
                </w:pPr>
                <w:r>
                  <w:t>3.6.</w:t>
                </w:r>
              </w:p>
            </w:tc>
            <w:tc>
              <w:tcPr>
                <w:tcW w:w="6826" w:type="dxa"/>
              </w:tcPr>
              <w:p>
                <w:pPr>
                  <w:tabs>
                    <w:tab w:val="left" w:pos="5358"/>
                  </w:tabs>
                </w:pPr>
                <w:r>
                  <w:t>Kitos išlaidos*</w:t>
                </w:r>
              </w:p>
            </w:tc>
            <w:tc>
              <w:tcPr>
                <w:tcW w:w="1610" w:type="dxa"/>
                <w:vAlign w:val="bottom"/>
              </w:tcPr>
              <w:p>
                <w:pPr>
                  <w:tabs>
                    <w:tab w:val="left" w:pos="5358"/>
                  </w:tabs>
                  <w:jc w:val="right"/>
                </w:pPr>
                <w:r>
                  <w:t>6</w:t>
                </w:r>
              </w:p>
            </w:tc>
          </w:tr>
          <w:tr>
            <w:trPr>
              <w:trHeight w:val="299"/>
              <w:jc w:val="center"/>
            </w:trPr>
            <w:tc>
              <w:tcPr>
                <w:tcW w:w="708" w:type="dxa"/>
              </w:tcPr>
              <w:p>
                <w:pPr>
                  <w:tabs>
                    <w:tab w:val="left" w:pos="5358"/>
                  </w:tabs>
                </w:pPr>
              </w:p>
            </w:tc>
            <w:tc>
              <w:tcPr>
                <w:tcW w:w="6826" w:type="dxa"/>
              </w:tcPr>
              <w:p>
                <w:pPr>
                  <w:tabs>
                    <w:tab w:val="left" w:pos="5358"/>
                  </w:tabs>
                </w:pPr>
                <w:r>
                  <w:t>Iš viso išlaidų</w:t>
                </w:r>
              </w:p>
            </w:tc>
            <w:tc>
              <w:tcPr>
                <w:tcW w:w="1610" w:type="dxa"/>
                <w:vAlign w:val="bottom"/>
              </w:tcPr>
              <w:p>
                <w:pPr>
                  <w:tabs>
                    <w:tab w:val="left" w:pos="5358"/>
                  </w:tabs>
                  <w:jc w:val="right"/>
                </w:pPr>
                <w:r>
                  <w:t>6 243</w:t>
                </w:r>
              </w:p>
            </w:tc>
          </w:tr>
          <w:tr>
            <w:trPr>
              <w:trHeight w:val="116"/>
              <w:jc w:val="center"/>
            </w:trPr>
            <w:tc>
              <w:tcPr>
                <w:tcW w:w="708" w:type="dxa"/>
              </w:tcPr>
              <w:p>
                <w:pPr>
                  <w:tabs>
                    <w:tab w:val="left" w:pos="5358"/>
                  </w:tabs>
                  <w:rPr>
                    <w:sz w:val="16"/>
                    <w:szCs w:val="16"/>
                  </w:rPr>
                </w:pPr>
              </w:p>
            </w:tc>
            <w:tc>
              <w:tcPr>
                <w:tcW w:w="6826" w:type="dxa"/>
              </w:tcPr>
              <w:p>
                <w:pPr>
                  <w:tabs>
                    <w:tab w:val="left" w:pos="5358"/>
                  </w:tabs>
                  <w:rPr>
                    <w:b/>
                    <w:bCs/>
                    <w:sz w:val="16"/>
                    <w:szCs w:val="16"/>
                  </w:rPr>
                </w:pPr>
              </w:p>
            </w:tc>
            <w:tc>
              <w:tcPr>
                <w:tcW w:w="1610" w:type="dxa"/>
                <w:vAlign w:val="bottom"/>
              </w:tcPr>
              <w:p>
                <w:pPr>
                  <w:tabs>
                    <w:tab w:val="left" w:pos="5358"/>
                  </w:tabs>
                  <w:jc w:val="right"/>
                  <w:rPr>
                    <w:sz w:val="16"/>
                    <w:szCs w:val="16"/>
                  </w:rPr>
                </w:pPr>
              </w:p>
            </w:tc>
          </w:tr>
          <w:tr>
            <w:trPr>
              <w:trHeight w:val="299"/>
              <w:jc w:val="center"/>
            </w:trPr>
            <w:tc>
              <w:tcPr>
                <w:tcW w:w="708" w:type="dxa"/>
              </w:tcPr>
              <w:p>
                <w:pPr>
                  <w:tabs>
                    <w:tab w:val="left" w:pos="5358"/>
                  </w:tabs>
                </w:pPr>
                <w:r>
                  <w:t>4.</w:t>
                </w:r>
              </w:p>
            </w:tc>
            <w:tc>
              <w:tcPr>
                <w:tcW w:w="6826" w:type="dxa"/>
              </w:tcPr>
              <w:p>
                <w:pPr>
                  <w:tabs>
                    <w:tab w:val="left" w:pos="5358"/>
                  </w:tabs>
                  <w:rPr>
                    <w:b/>
                    <w:bCs/>
                  </w:rPr>
                </w:pPr>
                <w:r>
                  <w:t>Numatomas Valstybės įmonės Ignalinos atominės elektrinės eksploatavimo nutraukimo fondo lėšų likutis 2017 m. sausio 1 d.</w:t>
                </w:r>
              </w:p>
            </w:tc>
            <w:tc>
              <w:tcPr>
                <w:tcW w:w="1610" w:type="dxa"/>
                <w:vAlign w:val="bottom"/>
              </w:tcPr>
              <w:p>
                <w:pPr>
                  <w:tabs>
                    <w:tab w:val="left" w:pos="5358"/>
                  </w:tabs>
                  <w:jc w:val="right"/>
                </w:pPr>
                <w:r>
                  <w:t>0</w:t>
                </w:r>
              </w:p>
            </w:tc>
          </w:tr>
        </w:tbl>
        <w:p>
          <w:pPr>
            <w:ind w:right="-285"/>
            <w:rPr>
              <w:iCs/>
            </w:rPr>
          </w:pPr>
        </w:p>
        <w:p>
          <w:pPr>
            <w:jc w:val="both"/>
          </w:pPr>
          <w:r>
            <w:rPr>
              <w:iCs/>
            </w:rPr>
            <w:t xml:space="preserve">* </w:t>
          </w:r>
          <w:r>
            <w:rPr>
              <w:bCs/>
            </w:rPr>
            <w:t>Mokėjimo pavedimų užsienio valiuta išlaidos, komisinis mokestis Lietuvos Respublikos Vyriausybės vertybiniams popieriams įsigyti ir saugoti, valiutos keitimo paslaugų išlaidos, Lietuvos Respublikos Vyriausybės vertybinių popierių nominaliosios vertės ir pirkimo kainos skirtumas, palūkanų išlaidos ir kitos išlaidos.</w:t>
          </w:r>
        </w:p>
        <w:p/>
        <w:p>
          <w:pPr>
            <w:sectPr>
              <w:pgSz w:w="11906" w:h="16838" w:code="9"/>
              <w:pgMar w:top="1134" w:right="1134" w:bottom="1134" w:left="1701" w:header="567" w:footer="567" w:gutter="0"/>
              <w:pgNumType w:start="1"/>
              <w:cols w:space="1296"/>
              <w:titlePg/>
              <w:docGrid w:linePitch="360"/>
            </w:sectPr>
          </w:pPr>
        </w:p>
        <w:p>
          <w:pPr>
            <w:tabs>
              <w:tab w:val="center" w:pos="4153"/>
              <w:tab w:val="right" w:pos="8306"/>
            </w:tabs>
            <w:rPr>
              <w:rFonts w:ascii="TimesLT" w:hAnsi="TimesLT"/>
              <w:lang w:val="en-US"/>
            </w:rPr>
          </w:pPr>
        </w:p>
      </w:sdtContent>
    </w:sdt>
    <w:sdt>
      <w:sdtPr>
        <w:alias w:val="11 pr."/>
        <w:tag w:val="part_e47a47ecd9a84c7ebb4355ebf42c8586"/>
        <w:lock w:val="sdtLocked"/>
        <w:richText/>
      </w:sdtPr>
      <w:sdtContent>
        <w:p>
          <w:pPr>
            <w:ind w:firstLine="5670"/>
          </w:pPr>
          <w:r>
            <w:t>Lietuvos Respublikos</w:t>
          </w:r>
        </w:p>
        <w:p>
          <w:pPr>
            <w:ind w:firstLine="5670"/>
          </w:pPr>
          <w:r>
            <w:t>2016 metų valstybės biudžeto ir</w:t>
          </w:r>
        </w:p>
        <w:p>
          <w:pPr>
            <w:ind w:firstLine="5670"/>
          </w:pPr>
          <w:r>
            <w:t>savivaldybių biudžetų finansinių</w:t>
          </w:r>
        </w:p>
        <w:p>
          <w:pPr>
            <w:ind w:firstLine="5670"/>
          </w:pPr>
          <w:r>
            <w:t>rodiklių patvirtinimo įstatymo</w:t>
          </w:r>
        </w:p>
        <w:p>
          <w:pPr>
            <w:ind w:firstLine="5670"/>
          </w:pPr>
          <w:sdt>
            <w:sdtPr>
              <w:alias w:val="Numeris"/>
              <w:tag w:val="nr_e47a47ecd9a84c7ebb4355ebf42c8586"/>
              <w:lock w:val="sdtLocked"/>
              <w:richText/>
            </w:sdtPr>
            <w:sdtContent>
              <w:r>
                <w:t>11</w:t>
              </w:r>
            </w:sdtContent>
          </w:sdt>
          <w:r>
            <w:t xml:space="preserve"> priedas</w:t>
          </w:r>
        </w:p>
        <w:p/>
        <w:p>
          <w:pPr>
            <w:jc w:val="center"/>
            <w:rPr>
              <w:b/>
            </w:rPr>
          </w:pPr>
          <w:sdt>
            <w:sdtPr>
              <w:alias w:val="Pavadinimas"/>
              <w:tag w:val="title_e47a47ecd9a84c7ebb4355ebf42c8586"/>
              <w:lock w:val="sdtLocked"/>
              <w:richText/>
            </w:sdtPr>
            <w:sdtContent>
              <w:r>
                <w:rPr>
                  <w:b/>
                </w:rPr>
                <w:t>2016 METŲ GARANTINIO FONDO LĖŠŲ SĄMATA</w:t>
              </w:r>
            </w:sdtContent>
          </w:sdt>
        </w:p>
        <w:p/>
        <w:tbl>
          <w:tblPr>
            <w:tblW w:w="0" w:type="auto"/>
            <w:jc w:val="center"/>
            <w:tblLook w:val="04A0" w:firstRow="1" w:lastRow="0" w:firstColumn="1" w:lastColumn="0" w:noHBand="0" w:noVBand="1"/>
          </w:tblPr>
          <w:tblGrid>
            <w:gridCol w:w="576"/>
            <w:gridCol w:w="6540"/>
            <w:gridCol w:w="2011"/>
          </w:tblGrid>
          <w:tr>
            <w:trPr>
              <w:trHeight w:val="552"/>
              <w:jc w:val="center"/>
            </w:trPr>
            <w:tc>
              <w:tcPr>
                <w:tcW w:w="576" w:type="dxa"/>
              </w:tcPr>
              <w:p>
                <w:pPr>
                  <w:shd w:val="clear" w:color="auto" w:fill="FFFFFF"/>
                  <w:contextualSpacing/>
                  <w:jc w:val="center"/>
                </w:pPr>
              </w:p>
            </w:tc>
            <w:tc>
              <w:tcPr>
                <w:tcW w:w="6540" w:type="dxa"/>
              </w:tcPr>
              <w:p>
                <w:pPr>
                  <w:shd w:val="clear" w:color="auto" w:fill="FFFFFF"/>
                  <w:contextualSpacing/>
                  <w:rPr>
                    <w:bCs/>
                  </w:rPr>
                </w:pPr>
              </w:p>
            </w:tc>
            <w:tc>
              <w:tcPr>
                <w:tcW w:w="2011" w:type="dxa"/>
              </w:tcPr>
              <w:p>
                <w:pPr>
                  <w:jc w:val="right"/>
                  <w:rPr>
                    <w:bCs/>
                    <w:color w:val="000000"/>
                  </w:rPr>
                </w:pPr>
                <w:r>
                  <w:t>Tūkst. Eur</w:t>
                </w:r>
              </w:p>
            </w:tc>
          </w:tr>
          <w:tr>
            <w:trPr>
              <w:trHeight w:val="339"/>
              <w:jc w:val="center"/>
            </w:trPr>
            <w:tc>
              <w:tcPr>
                <w:tcW w:w="576" w:type="dxa"/>
              </w:tcPr>
              <w:p>
                <w:pPr>
                  <w:shd w:val="clear" w:color="auto" w:fill="FFFFFF"/>
                  <w:contextualSpacing/>
                  <w:jc w:val="center"/>
                </w:pPr>
                <w:r>
                  <w:t>1.</w:t>
                </w:r>
              </w:p>
            </w:tc>
            <w:tc>
              <w:tcPr>
                <w:tcW w:w="6540" w:type="dxa"/>
              </w:tcPr>
              <w:p>
                <w:pPr>
                  <w:shd w:val="clear" w:color="auto" w:fill="FFFFFF"/>
                  <w:contextualSpacing/>
                </w:pPr>
                <w:r>
                  <w:rPr>
                    <w:bCs/>
                  </w:rPr>
                  <w:t>Numatomas lėšų likutis 2016 m. sausio 1 d.</w:t>
                </w:r>
              </w:p>
            </w:tc>
            <w:tc>
              <w:tcPr>
                <w:tcW w:w="2011" w:type="dxa"/>
              </w:tcPr>
              <w:p>
                <w:pPr>
                  <w:jc w:val="right"/>
                </w:pPr>
                <w:r>
                  <w:rPr>
                    <w:bCs/>
                    <w:color w:val="000000"/>
                  </w:rPr>
                  <w:t>20 000</w:t>
                </w:r>
              </w:p>
            </w:tc>
          </w:tr>
          <w:tr>
            <w:trPr>
              <w:trHeight w:val="415"/>
              <w:jc w:val="center"/>
            </w:trPr>
            <w:tc>
              <w:tcPr>
                <w:tcW w:w="576" w:type="dxa"/>
              </w:tcPr>
              <w:p>
                <w:pPr>
                  <w:shd w:val="clear" w:color="auto" w:fill="FFFFFF"/>
                  <w:contextualSpacing/>
                  <w:jc w:val="center"/>
                </w:pPr>
                <w:r>
                  <w:t>2.</w:t>
                </w:r>
              </w:p>
            </w:tc>
            <w:tc>
              <w:tcPr>
                <w:tcW w:w="6540" w:type="dxa"/>
              </w:tcPr>
              <w:p>
                <w:pPr>
                  <w:shd w:val="clear" w:color="auto" w:fill="FFFFFF"/>
                  <w:contextualSpacing/>
                </w:pPr>
                <w:r>
                  <w:rPr>
                    <w:bCs/>
                  </w:rPr>
                  <w:t>Pajamos ir įplaukos:</w:t>
                </w:r>
              </w:p>
            </w:tc>
            <w:tc>
              <w:tcPr>
                <w:tcW w:w="2011" w:type="dxa"/>
              </w:tcPr>
              <w:p>
                <w:pPr>
                  <w:shd w:val="clear" w:color="auto" w:fill="FFFFFF"/>
                  <w:contextualSpacing/>
                  <w:jc w:val="right"/>
                </w:pPr>
              </w:p>
            </w:tc>
          </w:tr>
          <w:tr>
            <w:trPr>
              <w:trHeight w:val="422"/>
              <w:jc w:val="center"/>
            </w:trPr>
            <w:tc>
              <w:tcPr>
                <w:tcW w:w="576" w:type="dxa"/>
              </w:tcPr>
              <w:p>
                <w:pPr>
                  <w:shd w:val="clear" w:color="auto" w:fill="FFFFFF"/>
                  <w:contextualSpacing/>
                  <w:jc w:val="center"/>
                </w:pPr>
                <w:r>
                  <w:t>2.1.</w:t>
                </w:r>
              </w:p>
            </w:tc>
            <w:tc>
              <w:tcPr>
                <w:tcW w:w="6540" w:type="dxa"/>
              </w:tcPr>
              <w:p>
                <w:pPr>
                  <w:shd w:val="clear" w:color="auto" w:fill="FFFFFF"/>
                  <w:contextualSpacing/>
                </w:pPr>
                <w:r>
                  <w:t>Darbdavių įmokos</w:t>
                </w:r>
              </w:p>
            </w:tc>
            <w:tc>
              <w:tcPr>
                <w:tcW w:w="2011" w:type="dxa"/>
              </w:tcPr>
              <w:p>
                <w:pPr>
                  <w:jc w:val="right"/>
                </w:pPr>
                <w:r>
                  <w:rPr>
                    <w:color w:val="000000"/>
                  </w:rPr>
                  <w:t>13 800</w:t>
                </w:r>
              </w:p>
            </w:tc>
          </w:tr>
          <w:tr>
            <w:trPr>
              <w:trHeight w:val="552"/>
              <w:jc w:val="center"/>
            </w:trPr>
            <w:tc>
              <w:tcPr>
                <w:tcW w:w="576" w:type="dxa"/>
              </w:tcPr>
              <w:p>
                <w:pPr>
                  <w:shd w:val="clear" w:color="auto" w:fill="FFFFFF"/>
                  <w:contextualSpacing/>
                  <w:jc w:val="center"/>
                </w:pPr>
                <w:r>
                  <w:t>2.2.</w:t>
                </w:r>
              </w:p>
            </w:tc>
            <w:tc>
              <w:tcPr>
                <w:tcW w:w="6540" w:type="dxa"/>
              </w:tcPr>
              <w:p>
                <w:pPr>
                  <w:shd w:val="clear" w:color="auto" w:fill="FFFFFF"/>
                  <w:contextualSpacing/>
                </w:pPr>
                <w:r>
                  <w:t>Lėšos, gautos iš darbdavių Garantinio fondo administratoriaus reikalavimams tenkinti</w:t>
                </w:r>
              </w:p>
            </w:tc>
            <w:tc>
              <w:tcPr>
                <w:tcW w:w="2011" w:type="dxa"/>
              </w:tcPr>
              <w:p>
                <w:pPr>
                  <w:jc w:val="right"/>
                  <w:rPr>
                    <w:color w:val="000000"/>
                  </w:rPr>
                </w:pPr>
                <w:r>
                  <w:rPr>
                    <w:color w:val="000000"/>
                  </w:rPr>
                  <w:t>885</w:t>
                </w:r>
              </w:p>
            </w:tc>
          </w:tr>
          <w:tr>
            <w:trPr>
              <w:trHeight w:val="421"/>
              <w:jc w:val="center"/>
            </w:trPr>
            <w:tc>
              <w:tcPr>
                <w:tcW w:w="576" w:type="dxa"/>
              </w:tcPr>
              <w:p>
                <w:pPr>
                  <w:shd w:val="clear" w:color="auto" w:fill="FFFFFF"/>
                  <w:contextualSpacing/>
                  <w:jc w:val="center"/>
                </w:pPr>
                <w:r>
                  <w:t>2.3.</w:t>
                </w:r>
              </w:p>
            </w:tc>
            <w:tc>
              <w:tcPr>
                <w:tcW w:w="6540" w:type="dxa"/>
              </w:tcPr>
              <w:p>
                <w:pPr>
                  <w:shd w:val="clear" w:color="auto" w:fill="FFFFFF"/>
                  <w:contextualSpacing/>
                </w:pPr>
                <w:r>
                  <w:t>Pajamos už investuotas laikinai laisvas Garantinio fondo lėšas</w:t>
                </w:r>
              </w:p>
            </w:tc>
            <w:tc>
              <w:tcPr>
                <w:tcW w:w="2011" w:type="dxa"/>
              </w:tcPr>
              <w:p>
                <w:pPr>
                  <w:jc w:val="right"/>
                </w:pPr>
                <w:r>
                  <w:rPr>
                    <w:color w:val="000000"/>
                  </w:rPr>
                  <w:t>1 625</w:t>
                </w:r>
              </w:p>
            </w:tc>
          </w:tr>
          <w:tr>
            <w:trPr>
              <w:trHeight w:val="399"/>
              <w:jc w:val="center"/>
            </w:trPr>
            <w:tc>
              <w:tcPr>
                <w:tcW w:w="576" w:type="dxa"/>
              </w:tcPr>
              <w:p>
                <w:pPr>
                  <w:shd w:val="clear" w:color="auto" w:fill="FFFFFF"/>
                  <w:contextualSpacing/>
                  <w:jc w:val="center"/>
                </w:pPr>
                <w:r>
                  <w:t>3.</w:t>
                </w:r>
              </w:p>
            </w:tc>
            <w:tc>
              <w:tcPr>
                <w:tcW w:w="6540" w:type="dxa"/>
              </w:tcPr>
              <w:p>
                <w:pPr>
                  <w:shd w:val="clear" w:color="auto" w:fill="FFFFFF"/>
                  <w:contextualSpacing/>
                </w:pPr>
                <w:r>
                  <w:rPr>
                    <w:bCs/>
                  </w:rPr>
                  <w:t>Iš viso pajamų ir įplaukų</w:t>
                </w:r>
              </w:p>
            </w:tc>
            <w:tc>
              <w:tcPr>
                <w:tcW w:w="2011" w:type="dxa"/>
              </w:tcPr>
              <w:p>
                <w:pPr>
                  <w:jc w:val="right"/>
                </w:pPr>
                <w:r>
                  <w:rPr>
                    <w:bCs/>
                    <w:color w:val="000000"/>
                  </w:rPr>
                  <w:t>16 310</w:t>
                </w:r>
              </w:p>
            </w:tc>
          </w:tr>
          <w:tr>
            <w:trPr>
              <w:trHeight w:val="433"/>
              <w:jc w:val="center"/>
            </w:trPr>
            <w:tc>
              <w:tcPr>
                <w:tcW w:w="576" w:type="dxa"/>
              </w:tcPr>
              <w:p>
                <w:pPr>
                  <w:shd w:val="clear" w:color="auto" w:fill="FFFFFF"/>
                  <w:contextualSpacing/>
                  <w:jc w:val="center"/>
                </w:pPr>
                <w:r>
                  <w:t>4.</w:t>
                </w:r>
              </w:p>
            </w:tc>
            <w:tc>
              <w:tcPr>
                <w:tcW w:w="6540" w:type="dxa"/>
              </w:tcPr>
              <w:p>
                <w:pPr>
                  <w:shd w:val="clear" w:color="auto" w:fill="FFFFFF"/>
                  <w:contextualSpacing/>
                </w:pPr>
                <w:r>
                  <w:rPr>
                    <w:bCs/>
                  </w:rPr>
                  <w:t>Bendra pajamų, įplaukų ir likučio suma</w:t>
                </w:r>
              </w:p>
            </w:tc>
            <w:tc>
              <w:tcPr>
                <w:tcW w:w="2011" w:type="dxa"/>
              </w:tcPr>
              <w:p>
                <w:pPr>
                  <w:jc w:val="right"/>
                </w:pPr>
                <w:r>
                  <w:rPr>
                    <w:bCs/>
                    <w:color w:val="000000"/>
                  </w:rPr>
                  <w:t>36 310</w:t>
                </w:r>
              </w:p>
            </w:tc>
          </w:tr>
          <w:tr>
            <w:trPr>
              <w:trHeight w:val="398"/>
              <w:jc w:val="center"/>
            </w:trPr>
            <w:tc>
              <w:tcPr>
                <w:tcW w:w="576" w:type="dxa"/>
              </w:tcPr>
              <w:p>
                <w:pPr>
                  <w:shd w:val="clear" w:color="auto" w:fill="FFFFFF"/>
                  <w:contextualSpacing/>
                  <w:jc w:val="center"/>
                </w:pPr>
                <w:r>
                  <w:t>5.</w:t>
                </w:r>
              </w:p>
            </w:tc>
            <w:tc>
              <w:tcPr>
                <w:tcW w:w="6540" w:type="dxa"/>
              </w:tcPr>
              <w:p>
                <w:pPr>
                  <w:shd w:val="clear" w:color="auto" w:fill="FFFFFF"/>
                  <w:contextualSpacing/>
                </w:pPr>
                <w:r>
                  <w:rPr>
                    <w:bCs/>
                  </w:rPr>
                  <w:t>Išlaidos:</w:t>
                </w:r>
              </w:p>
            </w:tc>
            <w:tc>
              <w:tcPr>
                <w:tcW w:w="2011" w:type="dxa"/>
              </w:tcPr>
              <w:p>
                <w:pPr>
                  <w:shd w:val="clear" w:color="auto" w:fill="FFFFFF"/>
                  <w:contextualSpacing/>
                  <w:jc w:val="right"/>
                </w:pPr>
              </w:p>
            </w:tc>
          </w:tr>
          <w:tr>
            <w:trPr>
              <w:trHeight w:val="431"/>
              <w:jc w:val="center"/>
            </w:trPr>
            <w:tc>
              <w:tcPr>
                <w:tcW w:w="576" w:type="dxa"/>
              </w:tcPr>
              <w:p>
                <w:pPr>
                  <w:shd w:val="clear" w:color="auto" w:fill="FFFFFF"/>
                  <w:contextualSpacing/>
                  <w:jc w:val="center"/>
                </w:pPr>
                <w:r>
                  <w:t>5.1.</w:t>
                </w:r>
              </w:p>
            </w:tc>
            <w:tc>
              <w:tcPr>
                <w:tcW w:w="6540" w:type="dxa"/>
              </w:tcPr>
              <w:p>
                <w:pPr>
                  <w:shd w:val="clear" w:color="auto" w:fill="FFFFFF"/>
                  <w:contextualSpacing/>
                </w:pPr>
                <w:r>
                  <w:t>Išmokos darbuotojams</w:t>
                </w:r>
              </w:p>
            </w:tc>
            <w:tc>
              <w:tcPr>
                <w:tcW w:w="2011" w:type="dxa"/>
              </w:tcPr>
              <w:p>
                <w:pPr>
                  <w:jc w:val="right"/>
                </w:pPr>
                <w:r>
                  <w:rPr>
                    <w:color w:val="000000"/>
                  </w:rPr>
                  <w:t>10 300</w:t>
                </w:r>
              </w:p>
            </w:tc>
          </w:tr>
          <w:tr>
            <w:trPr>
              <w:trHeight w:val="409"/>
              <w:jc w:val="center"/>
            </w:trPr>
            <w:tc>
              <w:tcPr>
                <w:tcW w:w="576" w:type="dxa"/>
              </w:tcPr>
              <w:p>
                <w:pPr>
                  <w:shd w:val="clear" w:color="auto" w:fill="FFFFFF"/>
                  <w:contextualSpacing/>
                  <w:jc w:val="center"/>
                </w:pPr>
                <w:r>
                  <w:t>5.2.</w:t>
                </w:r>
              </w:p>
            </w:tc>
            <w:tc>
              <w:tcPr>
                <w:tcW w:w="6540" w:type="dxa"/>
              </w:tcPr>
              <w:p>
                <w:pPr>
                  <w:shd w:val="clear" w:color="auto" w:fill="FFFFFF"/>
                  <w:contextualSpacing/>
                </w:pPr>
                <w:r>
                  <w:t>Apmokėjimas už paraiškų parengimą ir banko operacijas</w:t>
                </w:r>
              </w:p>
            </w:tc>
            <w:tc>
              <w:tcPr>
                <w:tcW w:w="2011" w:type="dxa"/>
              </w:tcPr>
              <w:p>
                <w:pPr>
                  <w:jc w:val="right"/>
                </w:pPr>
                <w:r>
                  <w:rPr>
                    <w:color w:val="000000"/>
                  </w:rPr>
                  <w:t>60</w:t>
                </w:r>
              </w:p>
            </w:tc>
          </w:tr>
          <w:tr>
            <w:trPr>
              <w:trHeight w:val="415"/>
              <w:jc w:val="center"/>
            </w:trPr>
            <w:tc>
              <w:tcPr>
                <w:tcW w:w="576" w:type="dxa"/>
              </w:tcPr>
              <w:p>
                <w:pPr>
                  <w:shd w:val="clear" w:color="auto" w:fill="FFFFFF"/>
                  <w:contextualSpacing/>
                  <w:jc w:val="center"/>
                </w:pPr>
                <w:r>
                  <w:t>5.3.</w:t>
                </w:r>
              </w:p>
            </w:tc>
            <w:tc>
              <w:tcPr>
                <w:tcW w:w="6540" w:type="dxa"/>
              </w:tcPr>
              <w:p>
                <w:pPr>
                  <w:shd w:val="clear" w:color="auto" w:fill="FFFFFF"/>
                  <w:contextualSpacing/>
                </w:pPr>
                <w:r>
                  <w:t>Garantinio fondo administravimo išlaidos</w:t>
                </w:r>
              </w:p>
            </w:tc>
            <w:tc>
              <w:tcPr>
                <w:tcW w:w="2011" w:type="dxa"/>
              </w:tcPr>
              <w:p>
                <w:pPr>
                  <w:shd w:val="clear" w:color="auto" w:fill="FFFFFF"/>
                  <w:contextualSpacing/>
                  <w:jc w:val="right"/>
                </w:pPr>
                <w:r>
                  <w:t>235</w:t>
                </w:r>
              </w:p>
            </w:tc>
          </w:tr>
          <w:tr>
            <w:trPr>
              <w:trHeight w:val="408"/>
              <w:jc w:val="center"/>
            </w:trPr>
            <w:tc>
              <w:tcPr>
                <w:tcW w:w="576" w:type="dxa"/>
              </w:tcPr>
              <w:p>
                <w:pPr>
                  <w:shd w:val="clear" w:color="auto" w:fill="FFFFFF"/>
                  <w:contextualSpacing/>
                  <w:jc w:val="center"/>
                </w:pPr>
                <w:r>
                  <w:t>5.4.</w:t>
                </w:r>
              </w:p>
            </w:tc>
            <w:tc>
              <w:tcPr>
                <w:tcW w:w="6540" w:type="dxa"/>
              </w:tcPr>
              <w:p>
                <w:pPr>
                  <w:shd w:val="clear" w:color="auto" w:fill="FFFFFF"/>
                  <w:contextualSpacing/>
                </w:pPr>
                <w:r>
                  <w:t>Laikinai laisvų Garantinio fondo lėšų investavimo išlaidos</w:t>
                </w:r>
              </w:p>
            </w:tc>
            <w:tc>
              <w:tcPr>
                <w:tcW w:w="2011" w:type="dxa"/>
              </w:tcPr>
              <w:p>
                <w:pPr>
                  <w:jc w:val="right"/>
                </w:pPr>
                <w:r>
                  <w:rPr>
                    <w:color w:val="000000"/>
                  </w:rPr>
                  <w:t>5</w:t>
                </w:r>
              </w:p>
            </w:tc>
          </w:tr>
          <w:tr>
            <w:trPr>
              <w:trHeight w:val="427"/>
              <w:jc w:val="center"/>
            </w:trPr>
            <w:tc>
              <w:tcPr>
                <w:tcW w:w="576" w:type="dxa"/>
              </w:tcPr>
              <w:p>
                <w:pPr>
                  <w:shd w:val="clear" w:color="auto" w:fill="FFFFFF"/>
                  <w:contextualSpacing/>
                  <w:jc w:val="center"/>
                </w:pPr>
                <w:r>
                  <w:t>6.</w:t>
                </w:r>
              </w:p>
            </w:tc>
            <w:tc>
              <w:tcPr>
                <w:tcW w:w="6540" w:type="dxa"/>
              </w:tcPr>
              <w:p>
                <w:pPr>
                  <w:shd w:val="clear" w:color="auto" w:fill="FFFFFF"/>
                  <w:contextualSpacing/>
                </w:pPr>
                <w:r>
                  <w:rPr>
                    <w:bCs/>
                  </w:rPr>
                  <w:t>Iš viso išlaidų</w:t>
                </w:r>
              </w:p>
            </w:tc>
            <w:tc>
              <w:tcPr>
                <w:tcW w:w="2011" w:type="dxa"/>
              </w:tcPr>
              <w:p>
                <w:pPr>
                  <w:jc w:val="right"/>
                </w:pPr>
                <w:r>
                  <w:rPr>
                    <w:bCs/>
                    <w:color w:val="000000"/>
                  </w:rPr>
                  <w:t>10 600</w:t>
                </w:r>
              </w:p>
            </w:tc>
          </w:tr>
          <w:tr>
            <w:trPr>
              <w:trHeight w:val="405"/>
              <w:jc w:val="center"/>
            </w:trPr>
            <w:tc>
              <w:tcPr>
                <w:tcW w:w="576" w:type="dxa"/>
              </w:tcPr>
              <w:p>
                <w:pPr>
                  <w:shd w:val="clear" w:color="auto" w:fill="FFFFFF"/>
                  <w:contextualSpacing/>
                  <w:jc w:val="center"/>
                </w:pPr>
                <w:r>
                  <w:t>7.</w:t>
                </w:r>
              </w:p>
            </w:tc>
            <w:tc>
              <w:tcPr>
                <w:tcW w:w="6540" w:type="dxa"/>
              </w:tcPr>
              <w:p>
                <w:pPr>
                  <w:shd w:val="clear" w:color="auto" w:fill="FFFFFF"/>
                  <w:contextualSpacing/>
                </w:pPr>
                <w:r>
                  <w:rPr>
                    <w:bCs/>
                  </w:rPr>
                  <w:t>Numatomas lėšų likutis 2017 m. sausio 1 d.</w:t>
                </w:r>
              </w:p>
            </w:tc>
            <w:tc>
              <w:tcPr>
                <w:tcW w:w="2011" w:type="dxa"/>
              </w:tcPr>
              <w:p>
                <w:pPr>
                  <w:jc w:val="right"/>
                  <w:rPr>
                    <w:bCs/>
                    <w:color w:val="000000"/>
                  </w:rPr>
                </w:pPr>
                <w:r>
                  <w:rPr>
                    <w:bCs/>
                    <w:color w:val="000000"/>
                  </w:rPr>
                  <w:t>25 710</w:t>
                </w:r>
              </w:p>
            </w:tc>
          </w:tr>
        </w:tbl>
        <w:p/>
      </w:sdtContent>
    </w:sdt>
    <w:sectPr>
      <w:type w:val="continuous"/>
      <w:pgSz w:w="11907" w:h="16840" w:code="9"/>
      <w:pgMar w:top="1134" w:right="851" w:bottom="1134" w:left="1701" w:header="706" w:footer="706" w:gutter="0"/>
      <w:cols w:space="1296"/>
      <w:formProt w:val="0"/>
      <w:titlePg/>
    </w:sectPr>
  </w:body>
</w:document>
</file>

<file path=word/endnotes.xml><?xml version="1.0" encoding="utf-8"?>
<w:endnot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pPr>
        <w:rPr>
          <w:rFonts w:ascii="TimesLT" w:hAnsi="TimesLT"/>
          <w:lang w:val="en-US"/>
        </w:rPr>
      </w:pPr>
      <w:r>
        <w:rPr>
          <w:rFonts w:ascii="TimesLT" w:hAnsi="TimesLT"/>
          <w:lang w:val="en-US"/>
        </w:rPr>
        <w:separator/>
      </w:r>
    </w:p>
  </w:endnote>
  <w:endnote w:type="continuationSeparator" w:id="0">
    <w:p>
      <w:pPr>
        <w:rPr>
          <w:rFonts w:ascii="TimesLT" w:hAnsi="TimesLT"/>
          <w:lang w:val="en-US"/>
        </w:rPr>
      </w:pPr>
      <w:r>
        <w:rPr>
          <w:rFonts w:ascii="TimesLT" w:hAnsi="TimesLT"/>
          <w:lang w:val="en-US"/>
        </w:rPr>
        <w:continuationSeparato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mc:Ignorable="w14">
  <w:font w:name="Times New Roman">
    <w:panose1 w:val="02020603050405020304"/>
    <w:charset w:val="BA"/>
    <w:family w:val="roman"/>
    <w:pitch w:val="variable"/>
    <w:sig w:usb0="E0002AFF" w:usb1="C0007843" w:usb2="00000009" w:usb3="00000000" w:csb0="000001FF" w:csb1="00000000"/>
  </w:font>
  <w:font w:name="TimesLT">
    <w:altName w:val="Times New Roman"/>
    <w:charset w:val="BA"/>
    <w:family w:val="roman"/>
    <w:pitch w:val="variable"/>
    <w:sig w:usb0="00000287" w:usb1="00000000" w:usb2="00000000" w:usb3="00000000" w:csb0="0000009F" w:csb1="00000000"/>
  </w:font>
  <w:font w:name="Calibri">
    <w:panose1 w:val="020F0502020204030204"/>
    <w:charset w:val="BA"/>
    <w:family w:val="swiss"/>
    <w:pitch w:val="variable"/>
    <w:sig w:usb0="E00002FF" w:usb1="4000ACFF" w:usb2="00000001" w:usb3="00000000" w:csb0="0000019F" w:csb1="00000000"/>
  </w:font>
  <w:font w:name="Cambria">
    <w:panose1 w:val="02040503050406030204"/>
    <w:charset w:val="BA"/>
    <w:family w:val="roman"/>
    <w:pitch w:val="variable"/>
    <w:sig w:usb0="E00002FF" w:usb1="400004FF" w:usb2="00000000" w:usb3="00000000" w:csb0="0000019F" w:csb1="00000000"/>
  </w:font>
</w:fonts>
</file>

<file path=word/footer1.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320"/>
        <w:tab w:val="right" w:pos="8640"/>
      </w:tabs>
      <w:spacing w:line="360" w:lineRule="auto"/>
      <w:ind w:firstLine="720"/>
      <w:jc w:val="both"/>
      <w:rPr>
        <w:rFonts w:ascii="TimesLT" w:hAnsi="TimesLT"/>
      </w:rPr>
    </w:pPr>
  </w:p>
</w:ftr>
</file>

<file path=word/footer2.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320"/>
        <w:tab w:val="right" w:pos="8640"/>
      </w:tabs>
      <w:spacing w:line="360" w:lineRule="auto"/>
      <w:ind w:firstLine="720"/>
      <w:jc w:val="both"/>
      <w:rPr>
        <w:rFonts w:ascii="TimesLT" w:hAnsi="TimesLT"/>
      </w:rPr>
    </w:pPr>
  </w:p>
</w:ftr>
</file>

<file path=word/footer3.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320"/>
        <w:tab w:val="right" w:pos="8640"/>
      </w:tabs>
      <w:spacing w:line="360" w:lineRule="auto"/>
      <w:ind w:firstLine="720"/>
      <w:jc w:val="both"/>
      <w:rPr>
        <w:rFonts w:ascii="TimesLT" w:hAnsi="TimesLT"/>
      </w:rPr>
    </w:pPr>
  </w:p>
</w:ftr>
</file>

<file path=word/footnotes.xml><?xml version="1.0" encoding="utf-8"?>
<w:footnot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pPr>
        <w:rPr>
          <w:rFonts w:ascii="TimesLT" w:hAnsi="TimesLT"/>
          <w:lang w:val="en-US"/>
        </w:rPr>
      </w:pPr>
      <w:r>
        <w:rPr>
          <w:rFonts w:ascii="TimesLT" w:hAnsi="TimesLT"/>
          <w:lang w:val="en-US"/>
        </w:rPr>
        <w:separator/>
      </w:r>
    </w:p>
  </w:footnote>
  <w:footnote w:type="continuationSeparator" w:id="0">
    <w:p>
      <w:pPr>
        <w:rPr>
          <w:rFonts w:ascii="TimesLT" w:hAnsi="TimesLT"/>
          <w:lang w:val="en-US"/>
        </w:rPr>
      </w:pPr>
      <w:r>
        <w:rPr>
          <w:rFonts w:ascii="TimesLT" w:hAnsi="TimesLT"/>
          <w:lang w:val="en-US"/>
        </w:rPr>
        <w:continuationSeparator/>
      </w:r>
    </w:p>
  </w:footnote>
</w:footnotes>
</file>

<file path=word/header1.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153"/>
        <w:tab w:val="right" w:pos="8306"/>
      </w:tabs>
      <w:rPr>
        <w:rFonts w:ascii="TimesLT" w:hAnsi="TimesLT"/>
        <w:lang w:val="en-US"/>
      </w:rPr>
    </w:pPr>
  </w:p>
</w:hdr>
</file>

<file path=word/header2.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153"/>
        <w:tab w:val="right" w:pos="8306"/>
        <w:tab w:val="right" w:pos="9072"/>
      </w:tabs>
      <w:jc w:val="center"/>
      <w:rPr>
        <w:rFonts w:ascii="TimesLT" w:hAnsi="TimesLT"/>
        <w:lang w:val="en-US"/>
      </w:rPr>
    </w:pPr>
    <w:r>
      <w:rPr>
        <w:rFonts w:ascii="TimesLT" w:hAnsi="TimesLT"/>
        <w:lang w:val="en-US"/>
      </w:rPr>
      <w:fldChar w:fldCharType="begin"/>
    </w:r>
    <w:r>
      <w:rPr>
        <w:rFonts w:ascii="TimesLT" w:hAnsi="TimesLT"/>
        <w:lang w:val="en-US"/>
      </w:rPr>
      <w:instrText>PAGE   \* MERGEFORMAT</w:instrText>
    </w:r>
    <w:r>
      <w:rPr>
        <w:rFonts w:ascii="TimesLT" w:hAnsi="TimesLT"/>
        <w:lang w:val="en-US"/>
      </w:rPr>
      <w:fldChar w:fldCharType="separate"/>
    </w:r>
    <w:r>
      <w:rPr>
        <w:rFonts w:ascii="TimesLT" w:hAnsi="TimesLT"/>
        <w:lang w:val="en-US"/>
      </w:rPr>
      <w:t>2</w:t>
    </w:r>
    <w:r>
      <w:rPr>
        <w:rFonts w:ascii="TimesLT" w:hAnsi="TimesLT"/>
        <w:lang w:val="en-US"/>
      </w:rPr>
      <w:fldChar w:fldCharType="end"/>
    </w:r>
  </w:p>
</w:hdr>
</file>

<file path=word/header3.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153"/>
        <w:tab w:val="right" w:pos="8306"/>
      </w:tabs>
      <w:rPr>
        <w:rFonts w:ascii="TimesLT" w:hAnsi="TimesLT"/>
        <w:lang w:val="en-US"/>
      </w:rPr>
    </w:pPr>
  </w:p>
</w:hdr>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sl="http://schemas.openxmlformats.org/schemaLibrary/2006/main" mc:Ignorable="w14">
  <w:view w:val="normal"/>
  <w:zoom w:percent="100"/>
  <w:hideGrammaticalErrors/>
  <w:proofState w:grammar="clean"/>
  <w:defaultTabStop w:val="720"/>
  <w:hyphenationZone w:val="396"/>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7584"/>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mc:Ignorable="w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mc:Ignorable="w14">
  <w:optimizeForBrowser/>
  <w:allowPNG/>
</w:webSettings>
</file>

<file path=word/_rels/document.xml.rels><?xml version="1.0" encoding="UTF-8"?>

<Relationships xmlns="http://schemas.openxmlformats.org/package/2006/relationships">
  <Relationship Id="rId1" Type="http://schemas.openxmlformats.org/officeDocument/2006/relationships/styles" Target="styles.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header" Target="header3.xml"/>
  <Relationship Id="rId13" Type="http://schemas.openxmlformats.org/officeDocument/2006/relationships/footer" Target="footer3.xml"/>
  <Relationship Id="rId14" Type="http://schemas.openxmlformats.org/officeDocument/2006/relationships/fontTable" Target="fontTable.xml"/>
  <Relationship Id="rId15" Type="http://schemas.openxmlformats.org/officeDocument/2006/relationships/theme" Target="theme/theme1.xml"/>
  <Relationship Id="rId16" Type="http://schemas.openxmlformats.org/officeDocument/2006/relationships/customXml" Target="../customXml/item1.xml"/>
  <Relationship Id="rId2" Type="http://schemas.microsoft.com/office/2007/relationships/stylesWithEffects" Target="stylesWithEffect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otnotes" Target="footnotes.xml"/>
  <Relationship Id="rId6" Type="http://schemas.openxmlformats.org/officeDocument/2006/relationships/endnotes" Target="endnotes.xml"/>
  <Relationship Id="rId7" Type="http://schemas.openxmlformats.org/officeDocument/2006/relationships/image" Target="media/image1.png"/>
  <Relationship Id="rId8" Type="http://schemas.openxmlformats.org/officeDocument/2006/relationships/header" Target="header1.xml"/>
  <Relationship Id="rId9" Type="http://schemas.openxmlformats.org/officeDocument/2006/relationships/header" Target="header2.xml"/>
</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Parts xmlns="http://lrs.lt/TAIS/DocParts">
  <Part Type="pagrindine" DocPartId="d5d466548d1d45e28a4049a29e0a435e" PartId="35a3f145a5614e40ab6bd69a91357394">
    <Part Type="preambule" DocPartId="ad87af993faa4ee08ab219d7f2430091" PartId="0f9f9fba805447f0a22410bfeba9097c"/>
    <Part Type="pastraipa" DocPartId="932eeb52ca0e4196b7083b1c9dd3d4d6" PartId="f81404872882484a8306a5d89a6f6613"/>
    <Part Type="straipsnis" Nr="1" Abbr="1 str." Title="Lietuvos Respublikos 2016 metų valstybės biudžeto pajamų ir asignavimų patvirtinimas" DocPartId="533bfa057d6b4f21b641af88bcf04c29" PartId="9e0691fd5c0d43d8a94d4ae40c94c05f">
      <Part Type="strDalis" Nr="1" Abbr="1 str. 1 d." DocPartId="b4d4fd6857b04537ac517a7b96641d7d" PartId="ddc1aae42a684b66b26b8d6cedf9b457"/>
    </Part>
    <Part Type="straipsnis" Nr="2" Abbr="2 str." Title="Lietuvos Respublikos 2016 metų savivaldybių biudžetų finansiniai rodikliai" DocPartId="84e69d79747f49fdb65b383601493574" PartId="bdb1ed0889e24382b1342fd98cbb4d4c">
      <Part Type="strDalis" Nr="1" Abbr="2 str. 1 d." DocPartId="0353f3bba1e94971ab3277e3fb4155d6" PartId="a80d91a0d2c5459494b17a3a1d822d9d">
        <Part Type="strPunktas" Nr="1" Abbr="2 str. 1 d. 1 p." DocPartId="d6309f9657234dd3ad5fe2e2070374bb" PartId="60026dfc662b4f01be143caf2ba2ab78"/>
        <Part Type="strPunktas" Nr="2" Abbr="2 str. 1 d. 2 p." DocPartId="3ea07eb9ecef4de1b60fc33b89e81033" PartId="afd7661ff16e4b0594ea535d8388728e"/>
        <Part Type="strPunktas" Nr="3" Abbr="2 str. 1 d. 3 p." DocPartId="1dc86db738134dd0a0de12d42e9d7b96" PartId="1872204e7e2f4a1fb41b7cdf0d18d3df"/>
        <Part Type="strPunktas" Nr="4" Abbr="2 str. 1 d. 4 p." DocPartId="439a1a05c7b94a878638f50718ad91b6" PartId="89796b71f4114ae19fe7d02d0c81b7d6"/>
        <Part Type="strPunktas" Nr="5" Abbr="2 str. 1 d. 5 p." DocPartId="88a5a45192dd43d9b7918acf90dd3a71" PartId="296e84200efc43aabd90c7f7cd835aa0"/>
        <Part Type="strPunktas" Nr="6" Abbr="2 str. 1 d. 6 p." DocPartId="d7441485a651481c84c76b9dd6ae296a" PartId="a1125fdb92604e8d94886562c00fd311"/>
        <Part Type="strPunktas" Nr="7" Abbr="2 str. 1 d. 7 p." DocPartId="666b0fb6b0f84213924d3fee1e6db7f3" PartId="685d8a62ed2b4d15be62d370da406e63"/>
        <Part Type="strPunktas" Nr="8" Abbr="2 str. 1 d. 8 p." DocPartId="18dc6038e51842ddbc062dfd87ddb2f4" PartId="f9f2c753f5744c2caac43fda77193a97"/>
        <Part Type="strPunktas" Nr="9" Abbr="2 str. 1 d. 9 p." DocPartId="2124e261fc244a19817d4134bbec828e" PartId="b08474fb6917411d91432778ef4b0cb1"/>
      </Part>
      <Part Type="strDalis" Nr="2" Abbr="2 str. 2 d." DocPartId="d020096fed8c4206a3fef8f34df56f3c" PartId="9f6e081493a14c6da84f7b074ce4761a"/>
    </Part>
    <Part Type="straipsnis" Nr="3" Abbr="3 str." Title="Mokinio krepšelio dydis ir specialios tikslinės dotacijos mokinio (klasės, grupės) krepšeliui finansuoti naudojimas" DocPartId="9c548285fdf242a092beeb0c740d5fec" PartId="3b5544e9098b4b299560763ecfc00611">
      <Part Type="strDalis" Nr="1" Abbr="3 str. 1 d." DocPartId="388e9dc0bee34179a0455476e1b25f47" PartId="4351bc034eb94f6aa280c6e9dbf9a57b"/>
      <Part Type="strDalis" Nr="2" Abbr="3 str. 2 d." DocPartId="4c9dd9039fb74018b5a1090f1dcb1d7e" PartId="afa78fc587fe45bd85d507c79fbbf507"/>
      <Part Type="strDalis" Nr="3" Abbr="3 str. 3 d." DocPartId="d12a3a5905c14a4daeea25960c2a9e41" PartId="b79c493829aa43638d0adcfc4ae0734a"/>
      <Part Type="strDalis" Nr="4" Abbr="3 str. 4 d." DocPartId="435e44c8c0bd44319fa522b339670714" PartId="3ce6ea885140403fadf2c5e7192a49ba"/>
    </Part>
    <Part Type="straipsnis" Nr="4" Abbr="4 str." Title="Valstybės biudžeto dotacijų savivaldybių biudžetams paskirstymas ir pervedimas" DocPartId="766dfffd3fcf4616ae75df847bed9f97" PartId="9f9b56eaf4fe4b06a106deb956f74e9d">
      <Part Type="strDalis" Nr="1" Abbr="4 str. 1 d." DocPartId="129c197e9b464b7e84da066717e48141" PartId="128c79edd03f4255856dbd04a5654a87"/>
      <Part Type="strDalis" Nr="2" Abbr="4 str. 2 d." DocPartId="73ab243c5da84ebb9a847a9698c9282f" PartId="5654c2db50df4ebd9655f602092d38eb"/>
      <Part Type="strDalis" Nr="3" Abbr="4 str. 3 d." DocPartId="04f66872659042ab9f25eb4b4e6c092c" PartId="d9dfb32a165840f9880267826c73ef01"/>
      <Part Type="strDalis" Nr="4" Abbr="4 str. 4 d." DocPartId="02aceca7949a4550a994b59a2135792f" PartId="33123ac20ca7445a8e2b0b6f13d9f758"/>
      <Part Type="strDalis" Nr="5" Abbr="4 str. 5 d." DocPartId="30988e0483934473876e84b1b8517d19" PartId="409b9c0eff654f17836f0f90cb412763"/>
      <Part Type="strDalis" Nr="6" Abbr="4 str. 6 d." DocPartId="9beb827216cb4a26952211769625e77e" PartId="cde629ab28ea4e949db2b02618f14c0c"/>
    </Part>
    <Part Type="straipsnis" Nr="5" Abbr="5 str." Title="Valstybės biudžeto asignavimų perskirstymas, asmeniui keičiant studijų programą" DocPartId="c60472bc6cda4b71ae36564cb3565fb9" PartId="1eb9f89e27914531b39057af7bed3ba5">
      <Part Type="strDalis" Nr="1" Abbr="5 str. 1 d." DocPartId="5fb71e50a87246fa8d6ba56646533da8" PartId="fa4557817f76417cae9a7a130fad1eb3"/>
      <Part Type="strDalis" Nr="2" Abbr="5 str. 2 d." DocPartId="84a81ea002a84cb98043d9b53fb558ce" PartId="58057fec9ead48c8980f58ce40cb0ef3">
        <Part Type="strPunktas" Nr="1" Abbr="5 str. 2 d. 1 p." DocPartId="829db273735b4a41873852052e10554f" PartId="c4324ddeae80402486097f2d89df921c"/>
        <Part Type="strPunktas" Nr="2" Abbr="5 str. 2 d. 2 p." DocPartId="70492ae8541d4932927d9ff4d99acdac" PartId="b593d0b9f87440908ebea1940faf3aac"/>
      </Part>
      <Part Type="strDalis" Nr="3" Abbr="5 str. 3 d." DocPartId="d5272fd2af8941619b915c067e7811db" PartId="c8270672f80c4ba8842d4e4ae332794b">
        <Part Type="strPunktas" Nr="1" Abbr="5 str. 3 d. 1 p." DocPartId="93e1f5c392d24a4e95bdfc44b2dbc8c5" PartId="037437079a8f4a1599d2559e19b39519"/>
        <Part Type="strPunktas" Nr="2" Abbr="5 str. 3 d. 2 p." DocPartId="cc6cc7b6e85a425a92e56b25534a5842" PartId="32bbbd3ee7b44bb3be5451775ef37ead"/>
      </Part>
    </Part>
    <Part Type="straipsnis" Nr="6" Abbr="6 str." Title="Įmokos į Privalomojo sveikatos draudimo fondą" DocPartId="9edcef2655b64d2abb7c5d93c4a9ee7e" PartId="b87711cd338a4886958ab0b6326c1a50">
      <Part Type="strDalis" Nr="1" Abbr="6 str. 1 d." DocPartId="d65f4f8318e244358565389b9914de84" PartId="9791e3da8a8d40ab937d9ffbbbc7939e"/>
    </Part>
    <Part Type="straipsnis" Nr="7" Abbr="7 str." Title="Įmokos į valstybės biudžetą, skiriamos asignavimų valdytojų programoms finansuoti" DocPartId="272e85fe766a4cb1b2eb735e20ffcb52" PartId="6f7d691197b24fe1bed55196a2a283e7">
      <Part Type="strDalis" Nr="1" Abbr="7 str. 1 d." DocPartId="46d9101096a745749760ed991236cb5f" PartId="b98cc8e567b242e491295b852a659f83"/>
    </Part>
    <Part Type="straipsnis" Nr="8" Abbr="8 str." Title="Valstybės garantijų ir valstybės garantuojamų garantijų institucijų prisiimtų įsipareigojimų pagal garantijas limitai" DocPartId="725de63603e9432bb4b4ec3c07d61b31" PartId="a21c4fc33a3949efac76af42fcbce001">
      <Part Type="strDalis" Nr="1" Abbr="8 str. 1 d." DocPartId="eb8eac858a0e4f4787a82ffc5491ae94" PartId="5fb1719fcb1c402a9819063779a6aad7">
        <Part Type="strPunktas" Nr="1" Abbr="8 str. 1 d. 1 p." DocPartId="5e7afe2f07854cc3bd2aa740d9eb4b4b" PartId="d616563fa3e44ba6a7182b4d19beec3b"/>
        <Part Type="strPunktas" Nr="2" Abbr="8 str. 1 d. 2 p." DocPartId="6021f9a9a5f04643896268ab10053cf7" PartId="0d4bd019f7cd4149afb4137ba4c1f77d"/>
        <Part Type="strPunktas" Nr="3" Abbr="8 str. 1 d. 3 p." DocPartId="9452b88d4be0461e8ab95158da140f1e" PartId="19807ca19c2d433a8ce7e804306911ba"/>
      </Part>
    </Part>
    <Part Type="straipsnis" Nr="9" Abbr="9 str." Title="Vyriausybės grynojo skolinių įsipareigojimų pokyčio limitas" DocPartId="f88badc170eb4433b932284017d7bdc1" PartId="32e5ca0b4e234a678f82558ec8024db8">
      <Part Type="strDalis" Nr="1" Abbr="9 str. 1 d." DocPartId="13fe5a1cf31a4fe58360ff246c5a1eed" PartId="4570e7f53be149068e8870e713dddcde"/>
    </Part>
    <Part Type="straipsnis" Nr="10" Abbr="10 str." Title="Valstybinių aukštųjų mokyklų ir valstybinių profesinio mokymo įstaigų skolinimosi limitai" DocPartId="aa5651d65be84fad9e32adf341605397" PartId="118306482b884e86900208ccd3ebc19f">
      <Part Type="strDalis" Nr="1" Abbr="10 str. 1 d." DocPartId="35afc29af1d5488ab1045b16b1d54333" PartId="41a9b983dcd942668d13bae82b75f0bb"/>
    </Part>
    <Part Type="straipsnis" Nr="11" Abbr="11 str." Title="Savivaldybių skolos, skolinimosi ir garantijų limitai ir įsiskolinimų padengimas" DocPartId="210334e771fb4f9fac4361448356ca61" PartId="d78a5ee2cbf740848dcd7f77921c6b5e">
      <Part Type="strDalis" Nr="1" Abbr="11 str. 1 d." DocPartId="4bfa623cdb2b42879d88dcdbe80c1a4f" PartId="cfa3cdd6a24d4dbdb2632c0d0c153e2e">
        <Part Type="strPunktas" Nr="1" Abbr="11 str. 1 d. 1 p." DocPartId="c053bc1e026344bba6a8c896df5629dd" PartId="e6d62c8da0e445a79afdaf731108b824"/>
        <Part Type="strPunktas" Nr="2" Abbr="11 str. 1 d. 2 p." DocPartId="21ac8e1a596741b3be5bc79c1881903f" PartId="4d20a289954f4156b908b8c5c5279286"/>
        <Part Type="strPunktas" Nr="3" Abbr="11 str. 1 d. 3 p." DocPartId="10d0fd06c42a49699e21c9e7908ca5b0" PartId="3feb3c6c8cdf4da888721da018b8e527"/>
        <Part Type="strPunktas" Nr="4" Abbr="11 str. 1 d. 4 p." DocPartId="649f7e505bb14ec1a68eba52f95d7922" PartId="8b199bd4f0c74b039da911e5ca815ae0"/>
      </Part>
      <Part Type="strDalis" Nr="2" Abbr="11 str. 2 d." DocPartId="a246143fd0c4407391709b9f03d10190" PartId="44f616ac9e8a49fa822b853d0d5ef627">
        <Part Type="strPunktas" Nr="1" Abbr="11 str. 2 d. 1 p." DocPartId="6ec5340754c04d33a4dddd996b1c1e7f" PartId="c47a2ca6279b48cc9de7680c661f8fa1"/>
        <Part Type="strPunktas" Nr="2" Abbr="11 str. 2 d. 2 p." DocPartId="57a65b66cfdc47e29a5458d39324a1d1" PartId="e04b5666750a406299166b07f71b11d7"/>
        <Part Type="strPunktas" Nr="3" Abbr="11 str. 2 d. 3 p." DocPartId="dd7d5a1afdf64ebf8b5821b3dd47cd79" PartId="99b88766af7a4dc0a7b5fd2c651e345c"/>
        <Part Type="strPunktas" Nr="4" Abbr="11 str. 2 d. 4 p." DocPartId="8ee393b47c124ea6894a89c983270f5e" PartId="723b9e673fe94652a4b458baf72894a6"/>
      </Part>
      <Part Type="strDalis" Nr="3" Abbr="11 str. 3 d." DocPartId="41f7126cb1b44e95aa9d6c4f9c45fd35" PartId="ee6bc3bfdb3c4feb9e5c408b14327471"/>
      <Part Type="strDalis" Nr="4" Abbr="11 str. 4 d." DocPartId="faf414d49e23493b88ebb58291f8f889" PartId="f23a8fd6b32240089068380ec76c85c3"/>
      <Part Type="strDalis" Nr="5" Abbr="11 str. 5 d." DocPartId="06b8306424094155946c7ec10357ffb3" PartId="f5d5ceb13bb841b5a766784d64cdd86e"/>
    </Part>
    <Part Type="straipsnis" Nr="12" Abbr="12 str." Title="Vyriausybės ir kitų institucijų teisės vykdant biudžetą" DocPartId="0eb31b20327e4eb88ba0f1eb813e55d7" PartId="78823ab78e354b71bdbe1172d1e396c4">
      <Part Type="strDalis" Nr="1" Abbr="12 str. 1 d." DocPartId="48df42dcc19a4c029d08bc322eeaf9e7" PartId="007050b1f844483389960fa9de574075">
        <Part Type="strPunktas" Nr="1" Abbr="12 str. 1 d. 1 p." DocPartId="a6c93096427d441eb483fdd58975097e" PartId="fe606b39554d4d1aa6944805cd699830"/>
        <Part Type="strPunktas" Nr="2" Abbr="12 str. 1 d. 2 p." DocPartId="b1f789c92c52422bb045b02711828e6e" PartId="45becfe8caa4473eab7a0419e421ec90"/>
        <Part Type="strPunktas" Nr="3" Abbr="12 str. 1 d. 3 p." DocPartId="630d9927a9b04d1ba7fbd56c42acda4c" PartId="25ce1ad5bbb54b7c9bfe395d23fc2307"/>
        <Part Type="strPunktas" Nr="4" Abbr="12 str. 1 d. 4 p." DocPartId="d220098bfad6466a8f12994f719d2407" PartId="22746f9bd72b40e097847fa52dca8cf1"/>
        <Part Type="strPunktas" Nr="5" Abbr="12 str. 1 d. 5 p." DocPartId="a4d46e1000ab4c9c887c56baf4b734e2" PartId="7ade9662c9b54aea91ea2a410ea1a886"/>
        <Part Type="strPunktas" Nr="6" Abbr="12 str. 1 d. 6 p." DocPartId="44efee8a2c0d4254a308a95154b37752" PartId="cccfbc12a40743f2a923463bbdd06aaf"/>
        <Part Type="strPunktas" Nr="7" Abbr="12 str. 1 d. 7 p." DocPartId="bd71317e74e7403180bb4435a9cfa641" PartId="ef858b8e2b3b42e09b721634f3eac3e9"/>
        <Part Type="strPunktas" Nr="8" Abbr="12 str. 1 d. 8 p." DocPartId="05e302a93ebe478d8ab6c12d94574a9e" PartId="d9d20291b1744f328fe2bd21ca83a6a3"/>
        <Part Type="strPunktas" Nr="9" Abbr="12 str. 1 d. 9 p." DocPartId="1e89613bbbc448a886b9aa279f97d5b9" PartId="034fce3d199b4cbd81f66d853d9f7910"/>
        <Part Type="strPunktas" Nr="10" Abbr="12 str. 1 d. 10 p." DocPartId="f86a30c7a38145189647051f10b79256" PartId="7efc380fa50f42e095482955506b7dff"/>
        <Part Type="strPunktas" Nr="11" Abbr="12 str. 1 d. 11 p." DocPartId="02e172e12f0847ea9c3c2256705f35f5" PartId="fb2202f85faa44219cc9ff7d6811ed82"/>
      </Part>
      <Part Type="strDalis" Nr="2" Abbr="12 str. 2 d." DocPartId="3b5d71bb3df349bb95d6c3ed3016610f" PartId="f2f2f3e1b4b44d67821bf0a53f760661"/>
      <Part Type="strDalis" Nr="3" Abbr="12 str. 3 d." DocPartId="a7ed5a196230444a985a4ec0a2fbf3aa" PartId="0a91a1756fe44af483dec52da70beeb4"/>
      <Part Type="strDalis" Nr="4" Abbr="12 str. 4 d." DocPartId="4bd96376cf974b1498bd85c417471689" PartId="2b2609a9617049188d0256832884f9df">
        <Part Type="strPunktas" Nr="1" Abbr="12 str. 4 d. 1 p." DocPartId="6e68f69e53e3472096e77d4c86879db6" PartId="3e70335e7abd4d6db0c533ad20300cb8"/>
        <Part Type="strPunktas" Nr="2" Abbr="12 str. 4 d. 2 p." DocPartId="4b6fad0ce92f4cb9a616b2c9f207456f" PartId="f8cd75ef28aa40588215fe430e7744b3"/>
        <Part Type="strPunktas" Nr="3" Abbr="12 str. 4 d. 3 p." DocPartId="d56136e8ad674f5f9cbb95aae1203113" PartId="efbc1290907b4585bbf68e88bb6c4a3c"/>
        <Part Type="strPunktas" Nr="4" Abbr="12 str. 4 d. 4 p." DocPartId="0e1881210c564d198887c292ae1a88ca" PartId="280dd9a0683f4aaa86fff2d9d0aa6719"/>
      </Part>
      <Part Type="strDalis" Nr="5" Abbr="12 str. 5 d." DocPartId="d5fef966e66c478e938211430b6129e8" PartId="4a061b71a7e84b608424570ae9aefeb5">
        <Part Type="strPunktas" Nr="1" Abbr="12 str. 5 d. 1 p." DocPartId="a434857b9bd34753839061571a23cd39" PartId="acde0a1bdb1b46ce97a472ebb50b1493"/>
        <Part Type="strPunktas" Nr="2" Abbr="12 str. 5 d. 2 p." DocPartId="e9ccca069f9340ccaf22af0e87f80401" PartId="0849e68da6f944a7bc02be934a7a30a1"/>
        <Part Type="strPunktas" Nr="3" Abbr="12 str. 5 d. 3 p." DocPartId="efe0b6187d254e038e4ca0dab55037e8" PartId="342f3a116d8148d795954a5c1950601a"/>
      </Part>
      <Part Type="strDalis" Nr="6" Abbr="12 str. 6 d." DocPartId="f1a38e58922d43d0b699abf965ea0007" PartId="006427a5074b44ebaffd83336181d510">
        <Part Type="strPunktas" Nr="1" Abbr="12 str. 6 d. 1 p." DocPartId="14f1bddd1f774de9b18630ad76de3dfc" PartId="25f78c408b894675a394cb4843cff02e"/>
        <Part Type="strPunktas" Nr="2" Abbr="12 str. 6 d. 2 p." DocPartId="effb899c43c54d599aedb3864dc1758f" PartId="264e0ac25261453986a3ef0765bd36cc"/>
        <Part Type="strPunktas" Nr="3" Abbr="12 str. 6 d. 3 p." DocPartId="dff9422817f54460ac7155418e18c0a1" PartId="6293c11b286b4f8cabbcc8db396382c6"/>
        <Part Type="strPunktas" Nr="4" Abbr="12 str. 6 d. 4 p." DocPartId="b1d67497551b4b0cacc19e2246c1bfc4" PartId="6f50e7544dc74096b45c0b715240d23d"/>
      </Part>
      <Part Type="strDalis" Nr="7" Abbr="12 str. 7 d." DocPartId="36cf681331704c2abe9720249e9bdf6f" PartId="11666ba9854844b68cd4037b8bba0071"/>
      <Part Type="strDalis" Nr="8" Abbr="12 str. 8 d." DocPartId="ee50c84a429345668ea3fb041dcb5023" PartId="9823a4d3b7564665a80b3f6ca66ada85">
        <Part Type="strPunktas" Nr="1" Abbr="12 str. 8 d. 1 p." DocPartId="9f0fdf2a4f8947af8cee8461c0625670" PartId="e822e3f9197240ab9b7020a43672ee00"/>
        <Part Type="strPunktas" Nr="2" Abbr="12 str. 8 d. 2 p." DocPartId="abd286753368493c9524af566f5997f7" PartId="cf3d8375071b4dfe8b4e2b6e2b38c5b2"/>
        <Part Type="strPunktas" Nr="3" Abbr="12 str. 8 d. 3 p." DocPartId="cd0200542441476ca7093421aed0a316" PartId="09edc9150dcd4921935a6457aad33d26"/>
      </Part>
      <Part Type="strDalis" Nr="9" Abbr="12 str. 9 d." DocPartId="64b8e36178f040c0b661cf1b892d1e54" PartId="0b66e9d2f4fe4844bf1633bb4185dace"/>
      <Part Type="strDalis" Nr="10" Abbr="12 str. 10 d." DocPartId="20324a0b2aa843459be3b253ccffd684" PartId="43d5e827341a4efab0fb6b3e9612aba9"/>
      <Part Type="strDalis" Nr="11" Abbr="12 str. 11 d." DocPartId="3cce4288985f49f4ab30bd335764b135" PartId="492cd24b6f714e11ade416517d78f70d"/>
      <Part Type="strDalis" Nr="12" Abbr="12 str. 12 d." DocPartId="ffbd568794e54774b844a752e1c85901" PartId="0061260ac3094f0e9d021f023e96c203"/>
    </Part>
    <Part Type="straipsnis" Nr="13" Abbr="13 str." Title="Biudžetinių įstaigų skolų padengimas ir skolinimasis" DocPartId="eb6fc02f769e46f09f71b399a77bc543" PartId="65814d6d1a1e49d7b1022ca5940c8dda">
      <Part Type="strDalis" Nr="1" Abbr="13 str. 1 d." DocPartId="8ff792b4c7514e75b0649db3994fe244" PartId="1b13db827e3c468ebbf02b06406a5c02"/>
      <Part Type="strDalis" Nr="2" Abbr="13 str. 2 d." DocPartId="90986112a50f47aba89bb183dbe87f1e" PartId="88e643aa27fc40b8bdb2192a061ecee6"/>
      <Part Type="strDalis" Nr="3" Abbr="13 str. 3 d." DocPartId="326e7f14434d4ea4a208c74e17673dec" PartId="86802048099648df8cc5962634de5871"/>
    </Part>
    <Part Type="straipsnis" Nr="14" Abbr="14 str." Title="Asignavimų valdytojo teisė prisiimti įsipareigojimus naudoti biudžeto lėšas" DocPartId="d67d917464b04742baee23e96d940121" PartId="0f48ef38113940289cee58d7a1eb0465">
      <Part Type="strDalis" Nr="1" Abbr="14 str. 1 d." DocPartId="db4082c130be454e849b7ae434755aa3" PartId="235f3ec30f6f4849bb5c13416e9de7e4"/>
      <Part Type="strDalis" Nr="2" Abbr="14 str. 2 d." DocPartId="e1a716d061834ed189dec47266a21762" PartId="a4c940560a4944849ac35efe9489849e"/>
    </Part>
    <Part Type="straipsnis" Nr="15" Abbr="15 str." Title="Valstybės investicijų 2016–2018 metų programos patvirtinimas" DocPartId="7ffa6fca26a64d37b6af778dc9f00964" PartId="b1500fd5ce5f41c1b7891b5baf15ed2e">
      <Part Type="strDalis" Nr="1" Abbr="15 str. 1 d." DocPartId="a7fe10ba62d74dc3801a3fcae99f6f6e" PartId="b915b3e9108e4d7496821bc1f655d400"/>
    </Part>
    <Part Type="straipsnis" Nr="16" Abbr="16 str." Title="Rezervinio (stabilizavimo) fondo lėšų sąmatos patvirtinimas" DocPartId="ca9754052fa84c6cb4fb3bca15ef7925" PartId="048d2e8157144aac97a7fe4290e73e54">
      <Part Type="strDalis" Nr="1" Abbr="16 str. 1 d." DocPartId="e47098b37d084a47ae38b2ae6686ee09" PartId="527bc4c8f8c7457c87a0c04c0b602b22"/>
    </Part>
    <Part Type="straipsnis" Nr="17" Abbr="17 str." Title="Valstybės įmonės Ignalinos atominės elektrinės eksploatavimo nutraukimo fondo lėšų sąmatos patvirtinimas" DocPartId="6b3c58a18ed147e18040b5958ca662c2" PartId="eba976adf0904faaae1d913b2533695c">
      <Part Type="strDalis" Nr="1" Abbr="17 str. 1 d." DocPartId="83101b75408143a098156914c8963b3a" PartId="a510d7c29999428e98700388d37d8494"/>
    </Part>
    <Part Type="straipsnis" Nr="18" Abbr="18 str." Title="Garantinio fondo lėšų sąmatos patvirtinimas" DocPartId="515d4daaeda547f986d090db8a2150b2" PartId="3294ad2521894f6d97989936f5ab2081">
      <Part Type="strDalis" Nr="1" Abbr="18 str. 1 d." DocPartId="ef5e7103ca834d0e8684634df75e6850" PartId="f1d63bbc59af4956ba9303d716270c12"/>
    </Part>
    <Part Type="straipsnis" Nr="19" Abbr="19 str." Title="Vidutinio laikotarpio valdžios sektoriaus balanso rodiklio užduotys" DocPartId="cffbf2e60cda43249f029333b88e0af7" PartId="194de043f6cb4e4192aaff7e92f3978f">
      <Part Type="strDalis" Nr="1" Abbr="19 str. 1 d." DocPartId="f48eb86c47e542e08cf2070020c8c3b6" PartId="ce745862461a4fa4a560064def6d0908"/>
    </Part>
    <Part Type="straipsnis" Nr="20" Abbr="20 str." Title="Informacijos apie savivaldybių prisiimamus įsipareigojimus teikimas" DocPartId="969c01624f29488eb68c208c82a16f19" PartId="8a6c838d5bbf47899fd7774ef57ae642">
      <Part Type="strDalis" Nr="1" Abbr="20 str. 1 d." DocPartId="f6b79160acf44ee7afdd1a7536dd6624" PartId="5994703944b04e5c94e4f13da05438a6"/>
      <Part Type="strDalis" Nr="2" Abbr="20 str. 2 d." DocPartId="85baf2e7e3bf4297ac61e0a6eccbc8dd" PartId="2aad6907c78746c684b13426dc6d61e7"/>
      <Part Type="strDalis" Nr="3" Abbr="20 str. 3 d." DocPartId="2278537463574f3bad74fe28604304ab" PartId="6bca42353dbf46a4b26cf2f6ee9c24d6"/>
    </Part>
    <Part Type="signatura" DocPartId="a4434fbc8c924a399f5c9db4a5cba54b" PartId="ce2a9576fa65465db169903c6b148df4"/>
  </Part>
  <Part Type="priedas" Nr="1" Abbr="1 pr." Title="LIETUVOS RESPUBLIKOS 2016 METŲ VALSTYBĖS BIUDŽETAS" DocPartId="7250e77e16e541eeb896d44af5ad0431" PartId="c07ab9eaa5d04707a9561aa12963546b">
    <Part Type="lentele" Title="ASIGNAVIMAI" DocPartId="bdec02b2bfe34c528007c9ce8fa7b06e" PartId="99a8cd45e1194f20a383ed40faf9c2dc"/>
  </Part>
  <Part Type="priedas" Nr="2" Abbr="2 pr." Title="2016 METŲ BIUDŽETINIŲ ĮSTAIGŲ PAJAMŲ ĮMOKOS Į VALSTYBĖS BIUDŽETĄ, VALSTYBĖS BIUDŽETO PAJAMŲ IŠ MOKESČIŲ DALIS IR KITOS LĖŠOS, ĮSTATYMAIS, NUTARIMAIS IR KITAIS TEISĖS AKTAIS SKIRIAMOS PROGRAMOMS FINANSUOTI, PAGAL ASIGNAVIMŲ VALDYTOJUS" DocPartId="016f2c5a08b2471d8e06b512518f4be3" PartId="c0dffdd6f88a486d891b8a3a79f33b2f"/>
  <Part Type="priedas" Nr="3" Abbr="3 pr." Title="LIETUVOS RESPUBLIKOS 2016 METŲ VALSTYBĖS BIUDŽETO ASIGNAVIMAI TEISMAMS" DocPartId="b2ffd71b845e4373b93c896f6be8814e" PartId="0b12ef2b52c54d6fb678cd745d2e96fb"/>
  <Part Type="priedas" Nr="4" Abbr="4 pr." Title="LIETUVOS RESPUBLIKOS 2016 METŲ VALSTYBĖS BIUDŽETO SPECIALIOS TIKSLINĖS DOTACIJOS SAVIVALDYBIŲ BIUDŽETAMS" DocPartId="8e772d896caf44359564cba621b54b9a" PartId="0d9f3d84ebf54bce8e539eaa21cb5cd6"/>
  <Part Type="priedas" Nr="5" Abbr="5 pr." Title="LIETUVOS RESPUBLIKOS 2016 METŲ PROGNOZUOJAMOS VALSTYBĖS BIUDŽETO SPECIALIOS TIKSLINĖS DOTACIJOS SAVIVALDYBIŲ BIUDŽETAMS" DocPartId="1f0f637e6ac646edbb646c0aa7ae9ed6" PartId="cba139bdc8884628b95fb2068d14cd94"/>
  <Part Type="priedas" Nr="6" Abbr="6 pr." Title="LIETUVOS RESPUBLIKOS 2016 METŲ VALSTYBĖS BIUDŽETO BENDROSIOS DOTACIJOS KOMPENSACIJOS SAVIVALDYBIŲ BIUDŽETAMS" DocPartId="fd6526d8b6db491394ab6658c1208171" PartId="bf3e7b6dd0264e909d3b263dc6c754c2"/>
  <Part Type="priedas" Nr="7" Abbr="7 pr." Title="LIETUVOS RESPUBLIKOS 2016 METŲ SAVIVALDYBIŲ BIUDŽETŲ PROGNOZUOJAMOS PAJAMOS" DocPartId="3e384a8971ea4e2580749101f09ac0fa" PartId="1aef94fab4f843a3a82c8bd1112acdd7"/>
  <Part Type="priedas" Nr="8" Abbr="8 pr." Title="VALSTYBĖS INVESTICIJŲ 2016–2018 METŲ PROGRAMA (PAGAL INVESTAVIMO SRITIS)" DocPartId="7723d1d75a5643fe953d689798b30276" PartId="8c9d13ff804b453bb93e257578b19ca9"/>
  <Part Type="priedas" Nr="9" Abbr="9 pr." Title="2016 METŲ REZERVINIO (STABILIZAVIMO) FONDO LĖŠŲ SĄMATA" DocPartId="04bd7876e4484d71bf505499be4e0d0b" PartId="ba09c10026c74ed18311e90be794c1ea"/>
  <Part Type="priedas" Nr="10" Abbr="10 pr." Title="2016 METŲ VALSTYBĖS ĮMONĖS IGNALINOS ATOMINĖS ELEKTRINĖS EKSPLOATAVIMO NUTRAUKIMO FONDO LĖŠŲ SĄMATA" DocPartId="e6b2df4208d14d989f69ff6ef89e381f" PartId="a53b647c35c04395a4e8662d9a6db912"/>
  <Part Type="priedas" Nr="11" Abbr="11 pr." Title="2016 METŲ GARANTINIO FONDO LĖŠŲ SĄMATA" DocPartId="b6d5915574b94f9095770fa3703b864e" PartId="e47a47ecd9a84c7ebb4355ebf42c8586"/>
</Parts>
</file>

<file path=customXml/itemProps1.xml><?xml version="1.0" encoding="utf-8"?>
<ds:datastoreItem xmlns:ds="http://schemas.openxmlformats.org/officeDocument/2006/customXml" ds:itemID="{A74CF210-EDDF-4AD7-B184-968D8C1345ED}">
  <ds:schemaRefs>
    <ds:schemaRef ds:uri="http://lrs.lt/TAIS/DocPart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9065</Words>
  <Characters>57020</Characters>
  <Application>Microsoft Office Word</Application>
  <DocSecurity>4</DocSecurity>
  <Lines>3354</Lines>
  <Paragraphs>2541</Paragraphs>
  <ScaleCrop>false</ScaleCrop>
  <HeadingPairs>
    <vt:vector size="4" baseType="variant">
      <vt:variant>
        <vt:lpstr>Pavadinimas</vt:lpstr>
      </vt:variant>
      <vt:variant>
        <vt:i4>1</vt:i4>
      </vt:variant>
      <vt:variant>
        <vt:lpstr>Title</vt:lpstr>
      </vt:variant>
      <vt:variant>
        <vt:i4>1</vt:i4>
      </vt:variant>
    </vt:vector>
  </HeadingPairs>
  <TitlesOfParts>
    <vt:vector size="2" baseType="lpstr">
      <vt:lpstr/>
      <vt:lpstr> </vt:lpstr>
    </vt:vector>
  </TitlesOfParts>
  <Company>LR Seimas</Company>
  <LinksUpToDate>false</LinksUpToDate>
  <CharactersWithSpaces>63544</CharactersWithSpaces>
  <SharedDoc>false</SharedDoc>
  <HyperlinkBase/>
  <HLinks>
    <vt:vector size="6" baseType="variant">
      <vt:variant>
        <vt:i4>5832794</vt:i4>
      </vt:variant>
      <vt:variant>
        <vt:i4>1024</vt:i4>
      </vt:variant>
      <vt:variant>
        <vt:i4>1025</vt:i4>
      </vt:variant>
      <vt:variant>
        <vt:i4>1</vt:i4>
      </vt:variant>
      <vt:variant>
        <vt:lpwstr>C:\Documents and Settings\lipetr\My Documents\Vytis1.gif</vt:lpwstr>
      </vt:variant>
      <vt:variant>
        <vt:lpwstr/>
      </vt:variant>
    </vt:vector>
  </HLinks>
  <HyperlinksChanged>false</HyperlinksChanged>
  <AppVersion>14.0000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2015-12-21T14:37:00Z</dcterms:created>
  <dc:creator>MANIUŠKIENĖ Violeta</dc:creator>
  <lastModifiedBy>Adlib User</lastModifiedBy>
  <lastPrinted>2015-12-14T14:46:00Z</lastPrinted>
  <dcterms:modified xsi:type="dcterms:W3CDTF">2015-12-21T14:37:00Z</dcterms:modified>
  <revision>2</revision>
</coreProperties>
</file>