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PLAN DE SEGURIDAD</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Como parte de la seguridad lógica, deben implementar controles de acceso; ya que la empresa permite que toda la información sensible sea visible para todos los usuarios; teniendo en cuenta como buena práctica de la seguridad activa, el uso de contraseñas seguras para estos controles de acceso.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Como medida de seguridad lógica ,se debe implementar cifrado de datos: cuando los clientes realicen las compras.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Implementar medidas de seguridad física tales como un respaldo de los datos almacenados, puesto que podrán acceder a la última copia de seguridad guardada en caso de que ocurra un imprevisto, evitando así la pérdida masiva de  información, tiempo y producción.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Implementar medidas de seguridad lógica tal como lo es  la adquisición de una licencia de antivirus de mediano costo para la protección del software ante un eventual riesgo.</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Sus trabajadores están dispuestos a la capacitación, por lo que se deberán dar charlas con un periodo establecido en las que se discuta sobre la seguridad informática; especialmente a lo que se refiere a las clases de medida de seguridad (proactivas y reactivas).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Finalmente, en cuanto a la seguridad física, y al ser una empresa donde sus trabajadores trabajan on site, pueden implementar dispositivos físicos de protección, tales como: pararrayos, extintores y alarmas. </w:t>
      </w:r>
    </w:p>
    <w:p w:rsidR="00000000" w:rsidDel="00000000" w:rsidP="00000000" w:rsidRDefault="00000000" w:rsidRPr="00000000" w14:paraId="0000000E">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center"/>
      <w:rPr/>
    </w:pPr>
    <w:r w:rsidDel="00000000" w:rsidR="00000000" w:rsidRPr="00000000">
      <w:rPr>
        <w:rtl w:val="0"/>
      </w:rPr>
      <w:t xml:space="preserve">Equipo 7: Dayana Otagrí, Rocío Jimenez, Maria Emilia Caro, Diana Ramos, Nazly Arboleda, Natalia Peralta, Alejandra Marin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