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clase 21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990600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939800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93980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1003300"/>
                  <wp:effectExtent b="0" l="0" r="0" t="0"/>
                  <wp:docPr id="1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 80.443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TCP: 443. 8801. 8802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UDP 3478. 3479. 8801 - 8810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UDP ALEATORIO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UDP/TCP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443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TCP: 4244, 5222,5223, 5228, 5242 y 524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UPD: 3478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889000"/>
                  <wp:effectExtent b="0" l="0" r="0" t="0"/>
                  <wp:docPr id="1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952500"/>
                  <wp:effectExtent b="0" l="0" r="0" t="0"/>
                  <wp:docPr id="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990600"/>
                  <wp:effectExtent b="0" l="0" r="0" t="0"/>
                  <wp:docPr id="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91440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TCP: 3306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TCP: 9418(Puerto dedicado)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SSH: 22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 80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 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SSL utiliza el puerto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TCP 443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utiliza el puerto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0150" cy="1209675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20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11684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952500"/>
                  <wp:effectExtent b="0" l="0" r="0" t="0"/>
                  <wp:docPr id="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1193800"/>
                  <wp:effectExtent b="0" l="0" r="0" t="0"/>
                  <wp:docPr id="2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highlight w:val="white"/>
                <w:rtl w:val="0"/>
              </w:rPr>
              <w:t xml:space="preserve">VirtualBox</w:t>
            </w:r>
            <w:r w:rsidDel="00000000" w:rsidR="00000000" w:rsidRPr="00000000">
              <w:rPr>
                <w:color w:val="444444"/>
                <w:sz w:val="21"/>
                <w:szCs w:val="21"/>
                <w:highlight w:val="white"/>
                <w:rtl w:val="0"/>
              </w:rPr>
              <w:t xml:space="preserve">, por defecto se le asigna una red de tipo NAT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TCP: 1701 y 1723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UDP: 500, 1500, 1194 y 51820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el puerto 143 o 993 para IMAP o 110 o 995 para POP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1e1e1e"/>
                <w:sz w:val="24"/>
                <w:szCs w:val="24"/>
                <w:highlight w:val="white"/>
                <w:rtl w:val="0"/>
              </w:rPr>
              <w:t xml:space="preserve">IMAP y POP son dos métodos para obtener acceso al correo electrónico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TCP: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02122"/>
                <w:highlight w:val="white"/>
                <w:rtl w:val="0"/>
              </w:rPr>
              <w:t xml:space="preserve">20 y 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11430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83820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1104900"/>
                  <wp:effectExtent b="0" l="0" r="0" t="0"/>
                  <wp:docPr id="1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990600"/>
                  <wp:effectExtent b="0" l="0" r="0" t="0"/>
                  <wp:docPr id="1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71717"/>
                <w:sz w:val="21"/>
                <w:szCs w:val="21"/>
                <w:highlight w:val="white"/>
                <w:rtl w:val="0"/>
              </w:rPr>
              <w:t xml:space="preserve">TCP: 443, 80, TCP: 587, TCP: 143, 993, TCP: 995, TCP: 443, TCP: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443/TCP. 3478-3481/UDP. 50000-60000/UDP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color w:val="141414"/>
                <w:highlight w:val="white"/>
                <w:rtl w:val="0"/>
              </w:rPr>
              <w:t xml:space="preserve">80 (TCP/UDP), 433 (TCP), 443 (TCP), 3478 (TCP/UDP), 3479 (TCP/UDP), 5060 (TCP/UDP), 5062 (TCP/UDP), 5222 (TCP), 6250 (TCP/UDP), y 12000-65000 (TCP/UDP).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TCP: 1935, 3478-3480, 10000-10099 y 42127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UDP: 3074, 3478-3479, 3659 y 6000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28700" cy="1057275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11049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7747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850900"/>
                  <wp:effectExtent b="0" l="0" r="0" t="0"/>
                  <wp:docPr id="14" name="image17.jpg"/>
                  <a:graphic>
                    <a:graphicData uri="http://schemas.openxmlformats.org/drawingml/2006/picture">
                      <pic:pic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el puerto TCP -UDP 4070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HTTPS 443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HTTP 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TCP-UDP utiliza el puerto 5938, ya que, le brinda mejor rendimiento.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 443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y https  SSL</w:t>
              <w:br w:type="textWrapping"/>
              <w:t xml:space="preserve">Puertos: TCP 443 y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puertos 3478–3497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16403–16472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333333"/>
                <w:sz w:val="26"/>
                <w:szCs w:val="26"/>
                <w:highlight w:val="white"/>
                <w:rtl w:val="0"/>
              </w:rPr>
              <w:t xml:space="preserve">protocolo UDP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990600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33463" cy="1041730"/>
                  <wp:effectExtent b="0" l="0" r="0" t="0"/>
                  <wp:docPr id="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63" cy="10417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128270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puertos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27031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27036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27037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Puerto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 443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UDP 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TCP 7070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0.png"/><Relationship Id="rId21" Type="http://schemas.openxmlformats.org/officeDocument/2006/relationships/image" Target="media/image11.png"/><Relationship Id="rId24" Type="http://schemas.openxmlformats.org/officeDocument/2006/relationships/image" Target="media/image5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4.jpg"/><Relationship Id="rId25" Type="http://schemas.openxmlformats.org/officeDocument/2006/relationships/image" Target="media/image17.jpg"/><Relationship Id="rId28" Type="http://schemas.openxmlformats.org/officeDocument/2006/relationships/image" Target="media/image21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3.png"/><Relationship Id="rId11" Type="http://schemas.openxmlformats.org/officeDocument/2006/relationships/image" Target="media/image12.png"/><Relationship Id="rId10" Type="http://schemas.openxmlformats.org/officeDocument/2006/relationships/image" Target="media/image18.png"/><Relationship Id="rId13" Type="http://schemas.openxmlformats.org/officeDocument/2006/relationships/image" Target="media/image22.png"/><Relationship Id="rId12" Type="http://schemas.openxmlformats.org/officeDocument/2006/relationships/image" Target="media/image20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9.png"/><Relationship Id="rId19" Type="http://schemas.openxmlformats.org/officeDocument/2006/relationships/image" Target="media/image15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