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t>神经谱容量的残差上下文启发式研究</w:t>
      </w:r>
    </w:p>
    <w:p>
      <w:pPr>
        <w:widowControl/>
        <w:jc w:val="center"/>
      </w:pPr>
      <w:r>
        <w:rPr>
          <w:b/>
          <w:sz w:val="20"/>
        </w:rPr>
        <w:t>CS5491 课程项目立项书</w:t>
      </w:r>
    </w:p>
    <w:p>
      <w:pPr>
        <w:pStyle w:val="Heading1"/>
        <w:widowControl/>
      </w:pPr>
      <w:r>
        <w:t>研究问题</w:t>
      </w:r>
    </w:p>
    <w:p>
      <w:pPr>
        <w:widowControl/>
      </w:pPr>
      <w:r>
        <w:t>本项目研究：在神经谱容量（NSC）中加入由前序残差更新累积量调节的 FFN 分支权重，能否更好地体现 Transformer 计算图结构，并改善归档架构的性能排序与固定参数预算下的候选选择？我们将分别检验图结构敏感性与预测效果。即使改动没有带来改善，负面结果也具有研究价值。</w:t>
      </w:r>
    </w:p>
    <w:p>
      <w:pPr>
        <w:pStyle w:val="Heading1"/>
        <w:widowControl/>
      </w:pPr>
      <w:r>
        <w:t>方法与假设</w:t>
      </w:r>
    </w:p>
    <w:p>
      <w:pPr>
        <w:widowControl/>
      </w:pPr>
      <w:r>
        <w:t>保留课程 starter 提供的注意力与 FFN 容量估计。对第 l 层，定义 FFN 残差负载 q_l = d f_l s^4 / 2，作为两层独立高斯线性映射及中间 ReLU 的近似。评分为 S(α) = Σ_l [A_l + F_l / (1 + α Σ_{j&lt;l} q_j)]；α = 0 时即为加性消融。该代理假设输入各向同性，并忽略归一化与可学习缩放；它是待检验的启发式，而非已推导的容量定律。通过反转 FFN 宽度分配的受控示例检查顺序敏感性，但不把分数差异当作预测有效性的证据。</w:t>
      </w:r>
    </w:p>
    <w:p>
      <w:pPr>
        <w:pStyle w:val="Heading1"/>
        <w:widowControl/>
      </w:pPr>
      <w:r>
        <w:t>数据与比较方法</w:t>
      </w:r>
    </w:p>
    <w:p>
      <w:pPr>
        <w:widowControl/>
      </w:pPr>
      <w:r>
        <w:t>使用课程提供的 200 个 decoder Transformer 归档配置及固定的开发集、最终集划分（各 100 个架构）。比较原始 NSC、位置加权教学示例、本项目的加性消融、参数量、参考 FLOPs 和均匀随机选择；同时报告隐藏宽度相同且参数量差异不超过 10% 的对照比较。</w:t>
      </w:r>
    </w:p>
    <w:p>
      <w:pPr>
        <w:pStyle w:val="Heading1"/>
        <w:widowControl/>
      </w:pPr>
      <w:r>
        <w:t>评估与里程碑</w:t>
      </w:r>
    </w:p>
    <w:p>
      <w:pPr>
        <w:widowControl/>
      </w:pPr>
      <w:r>
        <w:t>开发集报告 Spearman ρ、Kendall τb、并列数，以及参数上限为 10M、20M、30M、50M 时 k = 1、3 的选择结果，包括最佳困惑度与遗憾值。仅用开发集选择 α 和其他方法设置，随后冻结方案，再评估最终集。阶段安排：①接入 starter 并复现其检查与基线；②实现评分、消融及受控数值检查；③完成开发集比较并冻结方法；④评估最终集，整理可复现代码、命令与报告。</w:t>
      </w:r>
    </w:p>
    <w:p>
      <w:pPr>
        <w:pStyle w:val="Heading1"/>
        <w:widowControl/>
      </w:pPr>
      <w:r>
        <w:t>资源、限制与交付</w:t>
      </w:r>
    </w:p>
    <w:p>
      <w:pPr>
        <w:widowControl/>
      </w:pPr>
      <w:r>
        <w:t>核心研究可在普通笔记本 CPU 上完成，不训练新的 Transformer，也不需要 GPU 或 LLM API。目前仓库尚无 starter 压缩包和评测数据，获得材料并接入前不报告实验结果。归档数据每个架构只有一个结果，无法估计训练随机种子带来的不确定性；结论仅适用于该固定架构集合。交付包括可复现代码、配置、精确命令、四页最终报告，以及课程要求的 graded commit 或 tag。</w:t>
      </w:r>
    </w:p>
    <w:p>
      <w:pPr>
        <w:pStyle w:val="Heading1"/>
        <w:widowControl/>
      </w:pPr>
      <w:r>
        <w:t>参考文献</w:t>
      </w:r>
    </w:p>
    <w:p>
      <w:pPr>
        <w:widowControl/>
      </w:pPr>
      <w:r>
        <w:t>[1] Zhu、Zhao、Lu，Neural Spectral Capacity: Measuring and Designing Architectures from Network Specification Alone。[2] Javaheripi 等，LiteTransformerSearch: Training-free Neural Architecture Search for Efficient Language Models，NeurIPS 2022。研究范围与归档数据限制依据课程提供的主题说明。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Hiragino Sans GB" w:hAnsi="Hiragino Sans GB" w:eastAsia="Hiragino Sans GB" w:cs="Hiragino Sans GB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神经谱容量的残差上下文启发式研究 - 课程项目立项书</dc:title>
  <dc:subject>CS5491 课程项目立项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