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TAVR 操作引导 Agent 产品设计</w:t>
      </w:r>
    </w:p>
    <w:p>
      <w:r>
        <w:rPr>
          <w:rFonts w:ascii="Hiragino Sans GB" w:hAnsi="Hiragino Sans GB" w:eastAsia="Hiragino Sans GB"/>
        </w:rPr>
        <w:t>版本 2.0　修订日期 2026年9月16日　状态 产品与临床评审稿</w:t>
      </w:r>
    </w:p>
    <w:p>
      <w:pPr>
        <w:pStyle w:val="Heading1"/>
      </w:pPr>
      <w:r>
        <w:t>1 产品定位与设计结论</w:t>
      </w:r>
    </w:p>
    <w:p>
      <w:r>
        <w:rPr>
          <w:rFonts w:ascii="Hiragino Sans GB" w:hAnsi="Hiragino Sans GB" w:eastAsia="Hiragino Sans GB"/>
        </w:rPr>
        <w:t>本产品覆盖 TAVR 术前规划与术中导航，基于软件已提交的真实状态，提供操作引导、前置条件提醒、设备和数据异常提示，以及术后数据完整性检查。临床判断、假体选择、释放位置和治疗方案由医生决定。Agent 不控制机械臂，不修改释放参数，不生成新的临床结论。</w:t>
      </w:r>
    </w:p>
    <w:p>
      <w:r>
        <w:rPr>
          <w:rFonts w:ascii="Hiragino Sans GB" w:hAnsi="Hiragino Sans GB" w:eastAsia="Hiragino Sans GB"/>
        </w:rPr>
        <w:t>本版采用确定性规则优先、关键告警固定模板直出、语言模型受限增强的设计。交互澄清只询问用户有能力回答且能改变后续引导的问题；客观事实的有效性必须由业务软件或设备源确认。用户画像改变教学和表达方式，不改变风险规则、权限或必要业务确认。</w:t>
      </w:r>
    </w:p>
    <w:p>
      <w:pPr>
        <w:pStyle w:val="Heading2"/>
      </w:pPr>
      <w:r>
        <w:t>1.1 范围与使用者</w:t>
      </w:r>
    </w:p>
    <w:p>
      <w:r>
        <w:rPr>
          <w:rFonts w:ascii="Hiragino Sans GB" w:hAnsi="Hiragino Sans GB" w:eastAsia="Hiragino Sans GB"/>
        </w:rPr>
        <w:t>术前阶段覆盖影像导入、分割重建、测量与标记、已有风险评估记录、假体选型记录与虚拟植入、位置角度复核、多方案比较及报告。术中阶段保留 CT 配准、超声配准、导丝导航、支架释放、完成手术五步。页面位置、实际阶段、步骤完成证据和数据有效性分别显示和维护。</w:t>
      </w:r>
    </w:p>
    <w:p>
      <w:r>
        <w:rPr>
          <w:rFonts w:ascii="Hiragino Sans GB" w:hAnsi="Hiragino Sans GB" w:eastAsia="Hiragino Sans GB"/>
        </w:rPr>
        <w:t>使用者包括主刀、助手医生或器械护士、麻醉师或灌注师、技师或临床工程师。账号权限由原软件身份系统提供。切换角色视图只改变展示内容；参与病例、查看数据和执行业务操作均须独立授权。</w:t>
      </w:r>
    </w:p>
    <w:p>
      <w:pPr>
        <w:pStyle w:val="Heading2"/>
      </w:pPr>
      <w:r>
        <w:t>1.2 依据与修订效力</w:t>
      </w:r>
    </w:p>
    <w:p>
      <w:r>
        <w:rPr>
          <w:rFonts w:ascii="Hiragino Sans GB" w:hAnsi="Hiragino Sans GB" w:eastAsia="Hiragino Sans GB"/>
        </w:rPr>
        <w:t>依据为原《TAVR 手术规划软件 - 操作引导 Agent 产品设计》最近更新 2026年9月4日，以及项目现有《TAVR操作引导Agent系统设计》。本版替代原产品草案中相同主题的描述，并补齐原引用但缺失的交互细则。新增交互策略属于本版建议设计，需评审后发布；原文中尚未统一的临床阈值继续保持未决状态。</w:t>
      </w:r>
    </w:p>
    <w:p>
      <w:pPr>
        <w:pStyle w:val="Heading1"/>
      </w:pPr>
      <w:r>
        <w:t>2 用户画像与策略优先级</w:t>
      </w:r>
    </w:p>
    <w:p>
      <w:r>
        <w:rPr>
          <w:rFonts w:ascii="Hiragino Sans GB" w:hAnsi="Hiragino Sans GB" w:eastAsia="Hiragino Sans GB"/>
        </w:rPr>
        <w:t>画像由四个独立维度组成。系统每次生成提示时形成一份有效策略，记录各配置来源，避免把角色、熟练度、偏好和安全要求混成单一标签。</w:t>
      </w:r>
    </w:p>
    <w:tbl>
      <w:tblPr>
        <w:tblW w:type="auto" w:w="0"/>
        <w:jc w:val="center"/>
        <w:tblLayout w:type="fixed"/>
        <w:tblLook w:firstColumn="1" w:firstRow="1" w:lastColumn="0" w:lastRow="0" w:noHBand="0" w:noVBand="1" w:val="04A0"/>
      </w:tblPr>
      <w:tblGrid>
        <w:gridCol w:w="1872"/>
        <w:gridCol w:w="2808"/>
        <w:gridCol w:w="2808"/>
        <w:gridCol w:w="2736"/>
      </w:tblGrid>
      <w:tr>
        <w:trPr>
          <w:tblHeader w:val="true"/>
          <w:cantSplit/>
        </w:trPr>
        <w:tc>
          <w:tcPr>
            <w:tcW w:type="dxa" w:w="1872"/>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维度</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数据来源</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可影响内容</w:t>
            </w:r>
          </w:p>
        </w:tc>
        <w:tc>
          <w:tcPr>
            <w:tcW w:type="dxa" w:w="273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不可影响内容</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角色</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登录授权角色与当前展示视图</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投递对象、设备排查细节、说明重点</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账号权限、事实和风险判定</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熟练度</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用户主动选择、教学记录、已完成临床会话数</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基础 info、分步教学、界面定位说明</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风险等级、必要业务确认</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个人偏好</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用户显式设置、获准的非关键行为信号</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详略、审核术语、非关键载体</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阈值、跳过权限、关键提示可见性</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会话情境</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临床或训练、术前或术中、步骤与健康状态</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当前教学内容、询问时机、提示排序</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历史事实、物理里程碑</w:t>
            </w:r>
          </w:p>
        </w:tc>
      </w:tr>
    </w:tbl>
    <w:p>
      <w:pPr>
        <w:spacing w:after="20"/>
      </w:pPr>
    </w:p>
    <w:p>
      <w:pPr>
        <w:pStyle w:val="Heading2"/>
      </w:pPr>
      <w:r>
        <w:t>2.1 角色投递</w:t>
      </w:r>
    </w:p>
    <w:p>
      <w:r>
        <w:rPr>
          <w:rFonts w:ascii="Hiragino Sans GB" w:hAnsi="Hiragino Sans GB" w:eastAsia="Hiragino Sans GB"/>
        </w:rPr>
        <w:t>主刀接收流程引导、全部关键告警、导航和释放评估待办。助手接收设备准备、就绪状态及协作任务。技师接收设备异常、校准和经授权的技术日志入口。麻醉角色接收有真实事件来源的阶段通知；预计时长无可信来源时不显示。主刀相关 critical 同步给参与该会话且获授权的助手和技师，采用审核角色模板。</w:t>
      </w:r>
    </w:p>
    <w:p>
      <w:r>
        <w:rPr>
          <w:rFonts w:ascii="Hiragino Sans GB" w:hAnsi="Hiragino Sans GB" w:eastAsia="Hiragino Sans GB"/>
        </w:rPr>
        <w:t>需要全体相关角色知晓的风险不会因某一人已读而从其他人的视图消失。助手反馈“检查完毕”仅完成协作任务，不能把离线设备改为就绪。设备风险仍等待设备源或原业务模块确认。</w:t>
      </w:r>
    </w:p>
    <w:p>
      <w:pPr>
        <w:pStyle w:val="Heading2"/>
      </w:pPr>
      <w:r>
        <w:t>2.2 熟练度与首次使用</w:t>
      </w:r>
    </w:p>
    <w:p>
      <w:r>
        <w:rPr>
          <w:rFonts w:ascii="Hiragino Sans GB" w:hAnsi="Hiragino Sans GB" w:eastAsia="Hiragino Sans GB"/>
        </w:rPr>
        <w:t>引导级别统一为 DETAILED 详细教学、STANDARD 标准引导、COMPACT 简洁引导。新用户默认 DETAILED；用户可随时修改，并可选择只应用本次会话或保存为个人默认。</w:t>
      </w:r>
    </w:p>
    <w:p>
      <w:r>
        <w:rPr>
          <w:rFonts w:ascii="Hiragino Sans GB" w:hAnsi="Hiragino Sans GB" w:eastAsia="Hiragino Sans GB"/>
        </w:rPr>
        <w:t>原草案前3例、前5例、4至10例及10例后自动降级等重叠规则取消。首版采用一个工程配置 study_suggestion_case_count，建议初值为10，含义是完成第10例临床会话后，在会话结束时最多建议一次调整教学级别；此数值属于待产品批准的使用体验参数，不是临床门槛。建议必须经用户接受，不能自动降级。不使用尚无可靠定义的“操作正确率”给医生评分。</w:t>
      </w:r>
    </w:p>
    <w:p>
      <w:r>
        <w:rPr>
          <w:rFonts w:ascii="Hiragino Sans GB" w:hAnsi="Hiragino Sans GB" w:eastAsia="Hiragino Sans GB"/>
        </w:rPr>
        <w:t>临床完成病例按唯一病例和手术过程标识去重，重连、重开页面和中断会话不重复计数。训练记录单独保存，默认不计入临床病例数。训练完成不等于临床授权或资质认证。</w:t>
      </w:r>
    </w:p>
    <w:p>
      <w:r>
        <w:rPr>
          <w:rFonts w:ascii="Hiragino Sans GB" w:hAnsi="Hiragino Sans GB" w:eastAsia="Hiragino Sans GB"/>
        </w:rPr>
        <w:t>教学关闭只代表用户选择退出教学，不记录为“已完成教学”。分别记录未开始、进行中、主动退出、已完成。教学完成需要既定教学项的完成证据。详细模式下，高风险或不可逆操作的说明可更充分；必须确认的业务操作不会因熟练度提高而取消。</w:t>
      </w:r>
    </w:p>
    <w:p>
      <w:pPr>
        <w:pStyle w:val="Heading2"/>
      </w:pPr>
      <w:r>
        <w:t>2.3 策略优先级</w:t>
      </w:r>
    </w:p>
    <w:p>
      <w:r>
        <w:rPr>
          <w:rFonts w:ascii="Hiragino Sans GB" w:hAnsi="Hiragino Sans GB" w:eastAsia="Hiragino Sans GB"/>
        </w:rPr>
        <w:t>生效顺序为已批准安全与业务规则、账号权限、当前有效事实和会话状态、角色投递、用户主动选择的引导级别、个人表达偏好。低优先级配置不能覆盖高优先级约束。详细模式可增加教学信息，简洁模式可收起基础 info；critical 和正在生效的重要前置条件始终保留。</w:t>
      </w:r>
    </w:p>
    <w:p>
      <w:pPr>
        <w:pStyle w:val="Heading2"/>
      </w:pPr>
      <w:r>
        <w:t>2.4 首版个性化范围</w:t>
      </w:r>
    </w:p>
    <w:p>
      <w:r>
        <w:rPr>
          <w:rFonts w:ascii="Hiragino Sans GB" w:hAnsi="Hiragino Sans GB" w:eastAsia="Hiragino Sans GB"/>
        </w:rPr>
        <w:t>首版采用显式设置和结构化偏好表，向量库不是必需组件。仅在后续存在足够的审核术语材料和语义检索需求时引入向量检索。偏好类型白名单包括 verbosity、approved_terminology、noncritical_channel、tutorial_level。学习系统最多提出可拒绝的设置建议。</w:t>
      </w:r>
    </w:p>
    <w:p>
      <w:r>
        <w:rPr>
          <w:rFonts w:ascii="Hiragino Sans GB" w:hAnsi="Hiragino Sans GB" w:eastAsia="Hiragino Sans GB"/>
        </w:rPr>
        <w:t>禁止从“经常跳过”“经常例外采纳”“频繁忽略告警”推断以后自动跳过、自动采纳或不再询问。忽略某一风险不产生跨病例的安全策略。用户可查看、修改、关闭或清除偏好；个人数据按账号隔离，团队术语共享需显式授权。撤销授权后停止新的共享检索，审计保留必要的授权变更记录。</w:t>
      </w:r>
    </w:p>
    <w:p>
      <w:pPr>
        <w:pStyle w:val="Heading1"/>
      </w:pPr>
      <w:r>
        <w:t>3 感知与事实模型</w:t>
      </w:r>
    </w:p>
    <w:p>
      <w:r>
        <w:rPr>
          <w:rFonts w:ascii="Hiragino Sans GB" w:hAnsi="Hiragino Sans GB" w:eastAsia="Hiragino Sans GB"/>
        </w:rPr>
        <w:t>原软件是操作和算法结果的权威来源。事件须对应已提交业务状态；按钮点击和页面切换只表示操作意图或界面上下文。连续位姿与设备状态转换分开采集，最新位姿不能替代跟踪丢失事件。</w:t>
      </w:r>
    </w:p>
    <w:tbl>
      <w:tblPr>
        <w:tblW w:type="auto" w:w="0"/>
        <w:jc w:val="center"/>
        <w:tblLayout w:type="fixed"/>
        <w:tblLook w:firstColumn="1" w:firstRow="1" w:lastColumn="0" w:lastRow="0" w:noHBand="0" w:noVBand="1" w:val="04A0"/>
      </w:tblPr>
      <w:tblGrid>
        <w:gridCol w:w="2376"/>
        <w:gridCol w:w="3816"/>
        <w:gridCol w:w="4032"/>
      </w:tblGrid>
      <w:tr>
        <w:trPr>
          <w:tblHeader w:val="true"/>
          <w:cantSplit/>
        </w:trPr>
        <w:tc>
          <w:tcPr>
            <w:tcW w:type="dxa" w:w="237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输入</w:t>
            </w:r>
          </w:p>
        </w:tc>
        <w:tc>
          <w:tcPr>
            <w:tcW w:type="dxa" w:w="381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内容</w:t>
            </w:r>
          </w:p>
        </w:tc>
        <w:tc>
          <w:tcPr>
            <w:tcW w:type="dxa" w:w="4032"/>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质量要求</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术前业务</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DICOM、分割、测量、标记、虚拟植入、报告状态</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结果标识、输入版本、提交时间</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配准</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CT与US结果、点数、RMS、变换、采纳记录</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单位、算法版本、坐标系、质量与有效性</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设备</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互联服务器、超声机械臂、导丝、双5D跟踪器</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连接、自检、最近数据时间分别提供</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导航</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导丝位姿、跟踪状态、相机联动、中心线进度</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样本序号、坐标系、变换版本、采样时间</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释放</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加载状态、Stent RMS、跟踪支架及已有评估</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数值定义、来源、有效性和版本</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规划基线</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假体参数、目标、已有解剖评估及测量</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显式病例绑定、单位、坐标系和摘要</w:t>
            </w:r>
          </w:p>
        </w:tc>
      </w:tr>
    </w:tbl>
    <w:p>
      <w:pPr>
        <w:spacing w:after="20"/>
      </w:pPr>
    </w:p>
    <w:p>
      <w:r>
        <w:rPr>
          <w:rFonts w:ascii="Hiragino Sans GB" w:hAnsi="Hiragino Sans GB" w:eastAsia="Hiragino Sans GB"/>
        </w:rPr>
        <w:t>所有事实支持缺失、有效、失效、重算中和错误。未知不得等同正常，缺失不得默认为0。设备连接正常但数据停滞时显示“数据不可用或过期”，不能由用户选择“继续观察”恢复为有效。</w:t>
      </w:r>
    </w:p>
    <w:p>
      <w:pPr>
        <w:pStyle w:val="Heading1"/>
      </w:pPr>
      <w:r>
        <w:t>4 流程与记忆</w:t>
      </w:r>
    </w:p>
    <w:p>
      <w:pPr>
        <w:pStyle w:val="Heading2"/>
      </w:pPr>
      <w:r>
        <w:t>4.1 流程状态</w:t>
      </w:r>
    </w:p>
    <w:p>
      <w:r>
        <w:rPr>
          <w:rFonts w:ascii="Hiragino Sans GB" w:hAnsi="Hiragino Sans GB" w:eastAsia="Hiragino Sans GB"/>
        </w:rPr>
        <w:t>术中五步依次为 CT 配准、超声配准、导丝导航、支架释放和完成手术。每步保存未到达、进行中、已完成、已失效、医生主动跳过；另存用户所在页面、实际业务阶段、完成证据及前置条件三态。医生跳过不构成完成证据，也不自动满足下游条件。</w:t>
      </w:r>
    </w:p>
    <w:p>
      <w:r>
        <w:rPr>
          <w:rFonts w:ascii="Hiragino Sans GB" w:hAnsi="Hiragino Sans GB" w:eastAsia="Hiragino Sans GB"/>
        </w:rPr>
        <w:t>术前流程以依赖关系驱动，不强行把每个页面变成必经步骤。影像、分割、测量、已有风险复核、选型记录和虚拟植入、位置角度复核、方案比较及报告分别有完成证据。标记、校准及方案比较是否强制需由流程配置明确，未经评审不得设置隐含门禁。</w:t>
      </w:r>
    </w:p>
    <w:p>
      <w:pPr>
        <w:pStyle w:val="Heading2"/>
      </w:pPr>
      <w:r>
        <w:t>4.2 依赖失效与阶段继承</w:t>
      </w:r>
    </w:p>
    <w:p>
      <w:r>
        <w:rPr>
          <w:rFonts w:ascii="Hiragino Sans GB" w:hAnsi="Hiragino Sans GB" w:eastAsia="Hiragino Sans GB"/>
        </w:rPr>
        <w:t>重做分割使依赖测量和模拟失效；重测瓣环使相关选型参考与模拟待复核；CT重新配准使旧变换下的空间结果失效；US重新标定使旧融合结果失效；更新规划基线使相关偏差失效。历史值可查阅，但不得作为当前有效判断展示。</w:t>
      </w:r>
    </w:p>
    <w:p>
      <w:r>
        <w:rPr>
          <w:rFonts w:ascii="Hiragino Sans GB" w:hAnsi="Hiragino Sans GB" w:eastAsia="Hiragino Sans GB"/>
        </w:rPr>
        <w:t>基线导入须显式确认病例和版本。基线更新形成新版本及差异记录，触发依赖复核。不可依赖最后打开病例进行匹配。物理里程碑包括导丝入鞘、瓣膜装载、假体释放和脱钩，记录后锁定；更正是新增记录并引用原记录，不能表示物理行为已逆转。</w:t>
      </w:r>
    </w:p>
    <w:p>
      <w:pPr>
        <w:pStyle w:val="Heading2"/>
      </w:pPr>
      <w:r>
        <w:t>4.3 会话记忆</w:t>
      </w:r>
    </w:p>
    <w:p>
      <w:r>
        <w:rPr>
          <w:rFonts w:ascii="Hiragino Sans GB" w:hAnsi="Hiragino Sans GB" w:eastAsia="Hiragino Sans GB"/>
        </w:rPr>
        <w:t>复用现有业务留痕，并补充规则命中与不可评估、提示展示、澄清、画像策略、语言增强、降级恢复和报告版本记录。训练使用独立命名空间和审计类别，不进入临床病例统计和临床报告。</w:t>
      </w:r>
    </w:p>
    <w:p>
      <w:pPr>
        <w:pStyle w:val="Heading1"/>
      </w:pPr>
      <w:r>
        <w:t>5 规则与语言增强</w:t>
      </w:r>
    </w:p>
    <w:p>
      <w:pPr>
        <w:pStyle w:val="Heading2"/>
      </w:pPr>
      <w:r>
        <w:t>5.1 规则判定</w:t>
      </w:r>
    </w:p>
    <w:p>
      <w:r>
        <w:rPr>
          <w:rFonts w:ascii="Hiragino Sans GB" w:hAnsi="Hiragino Sans GB" w:eastAsia="Hiragino Sans GB"/>
        </w:rPr>
        <w:t>规则结果分为命中、未命中、不可评估。风险分为 critical、attention 和 info；不可评估是求值状态，不是风险等级。数据缺失、过期、同步中、坐标不一致、规则未批准及阈值冲突均产生不可评估，并显示具体监控范围受限。</w:t>
      </w:r>
    </w:p>
    <w:p>
      <w:r>
        <w:rPr>
          <w:rFonts w:ascii="Hiragino Sans GB" w:hAnsi="Hiragino Sans GB" w:eastAsia="Hiragino Sans GB"/>
        </w:rPr>
        <w:t>critical 使用审核固定话术和结构化证据，直接显示并按静音策略触发本地语音。attention 用于已定义的质量或评估提醒；info 用于流程和教学。一般跟踪异常和明确跟踪丢失使用不同事实枚举，其风险映射需完成危害与产品评审。上线前不得用开发者推测替代该映射。</w:t>
      </w:r>
    </w:p>
    <w:p>
      <w:pPr>
        <w:pStyle w:val="Heading2"/>
      </w:pPr>
      <w:r>
        <w:t>5.2 阈值与例外采纳</w:t>
      </w:r>
    </w:p>
    <w:p>
      <w:r>
        <w:rPr>
          <w:rFonts w:ascii="Hiragino Sans GB" w:hAnsi="Hiragino Sans GB" w:eastAsia="Hiragino Sans GB"/>
        </w:rPr>
        <w:t>CT RMS 原文存在小于5.0 mm和小于1.0 mm两种门槛，本版不选定其中任一。正式决议前禁用对应自动达标判断，并显示规则未配置。CT手动4点、US手动9点保留为原产品流程要求，需按算法方式限定，不能直接等价于配准质量合格。</w:t>
      </w:r>
    </w:p>
    <w:p>
      <w:r>
        <w:rPr>
          <w:rFonts w:ascii="Hiragino Sans GB" w:hAnsi="Hiragino Sans GB" w:eastAsia="Hiragino Sans GB"/>
        </w:rPr>
        <w:t>Stent RMS大于2.0的警示以及0至1.0的颜色描述保留为原需求来源。指标定义、单位和1.0至2.0显示映射需由算法与产品团队补齐；未批准完整定义前不对其生成新临床解释。其他空间、运动和生理阈值仍待确认。</w:t>
      </w:r>
    </w:p>
    <w:p>
      <w:r>
        <w:rPr>
          <w:rFonts w:ascii="Hiragino Sans GB" w:hAnsi="Hiragino Sans GB" w:eastAsia="Hiragino Sans GB"/>
        </w:rPr>
        <w:t>医生采纳记录、规则质量结论、下游可用性是三个独立字段。超阈值采纳仅在批准的例外流程中提供，并记录权限、原因、确认与结果版本。一次采纳不改变阈值，不使规则变为达标，也不自动授权导航。</w:t>
      </w:r>
    </w:p>
    <w:p>
      <w:pPr>
        <w:pStyle w:val="Heading2"/>
      </w:pPr>
      <w:r>
        <w:t>5.3 受限语言增强</w:t>
      </w:r>
    </w:p>
    <w:p>
      <w:r>
        <w:rPr>
          <w:rFonts w:ascii="Hiragino Sans GB" w:hAnsi="Hiragino Sans GB" w:eastAsia="Hiragino Sans GB"/>
        </w:rPr>
        <w:t>规则原文立即展示，LLM仅异步生成非关键辅助说明。关键风险、事实、数字、单位、否定关系和按钮使用审核模板与结构化字段。LLM首版不生成attention语音；需要语音时使用审核模板。操作目的说明优先检索经审核内容，不让模型自由扩展临床意义。</w:t>
      </w:r>
    </w:p>
    <w:p>
      <w:r>
        <w:rPr>
          <w:rFonts w:ascii="Hiragino Sans GB" w:hAnsi="Hiragino Sans GB" w:eastAsia="Hiragino Sans GB"/>
        </w:rPr>
        <w:t>模型不能决定下一步、生成新动作、修改跳过属性或重写critical。结构校验并不证明自由文本语义安全，因此数值相同仍不能自动接受新增建议。无法充分约束的场景继续使用模板。超时、越界、遗漏、状态过期或校验失败时保持原文，并记录回退原因。</w:t>
      </w:r>
    </w:p>
    <w:p>
      <w:pPr>
        <w:pStyle w:val="Heading1"/>
      </w:pPr>
      <w:r>
        <w:t>6 交互澄清</w:t>
      </w:r>
    </w:p>
    <w:p>
      <w:pPr>
        <w:pStyle w:val="Heading2"/>
      </w:pPr>
      <w:r>
        <w:t>6.1 交互分类</w:t>
      </w:r>
    </w:p>
    <w:tbl>
      <w:tblPr>
        <w:tblW w:type="auto" w:w="0"/>
        <w:jc w:val="center"/>
        <w:tblLayout w:type="fixed"/>
        <w:tblLook w:firstColumn="1" w:firstRow="1" w:lastColumn="0" w:lastRow="0" w:noHBand="0" w:noVBand="1" w:val="04A0"/>
      </w:tblPr>
      <w:tblGrid>
        <w:gridCol w:w="1872"/>
        <w:gridCol w:w="2808"/>
        <w:gridCol w:w="2808"/>
        <w:gridCol w:w="2736"/>
      </w:tblGrid>
      <w:tr>
        <w:trPr>
          <w:tblHeader w:val="true"/>
          <w:cantSplit/>
        </w:trPr>
        <w:tc>
          <w:tcPr>
            <w:tcW w:type="dxa" w:w="1872"/>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类型</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示例</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用户回答的作用</w:t>
            </w:r>
          </w:p>
        </w:tc>
        <w:tc>
          <w:tcPr>
            <w:tcW w:type="dxa" w:w="273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执行边界</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信息补充</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补充允许由医生录入的报告字段</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进入原业务录入流程</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原软件提交后形成事实</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意图澄清</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未完成当前项便切换页面</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选择返回检查或保留当前位置</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不把页面意图当作业务完成</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业务确认</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批准流程中的例外采纳或重置</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发起客户端确认流程</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权限、确认及执行都在业务软件</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提示偏好</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本次是否收起基础教学</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修改允许的展示偏好</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不改变风险和业务状态</w:t>
            </w:r>
          </w:p>
        </w:tc>
      </w:tr>
    </w:tbl>
    <w:p>
      <w:pPr>
        <w:spacing w:after="20"/>
      </w:pPr>
    </w:p>
    <w:p>
      <w:pPr>
        <w:pStyle w:val="Heading2"/>
      </w:pPr>
      <w:r>
        <w:t>6.2 触发与不触发条件</w:t>
      </w:r>
    </w:p>
    <w:p>
      <w:r>
        <w:rPr>
          <w:rFonts w:ascii="Hiragino Sans GB" w:hAnsi="Hiragino Sans GB" w:eastAsia="Hiragino Sans GB"/>
        </w:rPr>
        <w:t>仅当存在可明确描述的信息缺口、用户有能力回答、选项受批准、答案能改变后续引导且当前时机允许时提出问题。每个问题给出2至3个明确选项；不存在合法选项时展示待办，不强行凑选项。正式数据录入可进入原软件表单，不把自由文本直接用作规则事实。</w:t>
      </w:r>
    </w:p>
    <w:p>
      <w:r>
        <w:rPr>
          <w:rFonts w:ascii="Hiragino Sans GB" w:hAnsi="Hiragino Sans GB" w:eastAsia="Hiragino Sans GB"/>
        </w:rPr>
        <w:t>设备离线、跟踪丢失、数据过期、配准算法失败等客观异常直接告警或降级，不询问用户是否将其视为正常。critical场景不通过澄清决定等级。偏好置信度不足时使用标准配置，不在术中追问习惯。</w:t>
      </w:r>
    </w:p>
    <w:p>
      <w:pPr>
        <w:pStyle w:val="Heading2"/>
      </w:pPr>
      <w:r>
        <w:t>6.3 状态与有效期</w:t>
      </w:r>
    </w:p>
    <w:p>
      <w:r>
        <w:rPr>
          <w:rFonts w:ascii="Hiragino Sans GB" w:hAnsi="Hiragino Sans GB" w:eastAsia="Hiragino Sans GB"/>
        </w:rPr>
        <w:t>澄清状态为 OPEN、COLLAPSED、ANSWERED、SUPERSEDED、EXPIRED、WITHDRAWN。普通问题15秒无响应后折叠，详细教学模式30秒后折叠；折叠保留侧边栏入口且不产生答案。每类问题配置独立的有效期，工程建议初值120秒，待产品批准。到期进入EXPIRED；界面保持展示时仍须清晰标记不可再提交。</w:t>
      </w:r>
    </w:p>
    <w:p>
      <w:r>
        <w:rPr>
          <w:rFonts w:ascii="Hiragino Sans GB" w:hAnsi="Hiragino Sans GB" w:eastAsia="Hiragino Sans GB"/>
        </w:rPr>
        <w:t>步骤上下文、依赖事实、问题选项、权限或相关风险改变时，问题立即变为SUPERSEDED。重新打开问题必须重新求值；不能延长旧问题有效期或复用旧选项。结束会话使全部未处理问题失效。</w:t>
      </w:r>
    </w:p>
    <w:p>
      <w:pPr>
        <w:pStyle w:val="Heading2"/>
      </w:pPr>
      <w:r>
        <w:t>6.4 提交与真实执行</w:t>
      </w:r>
    </w:p>
    <w:p>
      <w:r>
        <w:rPr>
          <w:rFonts w:ascii="Hiragino Sans GB" w:hAnsi="Hiragino Sans GB" w:eastAsia="Hiragino Sans GB"/>
        </w:rPr>
        <w:t>用户选择后校验问题版本、依赖事实版本、权限、截止时间和是否已被处理。成功只表示选择已记录。若选项包含业务操作，客户端进入原业务流程，执行前再次检查条件。界面分别显示选择已接收、操作待执行、执行成功或失败、结果已验证。</w:t>
      </w:r>
    </w:p>
    <w:p>
      <w:r>
        <w:rPr>
          <w:rFonts w:ascii="Hiragino Sans GB" w:hAnsi="Hiragino Sans GB" w:eastAsia="Hiragino Sans GB"/>
        </w:rPr>
        <w:t>Agent只在收到业务模块发布的权威事件后更新事实。超时、折叠、语音未识别或用户离开页面，不会自动采纳、跳过、重新配准或连接设备。安全选项可优先排列，但不得因为默认焦点或超时而自动执行。</w:t>
      </w:r>
    </w:p>
    <w:p>
      <w:pPr>
        <w:pStyle w:val="Heading2"/>
      </w:pPr>
      <w:r>
        <w:t>6.5 撤回</w:t>
      </w:r>
    </w:p>
    <w:p>
      <w:r>
        <w:rPr>
          <w:rFonts w:ascii="Hiragino Sans GB" w:hAnsi="Hiragino Sans GB" w:eastAsia="Hiragino Sans GB"/>
        </w:rPr>
        <w:t>保留原需求10秒撤回窗口，限定于可逆偏好或尚未被业务执行器认领的选择。已开始或已完成业务动作无法靠撤回问题回滚；客户端显示当前操作状态，必要时进入原业务系统支持的取消或更正流程。撤回和开始执行并发时，只允许一方先完成状态转换。</w:t>
      </w:r>
    </w:p>
    <w:p>
      <w:pPr>
        <w:pStyle w:val="Heading2"/>
      </w:pPr>
      <w:r>
        <w:t>6.6 多角色与并发</w:t>
      </w:r>
    </w:p>
    <w:p>
      <w:r>
        <w:rPr>
          <w:rFonts w:ascii="Hiragino Sans GB" w:hAnsi="Hiragino Sans GB" w:eastAsia="Hiragino Sans GB"/>
        </w:rPr>
        <w:t>共享问题由规则定义回答角色和范围。同一问题采用首个合法答案生效，其他同时提交者收到已处理状态并刷新；个人偏好问题按用户隔离。多人讨论不构成多重业务确认，若需要双人复核，应使用独立批准的业务流程。</w:t>
      </w:r>
    </w:p>
    <w:p>
      <w:r>
        <w:rPr>
          <w:rFonts w:ascii="Hiragino Sans GB" w:hAnsi="Hiragino Sans GB" w:eastAsia="Hiragino Sans GB"/>
        </w:rPr>
        <w:t>每个角色视图最多主动展示一个非critical问题，其他进入待处理区。相同主题和依赖条件合并；critical出现时暂停非关键问题的主动弹出和语音，但不更改风险或静默延长有效期。风险恢复后重新判断待处理问题是否仍有意义。</w:t>
      </w:r>
    </w:p>
    <w:p>
      <w:pPr>
        <w:pStyle w:val="Heading2"/>
      </w:pPr>
      <w:r>
        <w:t>6.7 语音交互</w:t>
      </w:r>
    </w:p>
    <w:p>
      <w:r>
        <w:rPr>
          <w:rFonts w:ascii="Hiragino Sans GB" w:hAnsi="Hiragino Sans GB" w:eastAsia="Hiragino Sans GB"/>
        </w:rPr>
        <w:t>语音输入须绑定唯一可见问题、问题版本、操作者和明确选项。多个问题、身份不明、识别不确定或状态改变时，仅显示候选结果，要求重新选择。裸词“确认”“跳过”不得直接执行不可逆或高风险操作。首版语音可完成已读和界面导航；高风险业务确认保留原业务软件批准的确认方式。</w:t>
      </w:r>
    </w:p>
    <w:p>
      <w:pPr>
        <w:pStyle w:val="Heading2"/>
      </w:pPr>
      <w:r>
        <w:t>6.8 澄清场景示例</w:t>
      </w:r>
    </w:p>
    <w:tbl>
      <w:tblPr>
        <w:tblW w:type="auto" w:w="0"/>
        <w:jc w:val="center"/>
        <w:tblLayout w:type="fixed"/>
        <w:tblLook w:firstColumn="1" w:firstRow="1" w:lastColumn="0" w:lastRow="0" w:noHBand="0" w:noVBand="1" w:val="04A0"/>
      </w:tblPr>
      <w:tblGrid>
        <w:gridCol w:w="2376"/>
        <w:gridCol w:w="3816"/>
        <w:gridCol w:w="4032"/>
      </w:tblGrid>
      <w:tr>
        <w:trPr>
          <w:tblHeader w:val="true"/>
          <w:cantSplit/>
        </w:trPr>
        <w:tc>
          <w:tcPr>
            <w:tcW w:type="dxa" w:w="237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场景</w:t>
            </w:r>
          </w:p>
        </w:tc>
        <w:tc>
          <w:tcPr>
            <w:tcW w:type="dxa" w:w="381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输出</w:t>
            </w:r>
          </w:p>
        </w:tc>
        <w:tc>
          <w:tcPr>
            <w:tcW w:type="dxa" w:w="4032"/>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状态后果</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设备在线但样本过期</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数据过期提示和排查入口</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保持不可评估，继续观察不恢复有效</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页面提前切换</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返回检查或保留页面的意图澄清</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不标记步骤完成，不放宽前置条件</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配准不满足已批准规则</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固定质量提醒；有权限且例外流程已批准时展示复核入口</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采纳记录与质量结论分开</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已忽略attention后风险恢复又出现</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新条件周期提示</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不受旧忽略或冷却抑制</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两个助手同时回答共享问题</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首个有效回答成功，另一个刷新</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仅记录一次选择和执行意图</w:t>
            </w:r>
          </w:p>
        </w:tc>
      </w:tr>
    </w:tbl>
    <w:p>
      <w:pPr>
        <w:spacing w:after="20"/>
      </w:pPr>
    </w:p>
    <w:p>
      <w:pPr>
        <w:pStyle w:val="Heading1"/>
      </w:pPr>
      <w:r>
        <w:t>7 输出与告警生命周期</w:t>
      </w:r>
    </w:p>
    <w:p>
      <w:r>
        <w:rPr>
          <w:rFonts w:ascii="Hiragino Sans GB" w:hAnsi="Hiragino Sans GB" w:eastAsia="Hiragino Sans GB"/>
        </w:rPr>
        <w:t>术前使用侧边栏、指引区和非模态浮窗；术中补充流程步骤条、只读3D叠加和本地语音。相机与中心线的导航动画由原导航软件产生，Agent仅展示已批准状态，不自行生成新的运动方向。</w:t>
      </w:r>
    </w:p>
    <w:p>
      <w:r>
        <w:rPr>
          <w:rFonts w:ascii="Hiragino Sans GB" w:hAnsi="Hiragino Sans GB" w:eastAsia="Hiragino Sans GB"/>
        </w:rPr>
        <w:t>风险是否存在与用户是否已读分别保存。风险状态包括ACTIVE、RESOLVED、EVIDENCE_UNAVAILABLE和SUPERSEDED；展示状态包括UNREAD、ACKNOWLEDGED、COLLAPSED和IGNORED。数据丢失不能把告警记为RESOLVED，应标记当前无法验证并提示监控受限。</w:t>
      </w:r>
    </w:p>
    <w:p>
      <w:r>
        <w:rPr>
          <w:rFonts w:ascii="Hiragino Sans GB" w:hAnsi="Hiragino Sans GB" w:eastAsia="Hiragino Sans GB"/>
        </w:rPr>
        <w:t>critical始终保留在固定可见区域，不进入普通建议折叠区；同级按批准优先级、流程关联和发生时间排序。可按主题合并，但证据与规则条目保留。ACK只表示已读，不解除风险。attention与info可在当前条件周期内收起；条件恢复后再出现、严重度上升或依赖失效时重新提醒。</w:t>
      </w:r>
    </w:p>
    <w:p>
      <w:pPr>
        <w:pStyle w:val="Heading1"/>
      </w:pPr>
      <w:r>
        <w:t>8 软件与 Agent 交互契约</w:t>
      </w:r>
    </w:p>
    <w:p>
      <w:r>
        <w:rPr>
          <w:rFonts w:ascii="Hiragino Sans GB" w:hAnsi="Hiragino Sans GB" w:eastAsia="Hiragino Sans GB"/>
        </w:rPr>
        <w:t>软件发送已提交事件、状态快照、配准与设备数据、位姿、释放状态、基线以及用户交互。Agent返回结构化提示、问题、只读状态叠加、健康状态和报告检查结果。真实业务动作由客户端路由和原业务模块执行。</w:t>
      </w:r>
    </w:p>
    <w:p>
      <w:r>
        <w:rPr>
          <w:rFonts w:ascii="Hiragino Sans GB" w:hAnsi="Hiragino Sans GB" w:eastAsia="Hiragino Sans GB"/>
        </w:rPr>
        <w:t>消息必须关联病例、会话、来源与版本。高频数据可以只保留最新有效样本；设备与业务状态转换必须可靠补偿。状态不完整时显示同步中，完成快照、补发与规则重算后才能显示恢复。未补齐的监控空窗需明确记录，不能宣称恢复了全部历史告警。</w:t>
      </w:r>
    </w:p>
    <w:p>
      <w:pPr>
        <w:pStyle w:val="Heading1"/>
      </w:pPr>
      <w:r>
        <w:t>9 术后报告</w:t>
      </w:r>
    </w:p>
    <w:p>
      <w:r>
        <w:rPr>
          <w:rFonts w:ascii="Hiragino Sans GB" w:hAnsi="Hiragino Sans GB" w:eastAsia="Hiragino Sans GB"/>
        </w:rPr>
        <w:t>报告汇总原软件结果和医生输入，包含术前参数与已有风险评估、CT和US配准、实际释放参数、释放评估、已有术后测量、设备和安全事件、Agent交互与监控空窗。Agent不生成新的风险分级或治疗结论。</w:t>
      </w:r>
    </w:p>
    <w:tbl>
      <w:tblPr>
        <w:tblW w:type="auto" w:w="0"/>
        <w:jc w:val="center"/>
        <w:tblLayout w:type="fixed"/>
        <w:tblLook w:firstColumn="1" w:firstRow="1" w:lastColumn="0" w:lastRow="0" w:noHBand="0" w:noVBand="1" w:val="04A0"/>
      </w:tblPr>
      <w:tblGrid>
        <w:gridCol w:w="2376"/>
        <w:gridCol w:w="3816"/>
        <w:gridCol w:w="4032"/>
      </w:tblGrid>
      <w:tr>
        <w:trPr>
          <w:tblHeader w:val="true"/>
          <w:cantSplit/>
        </w:trPr>
        <w:tc>
          <w:tcPr>
            <w:tcW w:type="dxa" w:w="237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检查项</w:t>
            </w:r>
          </w:p>
        </w:tc>
        <w:tc>
          <w:tcPr>
            <w:tcW w:type="dxa" w:w="381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处理</w:t>
            </w:r>
          </w:p>
        </w:tc>
        <w:tc>
          <w:tcPr>
            <w:tcW w:type="dxa" w:w="4032"/>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水印规则</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术前关键测量缺失</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提示补充，允许批准的报告跳过</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不新增水印要求</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CT或US RMS缺失</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医生明确跳过并审计</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标记数据缺失水印</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实际释放深度或同轴角度缺失</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医生明确跳过并审计</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标记数据缺失水印</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Stent RMS或已有术后评估缺失</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提示补充，按批准策略跳过</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不新增水印要求</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规划与实际偏差</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仅汇总批准算法输出</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未批准公式时显示不可计算</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审计或监控空窗</w:t>
            </w:r>
          </w:p>
        </w:tc>
        <w:tc>
          <w:tcPr>
            <w:tcW w:type="dxa" w:w="381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报告列明范围和原因</w:t>
            </w:r>
          </w:p>
        </w:tc>
        <w:tc>
          <w:tcPr>
            <w:tcW w:type="dxa" w:w="403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不宣称记录完整</w:t>
            </w:r>
          </w:p>
        </w:tc>
      </w:tr>
    </w:tbl>
    <w:p>
      <w:pPr>
        <w:spacing w:after="20"/>
      </w:pPr>
    </w:p>
    <w:p>
      <w:r>
        <w:rPr>
          <w:rFonts w:ascii="Hiragino Sans GB" w:hAnsi="Hiragino Sans GB" w:eastAsia="Hiragino Sans GB"/>
        </w:rPr>
        <w:t>报告跳过仅影响本次报告完整性确认，不是流程跳过。导出绑定数据、规则和模板版本；数据修改生成新版本，并在后续附录注明导出后有修改待复核。检查清单区分完成、缺失、失效待复核和医生主动跳过。</w:t>
      </w:r>
    </w:p>
    <w:p>
      <w:pPr>
        <w:pStyle w:val="Heading1"/>
      </w:pPr>
      <w:r>
        <w:t>10 交互细则</w:t>
      </w:r>
    </w:p>
    <w:p>
      <w:pPr>
        <w:pStyle w:val="Heading2"/>
      </w:pPr>
      <w:r>
        <w:t>10.1 非阻断与业务门禁</w:t>
      </w:r>
    </w:p>
    <w:p>
      <w:r>
        <w:rPr>
          <w:rFonts w:ascii="Hiragino Sans GB" w:hAnsi="Hiragino Sans GB" w:eastAsia="Hiragino Sans GB"/>
        </w:rPr>
        <w:t>Agent提示保持非模态。原软件批准的业务确认或门禁可以阻止对应操作，二者不是同一机制。首次使用检查清单收集设备、校准、版本及急停位置的检查记录；哪些项构成进入规划或导航的门禁，须明确到业务规则，不由Agent决定。</w:t>
      </w:r>
    </w:p>
    <w:p>
      <w:pPr>
        <w:pStyle w:val="Heading2"/>
      </w:pPr>
      <w:r>
        <w:t>10.2 物理里程碑更正</w:t>
      </w:r>
    </w:p>
    <w:p>
      <w:r>
        <w:rPr>
          <w:rFonts w:ascii="Hiragino Sans GB" w:hAnsi="Hiragino Sans GB" w:eastAsia="Hiragino Sans GB"/>
        </w:rPr>
        <w:t>更正需在业务软件中授权并二次确认，记录原事实、原因、操作者及关联结果。更正不会复原物理装置或清除原事实，相关流程需重新评估。</w:t>
      </w:r>
    </w:p>
    <w:p>
      <w:pPr>
        <w:pStyle w:val="Heading2"/>
      </w:pPr>
      <w:r>
        <w:t>10.3 业务动作矩阵</w:t>
      </w:r>
    </w:p>
    <w:tbl>
      <w:tblPr>
        <w:tblW w:type="auto" w:w="0"/>
        <w:jc w:val="center"/>
        <w:tblLayout w:type="fixed"/>
        <w:tblLook w:firstColumn="1" w:firstRow="1" w:lastColumn="0" w:lastRow="0" w:noHBand="0" w:noVBand="1" w:val="04A0"/>
      </w:tblPr>
      <w:tblGrid>
        <w:gridCol w:w="1872"/>
        <w:gridCol w:w="2808"/>
        <w:gridCol w:w="2808"/>
        <w:gridCol w:w="2736"/>
      </w:tblGrid>
      <w:tr>
        <w:trPr>
          <w:tblHeader w:val="true"/>
          <w:cantSplit/>
        </w:trPr>
        <w:tc>
          <w:tcPr>
            <w:tcW w:type="dxa" w:w="1872"/>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动作</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首版入口</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所需检查</w:t>
            </w:r>
          </w:p>
        </w:tc>
        <w:tc>
          <w:tcPr>
            <w:tcW w:type="dxa" w:w="273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撤回范围</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已读或收起普通提示</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Agent交互</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提示仍存在、类型允许</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可重新展开</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打开相关面板</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客户端导航</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目标存在、访问权限</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无业务回滚</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重置配准</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原业务流程</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权限、当前结果、确认策略</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依原软件取消能力</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例外采纳</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经批准的原业务流程</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例外权限、原因、版本、确认</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不通过Agent反向撤销事实</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加载支架或确认释放</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原业务流程</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原软件全部前置与必要确认</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物理动作不可逆</w:t>
            </w:r>
          </w:p>
        </w:tc>
      </w:tr>
    </w:tbl>
    <w:p>
      <w:pPr>
        <w:spacing w:after="20"/>
      </w:pPr>
    </w:p>
    <w:p>
      <w:pPr>
        <w:pStyle w:val="Heading2"/>
      </w:pPr>
      <w:r>
        <w:t>10.4 协作任务</w:t>
      </w:r>
    </w:p>
    <w:p>
      <w:r>
        <w:rPr>
          <w:rFonts w:ascii="Hiragino Sans GB" w:hAnsi="Hiragino Sans GB" w:eastAsia="Hiragino Sans GB"/>
        </w:rPr>
        <w:t>人工检查项与设备自动检查项分别显示。任务完成仅说明对应责任人已确认；需要设备证据的项目仍等待机器状态。角色切换重新计算展示范围，不扩大权限。</w:t>
      </w:r>
    </w:p>
    <w:p>
      <w:pPr>
        <w:pStyle w:val="Heading2"/>
      </w:pPr>
      <w:r>
        <w:t>10.5 冷却重置白名单</w:t>
      </w:r>
    </w:p>
    <w:p>
      <w:r>
        <w:rPr>
          <w:rFonts w:ascii="Hiragino Sans GB" w:hAnsi="Hiragino Sans GB" w:eastAsia="Hiragino Sans GB"/>
        </w:rPr>
        <w:t>明确条件恢复后再次出现、严重度上升、依赖版本改变导致失效、重新打开会话并完成同步时仍有活动风险，均可重新主动提示。单纯换页、语言变化、角色视图来回切换、LLM文案返回不重置风险周期。critical视觉不受冷却影响，语音使用单独节流防止重复消息造成播报风暴。</w:t>
      </w:r>
    </w:p>
    <w:p>
      <w:pPr>
        <w:pStyle w:val="Heading2"/>
      </w:pPr>
      <w:r>
        <w:t>10.6 业务动作结果</w:t>
      </w:r>
    </w:p>
    <w:p>
      <w:r>
        <w:rPr>
          <w:rFonts w:ascii="Hiragino Sans GB" w:hAnsi="Hiragino Sans GB" w:eastAsia="Hiragino Sans GB"/>
        </w:rPr>
        <w:t>动作意图创建、执行认领、成功、失败、取消和结果已验证分别记录。成功由原业务模块确认；结果无法确认时显示状态未知并提示刷新，不能自动重试不可逆操作。</w:t>
      </w:r>
    </w:p>
    <w:p>
      <w:pPr>
        <w:pStyle w:val="Heading2"/>
      </w:pPr>
      <w:r>
        <w:t>10.7 语音和静音</w:t>
      </w:r>
    </w:p>
    <w:p>
      <w:r>
        <w:rPr>
          <w:rFonts w:ascii="Hiragino Sans GB" w:hAnsi="Hiragino Sans GB" w:eastAsia="Hiragino Sans GB"/>
        </w:rPr>
        <w:t>critical未静音时首次触发播放审核固定话术，并抢占非关键语音。重复传输不重复播放。attention在当前条件周期首次触发时可播报审核文案，info默认不播报。非关键静音和critical临时静音分别设置。</w:t>
      </w:r>
    </w:p>
    <w:p>
      <w:r>
        <w:rPr>
          <w:rFonts w:ascii="Hiragino Sans GB" w:hAnsi="Hiragino Sans GB" w:eastAsia="Hiragino Sans GB"/>
        </w:rPr>
        <w:t>critical静音仅应用本会话、当前终端的音频，持续显示静音标识和视觉强提醒；不影响其他终端。临时静音时长由批准配置确定，到期自动恢复，界面显示剩余时间。新critical在未静音终端正常播放；在临时静音终端保持视觉强提醒并记录未播原因。具体时长、持续风险重播间隔和音频设备故障兜底需在临床使用前完成验证。首版不允许跨会话永久critical静音。</w:t>
      </w:r>
    </w:p>
    <w:p>
      <w:pPr>
        <w:pStyle w:val="Heading2"/>
      </w:pPr>
      <w:r>
        <w:t>10.8 恢复与监控空窗</w:t>
      </w:r>
    </w:p>
    <w:p>
      <w:r>
        <w:rPr>
          <w:rFonts w:ascii="Hiragino Sans GB" w:hAnsi="Hiragino Sans GB" w:eastAsia="Hiragino Sans GB"/>
        </w:rPr>
        <w:t>恢复时先同步，之后显示当前活动提示；对历史已发生且已解除的事件补记时间线，不逐条重新语音播报。无法获得历史时显示监控空窗范围。恢复提示不会替代仍活动的critical。</w:t>
      </w:r>
    </w:p>
    <w:p>
      <w:pPr>
        <w:pStyle w:val="Heading2"/>
      </w:pPr>
      <w:r>
        <w:t>10.9 丢包与过期</w:t>
      </w:r>
    </w:p>
    <w:p>
      <w:r>
        <w:rPr>
          <w:rFonts w:ascii="Hiragino Sans GB" w:hAnsi="Hiragino Sans GB" w:eastAsia="Hiragino Sans GB"/>
        </w:rPr>
        <w:t>状态事件发现缺口时暂停受影响判断并请求补偿。新鲜且独立的critical事实仍可触发告警，不因无关来源同步而整体静默。数据过期依照来源采样约定检测，阈值必须配置并验证。</w:t>
      </w:r>
    </w:p>
    <w:p>
      <w:pPr>
        <w:pStyle w:val="Heading1"/>
      </w:pPr>
      <w:r>
        <w:t>11 验收与分期</w:t>
      </w:r>
    </w:p>
    <w:p>
      <w:r>
        <w:rPr>
          <w:rFonts w:ascii="Hiragino Sans GB" w:hAnsi="Hiragino Sans GB" w:eastAsia="Hiragino Sans GB"/>
        </w:rPr>
        <w:t>首版完成确定性提示、显式画像配置、澄清状态机、角色授权、恢复和报告；语义偏好学习、LLM辅助说明和非接触交互在相应验证后逐步启用。未批准的临床阈值或例外路径保持禁用，不阻碍独立功能的开发测试。</w:t>
      </w:r>
    </w:p>
    <w:tbl>
      <w:tblPr>
        <w:tblW w:type="auto" w:w="0"/>
        <w:jc w:val="center"/>
        <w:tblLayout w:type="fixed"/>
        <w:tblLook w:firstColumn="1" w:firstRow="1" w:lastColumn="0" w:lastRow="0" w:noHBand="0" w:noVBand="1" w:val="04A0"/>
      </w:tblPr>
      <w:tblGrid>
        <w:gridCol w:w="3024"/>
        <w:gridCol w:w="7200"/>
      </w:tblGrid>
      <w:tr>
        <w:trPr>
          <w:tblHeader w:val="true"/>
          <w:cantSplit/>
        </w:trPr>
        <w:tc>
          <w:tcPr>
            <w:tcW w:type="dxa" w:w="3024"/>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用例</w:t>
            </w:r>
          </w:p>
        </w:tc>
        <w:tc>
          <w:tcPr>
            <w:tcW w:type="dxa" w:w="7200"/>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预期结果</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详细模式关闭教学</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记录主动退出，必要业务确认仍保留</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第10例完成</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仅建议引导级别调整，不自动修改</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多次跳过同一步骤</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不形成自动跳过或抑制安全询问偏好</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问题展示后重新配准</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旧问题失效，旧答案拒绝</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15秒或30秒无回答</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折叠且无业务动作</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多人同时回答共享问题</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一个合法答案生效，其他收到刷新结果</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撤回与执行并发</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至多一条路径获准，不能伪造业务回滚</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语音确认存在两个候选问题</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不执行业务动作，要求明确目标</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ACK后设备仍离线</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风险仍活动</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数据失效或服务断线</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显示受限，不显示正常或已解除</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LLM添加动作或临床解释</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丢弃增强，继续审核模板</w:t>
            </w:r>
          </w:p>
        </w:tc>
      </w:tr>
      <w:tr>
        <w:trPr>
          <w:cantSplit/>
        </w:trP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报告导出后基线更新</w:t>
            </w:r>
          </w:p>
        </w:tc>
        <w:tc>
          <w:tcPr>
            <w:tcW w:type="dxa" w:w="7200"/>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保留历史报告，新版本标记变更</w:t>
            </w:r>
          </w:p>
        </w:tc>
      </w:tr>
    </w:tbl>
    <w:p>
      <w:pPr>
        <w:spacing w:after="20"/>
      </w:pPr>
    </w:p>
    <w:p>
      <w:pPr>
        <w:pStyle w:val="Heading1"/>
      </w:pPr>
      <w:r>
        <w:t>12 待决议清单</w:t>
      </w:r>
    </w:p>
    <w:tbl>
      <w:tblPr>
        <w:tblW w:type="auto" w:w="0"/>
        <w:jc w:val="center"/>
        <w:tblLayout w:type="fixed"/>
        <w:tblLook w:firstColumn="1" w:firstRow="1" w:lastColumn="0" w:lastRow="0" w:noHBand="0" w:noVBand="1" w:val="04A0"/>
      </w:tblPr>
      <w:tblGrid>
        <w:gridCol w:w="1872"/>
        <w:gridCol w:w="2808"/>
        <w:gridCol w:w="2808"/>
        <w:gridCol w:w="2736"/>
      </w:tblGrid>
      <w:tr>
        <w:trPr>
          <w:tblHeader w:val="true"/>
          <w:cantSplit/>
        </w:trPr>
        <w:tc>
          <w:tcPr>
            <w:tcW w:type="dxa" w:w="1872"/>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编号</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决议事项</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决议前行为</w:t>
            </w:r>
          </w:p>
        </w:tc>
        <w:tc>
          <w:tcPr>
            <w:tcW w:type="dxa" w:w="2736"/>
            <w:shd w:fill="17365D"/>
            <w:tcBorders>
              <w:top w:val="single" w:sz="6" w:color="D9E1E8"/>
              <w:left w:val="single" w:sz="6" w:color="D9E1E8"/>
              <w:bottom w:val="single" w:sz="6" w:color="D9E1E8"/>
              <w:right w:val="single" w:sz="6" w:color="D9E1E8"/>
              <w:insideH w:val="single" w:sz="6" w:color="D9E1E8"/>
              <w:insideV w:val="single" w:sz="6" w:color="D9E1E8"/>
            </w:tcBorders>
            <w:tcMar>
              <w:top w:w="110" w:type="dxa"/>
              <w:start w:w="110" w:type="dxa"/>
              <w:bottom w:w="110" w:type="dxa"/>
              <w:end w:w="110" w:type="dxa"/>
            </w:tcMar>
            <w:vAlign w:val="center"/>
          </w:tcPr>
          <w:p>
            <w:pPr>
              <w:spacing w:after="0"/>
              <w:jc w:val="center"/>
            </w:pPr>
            <w:r>
              <w:rPr>
                <w:rFonts w:ascii="Hiragino Sans GB" w:hAnsi="Hiragino Sans GB" w:eastAsia="Hiragino Sans GB"/>
                <w:b/>
                <w:color w:val="FFFFFF"/>
                <w:sz w:val="18"/>
              </w:rPr>
              <w:t>责任领域</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Q01</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CT RMS门槛冲突</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禁用自动达标判断</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临床与算法</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Q02</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例外采纳权限及下游放行条件</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不提供自动放行</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产品与临床</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Q03</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各步骤可跳过性和业务门禁</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跳过不满足前置</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产品与业务研发</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Q04</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跟踪异常与丢失的风险映射</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保留独立枚举，未批准规则不启用</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临床与质量</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Q05</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Stent RMS定义单位和显示区间</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不增加未批准解释</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算法与产品</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Q06</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空间偏差公式坐标与阈值</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不计算新偏差</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算法与临床</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Q07</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critical静音时长与重播间隔</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仅验证环境配置，发布前确定</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产品与临床</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Q08</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采样率时效和性能预算</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采集测量数据，未宣称达标</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工程与质量</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Q09</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报告其他缺失项水印</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仅执行明确规则</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产品与临床</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center"/>
            </w:pPr>
            <w:r>
              <w:rPr>
                <w:rFonts w:ascii="Hiragino Sans GB" w:hAnsi="Hiragino Sans GB" w:eastAsia="Hiragino Sans GB"/>
                <w:sz w:val="18"/>
              </w:rPr>
              <w:t>Q10</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教学建议例数和问题有效期</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初值10例与120秒仅为评审建议</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EAF1F8"/>
            <w:vAlign w:val="center"/>
          </w:tcPr>
          <w:p>
            <w:pPr>
              <w:spacing w:after="0"/>
              <w:jc w:val="left"/>
            </w:pPr>
            <w:r>
              <w:rPr>
                <w:rFonts w:ascii="Hiragino Sans GB" w:hAnsi="Hiragino Sans GB" w:eastAsia="Hiragino Sans GB"/>
                <w:sz w:val="18"/>
              </w:rPr>
              <w:t>产品</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center"/>
            </w:pPr>
            <w:r>
              <w:rPr>
                <w:rFonts w:ascii="Hiragino Sans GB" w:hAnsi="Hiragino Sans GB" w:eastAsia="Hiragino Sans GB"/>
                <w:sz w:val="18"/>
              </w:rPr>
              <w:t>Q11</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审计保留期限和画像删除策略</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按部署机构批准策略配置</w:t>
            </w:r>
          </w:p>
        </w:tc>
        <w:tc>
          <w:tcPr>
            <w:tcW w:type="dxa" w:w="2736"/>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shd w:fill="FFFFFF"/>
            <w:vAlign w:val="center"/>
          </w:tcPr>
          <w:p>
            <w:pPr>
              <w:spacing w:after="0"/>
              <w:jc w:val="left"/>
            </w:pPr>
            <w:r>
              <w:rPr>
                <w:rFonts w:ascii="Hiragino Sans GB" w:hAnsi="Hiragino Sans GB" w:eastAsia="Hiragino Sans GB"/>
                <w:sz w:val="18"/>
              </w:rPr>
              <w:t>数据治理</w:t>
            </w:r>
          </w:p>
        </w:tc>
      </w:tr>
    </w:tbl>
    <w:p>
      <w:pPr>
        <w:spacing w:after="20"/>
      </w:pPr>
    </w:p>
    <w:p>
      <w:pPr>
        <w:pStyle w:val="Heading1"/>
      </w:pPr>
      <w:r>
        <w:t>13 修订记录</w:t>
      </w:r>
    </w:p>
    <w:p>
      <w:r>
        <w:rPr>
          <w:rFonts w:ascii="Hiragino Sans GB" w:hAnsi="Hiragino Sans GB" w:eastAsia="Hiragino Sans GB"/>
        </w:rPr>
        <w:t>2.0版本统一画像优先级，移除自动降低必要确认及学习跳过行为；将澄清拆为四类，补充有效期、多角色、语音、撤回和执行证据；补齐第10章，并明确报告跳过与流程跳过、医生采纳与规则达标、未知与正常之间的差异。临床阈值冲突未擅自裁决。</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rPr>
      <w:t xml:space="preserve">第 </w:t>
    </w:r>
    <w:fldSimple w:instr="PAGE"/>
    <w:r>
      <w:rPr>
        <w:rFonts w:ascii="Hiragino Sans GB" w:hAnsi="Hiragino Sans GB" w:eastAsia="Hiragino Sans GB"/>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Hiragino Sans GB" w:hAnsi="Hiragino Sans GB" w:eastAsia="Hiragino Sans GB"/>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Hiragino Sans GB" w:hAnsi="Hiragino Sans GB" w:eastAsia="Hiragino Sans GB"/>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Hiragino Sans GB" w:hAnsi="Hiragino Sans GB" w:eastAsia="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Hiragino Sans GB" w:hAnsi="Hiragino Sans GB" w:eastAsia="Hiragino Sans GB"/>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55" w:right="142"/>
      <w:shd w:fill="F4F6F8"/>
    </w:pPr>
    <w:rPr>
      <w:rFonts w:ascii="Liberation Mono" w:hAnsi="Liberation Mono" w:eastAsia="Hiragino Sans GB"/>
      <w:color w:val="1F2937"/>
      <w:sz w:val="18"/>
    </w:rPr>
  </w:style>
  <w:style w:type="paragraph" w:customStyle="1" w:styleId="CaptionText">
    <w:name w:val="Caption Text"/>
    <w:pPr>
      <w:spacing w:after="160"/>
      <w:jc w:val="center"/>
    </w:pPr>
    <w:rPr>
      <w:rFonts w:ascii="Hiragino Sans GB" w:hAnsi="Hiragino Sans GB" w:eastAsia="Hiragino Sans GB"/>
      <w:i/>
      <w:color w:val="555555"/>
      <w:sz w:val="18"/>
    </w:rPr>
  </w:style>
  <w:style w:type="paragraph" w:customStyle="1" w:styleId="SmallNote">
    <w:name w:val="Small Note"/>
    <w:pPr>
      <w:spacing w:after="80"/>
    </w:pPr>
    <w:rPr>
      <w:rFonts w:ascii="Hiragino Sans GB" w:hAnsi="Hiragino Sans GB" w:eastAsia="Hiragino Sans GB"/>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TAVR操作引导Agent产品设计V2</dc:title>
  <dc:subject>产品和系统设计修订版2.0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