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TAVR 操作引导 Agent 系统设计</w:t>
      </w:r>
    </w:p>
    <w:p>
      <w:r>
        <w:rPr>
          <w:rFonts w:ascii="Hiragino Sans GB" w:hAnsi="Hiragino Sans GB" w:eastAsia="Hiragino Sans GB"/>
        </w:rPr>
        <w:t>版本 2.0　修订日期 2026年9月16日　状态 架构与研发评审稿</w:t>
      </w:r>
    </w:p>
    <w:p>
      <w:pPr>
        <w:pStyle w:val="Heading1"/>
      </w:pPr>
      <w:r>
        <w:t>1 设计目标与边界</w:t>
      </w:r>
    </w:p>
    <w:p>
      <w:r>
        <w:rPr>
          <w:rFonts w:ascii="Hiragino Sans GB" w:hAnsi="Hiragino Sans GB" w:eastAsia="Hiragino Sans GB"/>
        </w:rPr>
        <w:t>本系统实现《TAVR 操作引导 Agent 产品设计》2.0，覆盖术前规划和术中导航。Qt与C++客户端提供已提交业务事实、执行用户授权的业务动作并展示结果；本机Agent核心维护状态投影、规则、提示、澄清和画像策略；可选语言服务提供受限辅助表达。</w:t>
      </w:r>
    </w:p>
    <w:p>
      <w:r>
        <w:rPr>
          <w:rFonts w:ascii="Hiragino Sans GB" w:hAnsi="Hiragino Sans GB" w:eastAsia="Hiragino Sans GB"/>
        </w:rPr>
        <w:t>核心服务采用模块化单体。critical使用本地审核模板，不经过LLM、向量库或远程知识服务。Agent不实现配准、导航、分割或设备控制算法，也不拥有机械臂控制凭据。图结构用于依赖与失效传播，首版不引入独立知识图谱数据库。画像使用结构化配置，向量检索为后续可选增强。</w:t>
      </w:r>
    </w:p>
    <w:p>
      <w:pPr>
        <w:pStyle w:val="Heading2"/>
      </w:pPr>
      <w:r>
        <w:t>1.1 设计依据与生效范围</w:t>
      </w:r>
    </w:p>
    <w:p>
      <w:r>
        <w:rPr>
          <w:rFonts w:ascii="Hiragino Sans GB" w:hAnsi="Hiragino Sans GB" w:eastAsia="Hiragino Sans GB"/>
        </w:rPr>
        <w:t>原始依据为项目doc目录中的产品设计和系统设计草案。本版统一采用产品2.0的Q01至Q11决议编号。文中的新增模块、状态和接口为工程设计基线；标为建议初值的体验或运行参数需批准后纳入发布包。临床未决条件不以默认值自动激活。</w:t>
      </w:r>
    </w:p>
    <w:p>
      <w:pPr>
        <w:pStyle w:val="Heading1"/>
      </w:pPr>
      <w:r>
        <w:t>2 总体架构</w:t>
      </w:r>
    </w:p>
    <w:p>
      <w:r>
        <w:rPr>
          <w:rFonts w:ascii="Hiragino Sans GB" w:hAnsi="Hiragino Sans GB" w:eastAsia="Hiragino Sans GB"/>
        </w:rPr>
        <w:t>数据流从软件或设备进入输入适配，经过协议与来源校验、去重、会话串行归约、依赖失效、规则计算后，分发给提示与澄清协调器。画像策略仅作用于获准的投递、教学和表达字段。输出返回Qt客户端，审计并行记录整个链路。</w:t>
      </w:r>
    </w:p>
    <w:p>
      <w:pPr>
        <w:pStyle w:val="CodeBlock"/>
        <w:keepLines/>
      </w:pPr>
      <w:r>
        <w:rPr>
          <w:rFonts w:ascii="Liberation Mono" w:hAnsi="Liberation Mono" w:eastAsia="Hiragino Sans GB"/>
        </w:rPr>
        <w:t>PlanningApp / NavigationApp / Device DDS Sources</w:t>
        <w:br/>
        <w:t xml:space="preserve">                 ↓</w:t>
        <w:br/>
        <w:t>Ingress → Ordering → SessionReducer → DependencyGraph → RuleEngine</w:t>
        <w:br/>
        <w:t xml:space="preserve">                                  ↓                     ↓</w:t>
        <w:br/>
        <w:t xml:space="preserve">                      GuidancePolicyResolver → PromptCoordinator</w:t>
        <w:br/>
        <w:t xml:space="preserve">                                  ↓                     ↓</w:t>
        <w:br/>
        <w:t xml:space="preserve">                           ClarificationManager → OutputStream</w:t>
        <w:br/>
        <w:t xml:space="preserve">                                                        ↓</w:t>
        <w:br/>
        <w:t xml:space="preserve">                                                   Qt UI / Speech</w:t>
        <w:br/>
        <w:br/>
        <w:t>Audit / Snapshot / Report ← core events</w:t>
        <w:br/>
        <w:t>Optional Language Service ← approved noncritical explanation slots</w:t>
        <w:br/>
        <w:t>Business actions: user → Qt ActionRouter → original business module</w:t>
      </w:r>
    </w:p>
    <w:p>
      <w:pPr>
        <w:pStyle w:val="Heading2"/>
      </w:pPr>
      <w:r>
        <w:t>2.1 进程与信任边界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4032"/>
      </w:tblGrid>
      <w:tr>
        <w:trPr>
          <w:tblHeader w:val="true"/>
          <w:cantSplit/>
        </w:trPr>
        <w:tc>
          <w:tcPr>
            <w:tcW w:type="dxa" w:w="237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进程</w:t>
            </w:r>
          </w:p>
        </w:tc>
        <w:tc>
          <w:tcPr>
            <w:tcW w:type="dxa" w:w="381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03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PlanningApp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规划业务、状态源、Agent展示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持有规划事实与原操作权限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NavigationApp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导航业务、数据适配、本地语音、动作路由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保留原业务门禁与控制链路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AgentCoreService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状态、规则、画像、澄清、提示、报告与审计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读取事实，无设备控制权限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可选语言服务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受限辅助说明、审核内容检索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无会话事实写入和动作执行权限</w:t>
            </w:r>
          </w:p>
        </w:tc>
      </w:tr>
    </w:tbl>
    <w:p>
      <w:pPr>
        <w:spacing w:after="20"/>
      </w:pPr>
    </w:p>
    <w:p>
      <w:r>
        <w:rPr>
          <w:rFonts w:ascii="Hiragino Sans GB" w:hAnsi="Hiragino Sans GB" w:eastAsia="Hiragino Sans GB"/>
        </w:rPr>
        <w:t>业务软件与设备控制器独立于Agent。用户已读、助手确认及LLM文本不能写回设备就绪、配准合格或物理里程碑。临床与训练会话在标识、存储分区、统计与报告路径上隔离。</w:t>
      </w:r>
    </w:p>
    <w:p>
      <w:pPr>
        <w:pStyle w:val="Heading1"/>
      </w:pPr>
      <w:r>
        <w:t>3 模块与内部端口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4032"/>
      </w:tblGrid>
      <w:tr>
        <w:trPr>
          <w:tblHeader w:val="true"/>
          <w:cantSplit/>
        </w:trPr>
        <w:tc>
          <w:tcPr>
            <w:tcW w:type="dxa" w:w="237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81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403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输出与约束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IngressGateway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gRPC或DDS消息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类型化事件；身份、大小、Schema和病例校验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SourceRegistry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已授权来源与topic映射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唯一事实所有权、epoch及能力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OrderingCoordinator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离散事件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去重、水位、缺口和待重放事件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SessionReducer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事件与快照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单会话一致投影及版本变化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DependencyGraph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上游结果版本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下游失效集合，禁止图循环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RuleEngine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有效投影与已批准规则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三态求值、证据及允许动作意图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GuidancePolicyResolver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权限、会话、画像和规则约束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可追溯的EffectiveGuidancePolicy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PromptCoordinator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判断、策略和展示反馈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风险状态与展示状态分别更新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ClarificationManager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澄清规则、上下文和答案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问题生命周期与原子答案接收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ActionIntentRegistry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已接收选择和客户端回执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待执行、认领、结果待验证等状态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RecoveryCoordinator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缺口、失联、重启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快照补偿、投影重建和监控空窗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AuditWriter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输入、判断、交互与执行记录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有界追加写与明确降级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ReportAssembler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固定数据版本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完整性清单和不可变报告快照</w:t>
            </w:r>
          </w:p>
        </w:tc>
      </w:tr>
    </w:tbl>
    <w:p>
      <w:pPr>
        <w:spacing w:after="20"/>
      </w:pPr>
    </w:p>
    <w:p>
      <w:r>
        <w:rPr>
          <w:rFonts w:ascii="Hiragino Sans GB" w:hAnsi="Hiragino Sans GB" w:eastAsia="Hiragino Sans GB"/>
        </w:rPr>
        <w:t>domain、workflow、rules、policy和clarification模块使用纯C++接口，不依赖GUI或通信实现。依赖方向为apps到adapters与sdk再到core。状态修改只能通过会话执行器提交，异步任务返回必须携带输入版本。</w:t>
      </w:r>
    </w:p>
    <w:p>
      <w:pPr>
        <w:pStyle w:val="Heading1"/>
      </w:pPr>
      <w:r>
        <w:t>4 事实来源与通信</w:t>
      </w:r>
    </w:p>
    <w:p>
      <w:pPr>
        <w:pStyle w:val="Heading2"/>
      </w:pPr>
      <w:r>
        <w:t>4.1 唯一权威来源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4032"/>
      </w:tblGrid>
      <w:tr>
        <w:trPr>
          <w:tblHeader w:val="true"/>
          <w:cantSplit/>
        </w:trPr>
        <w:tc>
          <w:tcPr>
            <w:tcW w:type="dxa" w:w="237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事实类别</w:t>
            </w:r>
          </w:p>
        </w:tc>
        <w:tc>
          <w:tcPr>
            <w:tcW w:type="dxa" w:w="381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权威来源</w:t>
            </w:r>
          </w:p>
        </w:tc>
        <w:tc>
          <w:tcPr>
            <w:tcW w:type="dxa" w:w="403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首版主通道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规划与导航已提交业务结果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原业务模块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gRPC PublishEvents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配准完成与采纳、释放里程碑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NavigationApp业务模块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gRPC PublishEvents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设备连接、自检、跟踪状态转换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已注册设备适配器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Reliable DDS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连续位姿与遥测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已注册算法或设备适配器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Best Effort DDS最新样本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用户提示反馈和澄清选择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认证客户端到核心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gRPC命令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用户画像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ProfileRepository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版本化gRPC更新</w:t>
            </w:r>
          </w:p>
        </w:tc>
      </w:tr>
    </w:tbl>
    <w:p>
      <w:pPr>
        <w:spacing w:after="20"/>
      </w:pPr>
    </w:p>
    <w:p>
      <w:r>
        <w:rPr>
          <w:rFonts w:ascii="Hiragino Sans GB" w:hAnsi="Hiragino Sans GB" w:eastAsia="Hiragino Sans GB"/>
        </w:rPr>
        <w:t>既有DDS配准或释放状态若需作为权威通道，必须通过发布配置替换对应gRPC所有权，不能同时启用两条独立权威来源。迁移双发共享event_id和同一payload摘要；来源冲突拒绝覆盖并告警。</w:t>
      </w:r>
    </w:p>
    <w:p>
      <w:pPr>
        <w:pStyle w:val="Heading2"/>
      </w:pPr>
      <w:r>
        <w:t>4.2 序号空间</w:t>
      </w:r>
    </w:p>
    <w:p>
      <w:r>
        <w:rPr>
          <w:rFonts w:ascii="Hiragino Sans GB" w:hAnsi="Hiragino Sans GB" w:eastAsia="Hiragino Sans GB"/>
        </w:rPr>
        <w:t>离散可靠事件使用(source_id, source_epoch, stream_id)范围内的sequence。连续Best Effort采样使用独立sample_sequence；丢失位姿样本不触发离散事件重放。每个stream维护独立水位，防止有意丢样被误判为业务缺口。</w:t>
      </w:r>
    </w:p>
    <w:p>
      <w:r>
        <w:rPr>
          <w:rFonts w:ascii="Hiragino Sans GB" w:hAnsi="Hiragino Sans GB" w:eastAsia="Hiragino Sans GB"/>
        </w:rPr>
        <w:t>source_epoch更换须由已认证实例重新注册，旧epoch迟到事件只进入历史补偿，不覆盖新实例的当前事实。跨来源不按墙上时钟强制全序；依赖关联使用结果版本和causation_id。</w:t>
      </w:r>
    </w:p>
    <w:p>
      <w:pPr>
        <w:pStyle w:val="Heading2"/>
      </w:pPr>
      <w:r>
        <w:t>4.3 DDS接口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4032"/>
      </w:tblGrid>
      <w:tr>
        <w:trPr>
          <w:tblHeader w:val="true"/>
          <w:cantSplit/>
        </w:trPr>
        <w:tc>
          <w:tcPr>
            <w:tcW w:type="dxa" w:w="237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381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03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QoS设计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tavr.device.status.v1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连接、自检、数据活性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Reliable、Transient Local、有限History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tavr.tracking.state.v1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正常、异常、丢失、恢复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Reliable、有限History、应用层补偿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tavr.tracking.pose.v1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位姿、坐标系、变换及质量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Best Effort、Keep Last 1、Deadline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tavr.release.telemetry.v1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已批准释放遥测及质量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Best Effort、Keep Last 1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tavr.source.heartbeat.v1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来源epoch、每stream水位与健康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有界周期、Liveliness和应用层时效</w:t>
            </w:r>
          </w:p>
        </w:tc>
      </w:tr>
    </w:tbl>
    <w:p>
      <w:pPr>
        <w:spacing w:after="20"/>
      </w:pPr>
    </w:p>
    <w:p>
      <w:r>
        <w:rPr>
          <w:rFonts w:ascii="Hiragino Sans GB" w:hAnsi="Hiragino Sans GB" w:eastAsia="Hiragino Sans GB"/>
        </w:rPr>
        <w:t>可靠QoS不是持久事件日志。关键转换由适配器提供持久补偿或可查询历史。Deadline、Liveliness和数据年龄分别监测。现有5秒停滞示例不作为全部来源通用时效阈值，阈值须由采样合同批准。</w:t>
      </w:r>
    </w:p>
    <w:p>
      <w:pPr>
        <w:pStyle w:val="Heading1"/>
      </w:pPr>
      <w:r>
        <w:t>5 领域数据模型</w:t>
      </w:r>
    </w:p>
    <w:p>
      <w:pPr>
        <w:pStyle w:val="Heading2"/>
      </w:pPr>
      <w:r>
        <w:t>5.1 通用信封</w:t>
      </w:r>
    </w:p>
    <w:p>
      <w:r>
        <w:rPr>
          <w:rFonts w:ascii="Hiragino Sans GB" w:hAnsi="Hiragino Sans GB" w:eastAsia="Hiragino Sans GB"/>
        </w:rPr>
        <w:t>EventEnvelope包含event_id、case_id、session_id、source_id、source_epoch、stream_id、sequence、schema_version、occurred_at_utc、received_at、correlation_id、causation_id、payload_type和payload_digest。payload使用已注册的类型化oneof或等效强类型Schema，禁止由任意自由字符串驱动规则。</w:t>
      </w:r>
    </w:p>
    <w:p>
      <w:r>
        <w:rPr>
          <w:rFonts w:ascii="Hiragino Sans GB" w:hAnsi="Hiragino Sans GB" w:eastAsia="Hiragino Sans GB"/>
        </w:rPr>
        <w:t>source_state_revision描述来源提交版本；projection_revision描述核心投影版本，二者不能混用。来源monotonic时间只在同一epoch内有意义，不能与另一个进程时钟相减。核心接收年龄使用本进程单调时钟；估计采样年龄时记录时钟偏移与不确定性，时效无法确认则降级。</w:t>
      </w:r>
    </w:p>
    <w:p>
      <w:pPr>
        <w:pStyle w:val="Heading2"/>
      </w:pPr>
      <w:r>
        <w:t>5.2 核心实体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200"/>
      </w:tblGrid>
      <w:tr>
        <w:trPr>
          <w:tblHeader w:val="true"/>
          <w:cantSplit/>
        </w:trPr>
        <w:tc>
          <w:tcPr>
            <w:tcW w:type="dxa" w:w="3024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720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关键字段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CaseSession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病例绑定、手术过程标识、模式、阶段、规则包、会话状态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WorkflowStep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状态、前置三态、完成证据、review_required、来源版本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RegistrationResult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RMS及单位、算法、变换、质量判定、独立采纳记录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DerivedResult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值与单位、公式版本、全部输入版本、有效性、失效原因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RuleDecision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规则版本、求值状态、风险、证据、模板、依赖集合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PromptInstance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风险周期、风险状态、用户或角色展示状态、语音策略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Clarification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类型、范围、版本、选项、依赖、时限、状态、回答者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ActionExecution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intent_id、执行主体、状态、业务operation_id、证据事件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UserProfile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用户、配置版本、教学级别、偏好白名单、授权与来源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EffectiveGuidancePolicy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生效字段、优先级来源、规则包与画像版本、被拒绝覆盖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ReportSnapshot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固定输入清单、规则与模板版本、缺失跳过和空窗</w:t>
            </w:r>
          </w:p>
        </w:tc>
      </w:tr>
    </w:tbl>
    <w:p>
      <w:pPr>
        <w:spacing w:after="20"/>
      </w:pPr>
    </w:p>
    <w:p>
      <w:r>
        <w:rPr>
          <w:rFonts w:ascii="Hiragino Sans GB" w:hAnsi="Hiragino Sans GB" w:eastAsia="Hiragino Sans GB"/>
        </w:rPr>
        <w:t>空间数据必须携带frame_id与transform_version，变换记录源目标方向及单位。NaN、Infinity、单位不兼容或缺少坐标不能默认为0。未经批准的偏差公式保持不可计算。</w:t>
      </w:r>
    </w:p>
    <w:p>
      <w:pPr>
        <w:pStyle w:val="Heading2"/>
      </w:pPr>
      <w:r>
        <w:t>5.3 工作流与风险状态</w:t>
      </w:r>
    </w:p>
    <w:p>
      <w:r>
        <w:rPr>
          <w:rFonts w:ascii="Hiragino Sans GB" w:hAnsi="Hiragino Sans GB" w:eastAsia="Hiragino Sans GB"/>
        </w:rPr>
        <w:t>步骤为NOT_REACHED、IN_PROGRESS、COMPLETED、INVALIDATED、SKIPPED_BY_DOCTOR。配准采纳、质量达标、导航前置可用性分别保存。物理里程碑只追加更正，不删除原事实。</w:t>
      </w:r>
    </w:p>
    <w:p>
      <w:r>
        <w:rPr>
          <w:rFonts w:ascii="Hiragino Sans GB" w:hAnsi="Hiragino Sans GB" w:eastAsia="Hiragino Sans GB"/>
        </w:rPr>
        <w:t>提示风险状态为ACTIVE、RESOLVED、EVIDENCE_UNAVAILABLE、SUPERSEDED；展示状态独立为UNREAD、ACKNOWLEDGED、COLLAPSED、IGNORED。规则从MATCHED变为NOT_EVALUABLE时，风险不能记为解除，应进入证据不可用并保留最后已知告警时间和当前限制。只有可靠新证据使规则不再命中，才进入RESOLVED。</w:t>
      </w:r>
    </w:p>
    <w:p>
      <w:pPr>
        <w:pStyle w:val="Heading1"/>
      </w:pPr>
      <w:r>
        <w:t>6 一致性持久化与恢复</w:t>
      </w:r>
    </w:p>
    <w:p>
      <w:pPr>
        <w:pStyle w:val="Heading2"/>
      </w:pPr>
      <w:r>
        <w:t>6.1 接收与持久化</w:t>
      </w:r>
    </w:p>
    <w:p>
      <w:r>
        <w:rPr>
          <w:rFonts w:ascii="Hiragino Sans GB" w:hAnsi="Hiragino Sans GB" w:eastAsia="Hiragino Sans GB"/>
        </w:rPr>
        <w:t>离散业务事件先写入持久inbox及去重索引，成功后才返回DURABLY_ACCEPTED。投影、已应用水位和输出outbox在同一数据库事务提交；流订阅从outbox投递。重复event_id且摘要相同返回既有状态，摘要不同返回冲突。投影应用完成另报APPLIED。</w:t>
      </w:r>
    </w:p>
    <w:p>
      <w:r>
        <w:rPr>
          <w:rFonts w:ascii="Hiragino Sans GB" w:hAnsi="Hiragino Sans GB" w:eastAsia="Hiragino Sans GB"/>
        </w:rPr>
        <w:t>critical状态转换在内存有界优先路径即时处理和展示，不等待慢磁盘。持久化失败时可先发送带volatile标识的critical输出，同时显示审计降级；不能向来源谎报持久接收。恢复后按event_id合并重复记录。持久成功与用户看见提示是不同确认层级。</w:t>
      </w:r>
    </w:p>
    <w:p>
      <w:pPr>
        <w:pStyle w:val="Heading2"/>
      </w:pPr>
      <w:r>
        <w:t>6.2 增量计算与定时求值</w:t>
      </w:r>
    </w:p>
    <w:p>
      <w:r>
        <w:rPr>
          <w:rFonts w:ascii="Hiragino Sans GB" w:hAnsi="Hiragino Sans GB" w:eastAsia="Hiragino Sans GB"/>
        </w:rPr>
        <w:t>会话事件串行归约，受影响规则增量计算。连续位姿按实体保留最新有效样本，关键转换进入独立队列。过期检测由单调时钟定时事件驱动，即使源停止发送也能触发。画像改变仅更新投递和文案，不重置condition_epoch。</w:t>
      </w:r>
    </w:p>
    <w:p>
      <w:r>
        <w:rPr>
          <w:rFonts w:ascii="Hiragino Sans GB" w:hAnsi="Hiragino Sans GB" w:eastAsia="Hiragino Sans GB"/>
        </w:rPr>
        <w:t>异步派生结果、LLM结果和报告任务返回时检查相关依赖版本。不要用每帧都会增加的全局projection_revision作为所有交互拒绝依据，否则高频位姿会让问题永远过期；业务动作使用所需事实的dependency_token和问题revision，投影版本用于追溯。</w:t>
      </w:r>
    </w:p>
    <w:p>
      <w:pPr>
        <w:pStyle w:val="Heading2"/>
      </w:pPr>
      <w:r>
        <w:t>6.3 缺口恢复</w:t>
      </w:r>
    </w:p>
    <w:p>
      <w:r>
        <w:rPr>
          <w:rFonts w:ascii="Hiragino Sans GB" w:hAnsi="Hiragino Sans GB" w:eastAsia="Hiragino Sans GB"/>
        </w:rPr>
        <w:t>发现离散stream缺口后只使依赖该stream的判断同步中，不静默所有规则。独立新鲜的设备离线等critical事实仍可直接触发。快照必须由来源在一致提交点产生，携带同epoch各stream水位。</w:t>
      </w:r>
    </w:p>
    <w:p>
      <w:r>
        <w:rPr>
          <w:rFonts w:ascii="Hiragino Sans GB" w:hAnsi="Hiragino Sans GB" w:eastAsia="Hiragino Sans GB"/>
        </w:rPr>
        <w:t>核心在请求快照期间有界缓存新事件，应用快照后重放超过水位的连续事件。缓存溢出或epoch变化时重新取快照。ReplayEvents声明最早可用序号；历史不足生成monitoring_gap。当前状态恢复和历史审计补齐分别标记，不能以快照代替短暂异常历史。</w:t>
      </w:r>
    </w:p>
    <w:p>
      <w:pPr>
        <w:pStyle w:val="Heading2"/>
      </w:pPr>
      <w:r>
        <w:t>6.4 重启与订阅同步</w:t>
      </w:r>
    </w:p>
    <w:p>
      <w:r>
        <w:rPr>
          <w:rFonts w:ascii="Hiragino Sans GB" w:hAnsi="Hiragino Sans GB" w:eastAsia="Hiragino Sans GB"/>
        </w:rPr>
        <w:t>重启恢复最后持久投影与inbox，重新向权威来源核对并求值。开放问题在重启后重新验证依赖和时效，不能自动延续不确定的问题。订阅使用server_epoch与cursor；游标过期时发送SYNC_BEGIN、全量集合、SYNC_END，以cut_cursor为边界续传增量，避免快照与增量之间丢更新。</w:t>
      </w:r>
    </w:p>
    <w:p>
      <w:r>
        <w:rPr>
          <w:rFonts w:ascii="Hiragino Sans GB" w:hAnsi="Hiragino Sans GB" w:eastAsia="Hiragino Sans GB"/>
        </w:rPr>
        <w:t>订阅按角色权限过滤，权限撤销时发送集合替换或移除记录；这属于可见范围改变，不记录为风险解除。核心MONITORING需要数据与规则检查完成；LLM不可用只进入RuleOnly，不影响核心监控。</w:t>
      </w:r>
    </w:p>
    <w:p>
      <w:pPr>
        <w:pStyle w:val="Heading1"/>
      </w:pPr>
      <w:r>
        <w:t>7 画像策略引擎</w:t>
      </w:r>
    </w:p>
    <w:p>
      <w:pPr>
        <w:pStyle w:val="Heading2"/>
      </w:pPr>
      <w:r>
        <w:t>7.1 ProfileRepository</w:t>
      </w:r>
    </w:p>
    <w:p>
      <w:r>
        <w:rPr>
          <w:rFonts w:ascii="Hiragino Sans GB" w:hAnsi="Hiragino Sans GB" w:eastAsia="Hiragino Sans GB"/>
        </w:rPr>
        <w:t>用户配置采用CAS更新，字段包括profile_revision、guidance_level、approved_term_set、noncritical_channels、personalization_enabled和consent_revision。教学进度单独存储，不从教学开关推断完成。病例计数从唯一完成的临床过程生成，训练和重复会话不计数。</w:t>
      </w:r>
    </w:p>
    <w:p>
      <w:r>
        <w:rPr>
          <w:rFonts w:ascii="Hiragino Sans GB" w:hAnsi="Hiragino Sans GB" w:eastAsia="Hiragino Sans GB"/>
        </w:rPr>
        <w:t>首版默认DETAILED。第10例完成后的建议仅是产品待批准初值；建议在会话结束后触发且每个规则版本最多一次。用户接受后更新配置，拒绝不反复打扰。没有经过批准的行为评分，不计算“操作正确率”。</w:t>
      </w:r>
    </w:p>
    <w:p>
      <w:pPr>
        <w:pStyle w:val="Heading2"/>
      </w:pPr>
      <w:r>
        <w:t>7.2 GuidancePolicyResolver</w:t>
      </w:r>
    </w:p>
    <w:p>
      <w:r>
        <w:rPr>
          <w:rFonts w:ascii="Hiragino Sans GB" w:hAnsi="Hiragino Sans GB" w:eastAsia="Hiragino Sans GB"/>
        </w:rPr>
        <w:t>依次合并规则约束、认证权限、有效会话状态、角色、显式教学级别和个人偏好。输出EffectiveGuidancePolicy，包含字段最终值及来源；若偏好试图隐藏critical或扩大动作集合，拒绝该覆盖并审计。</w:t>
      </w:r>
    </w:p>
    <w:p>
      <w:r>
        <w:rPr>
          <w:rFonts w:ascii="Hiragino Sans GB" w:hAnsi="Hiragino Sans GB" w:eastAsia="Hiragino Sans GB"/>
        </w:rPr>
        <w:t>策略缓存键包含user_id、authorized_role_set、view_role、session_mode、phase、rule_package_version、profile_revision和consent_revision。权限或授权变化立即失效；不能只以用户ID缓存。角色展示选择不能修改认证claims。</w:t>
      </w:r>
    </w:p>
    <w:p>
      <w:pPr>
        <w:pStyle w:val="Heading2"/>
      </w:pPr>
      <w:r>
        <w:t>7.3 学习与删除</w:t>
      </w:r>
    </w:p>
    <w:p>
      <w:r>
        <w:rPr>
          <w:rFonts w:ascii="Hiragino Sans GB" w:hAnsi="Hiragino Sans GB" w:eastAsia="Hiragino Sans GB"/>
        </w:rPr>
        <w:t>只接受白名单偏好，不从跳过、采纳或告警忽略生成操作政策。画像删除使设置恢复默认并递增revision；异步语言结果和检索缓存因版本失效。审计保留必要的变更事实及批准策略要求的最小内容，个人术语原文和向量的删除范围由保留策略明确。向量存储按租户和用户隔离，检索前验证授权而不是检索后仅做展示过滤。</w:t>
      </w:r>
    </w:p>
    <w:p>
      <w:pPr>
        <w:pStyle w:val="Heading1"/>
      </w:pPr>
      <w:r>
        <w:t>8 澄清管理与执行闭环</w:t>
      </w:r>
    </w:p>
    <w:p>
      <w:pPr>
        <w:pStyle w:val="Heading2"/>
      </w:pPr>
      <w:r>
        <w:t>8.1 Clarification契约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200"/>
      </w:tblGrid>
      <w:tr>
        <w:trPr>
          <w:tblHeader w:val="true"/>
          <w:cantSplit/>
        </w:trPr>
        <w:tc>
          <w:tcPr>
            <w:tcW w:type="dxa" w:w="3024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类型与要求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clarification_id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不可复用ID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kind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INFORMATION、INTENT、BUSINESS_CONFIRMATION、PREFERENCE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scope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SESSION_SHARED或USER_PRIVATE；私有问题绑定subject_user_id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revision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每次问题变更递增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dependency_token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所需事实标识与版本集合的摘要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options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2至3个审核选项，含option_id和允许的action_intent_type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answer_roles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允许回答的认证角色及能力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opened_at / collapse_after_ms / expires_at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折叠和过期分别定义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state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OPEN、COLLAPSED、ANSWERED、SUPERSEDED、EXPIRED、WITHDRAWN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accepted_answer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选择、actor、时间、请求及关联intent</w:t>
            </w:r>
          </w:p>
        </w:tc>
      </w:tr>
    </w:tbl>
    <w:p>
      <w:pPr>
        <w:spacing w:after="20"/>
      </w:pPr>
    </w:p>
    <w:p>
      <w:pPr>
        <w:pStyle w:val="Heading2"/>
      </w:pPr>
      <w:r>
        <w:t>8.2 状态转换</w:t>
      </w:r>
    </w:p>
    <w:p>
      <w:r>
        <w:rPr>
          <w:rFonts w:ascii="Hiragino Sans GB" w:hAnsi="Hiragino Sans GB" w:eastAsia="Hiragino Sans GB"/>
        </w:rPr>
        <w:t>OPEN在15秒或详细模式30秒后进入COLLAPSED。折叠不提交答案；到期进入EXPIRED，建议有效期120秒仅用于评审和验证配置。依赖、选项、权限或会话变化进入SUPERSEDED。只有仍有效的OPEN或COLLAPSED允许回答。</w:t>
      </w:r>
    </w:p>
    <w:p>
      <w:r>
        <w:rPr>
          <w:rFonts w:ascii="Hiragino Sans GB" w:hAnsi="Hiragino Sans GB" w:eastAsia="Hiragino Sans GB"/>
        </w:rPr>
        <w:t>AnswerClarification在同一事务检查请求幂等、问题revision、dependency_token、权限、截止时间和已有答案，再写入ANSWERED及唯一intent。共享问题使用CAS首答成功，个人问题使用用户隔离。重复相同request_id返回原结果；不同请求对已回答问题返回ALREADY_ANSWERED。</w:t>
      </w:r>
    </w:p>
    <w:p>
      <w:pPr>
        <w:pStyle w:val="Heading2"/>
      </w:pPr>
      <w:r>
        <w:t>8.3 动作执行协议</w:t>
      </w:r>
    </w:p>
    <w:p>
      <w:r>
        <w:rPr>
          <w:rFonts w:ascii="Hiragino Sans GB" w:hAnsi="Hiragino Sans GB" w:eastAsia="Hiragino Sans GB"/>
        </w:rPr>
        <w:t>Agent返回ActionIntent只表示可展示并可请求的业务意图。Qt ActionRouter执行前向核心ClaimIntent，核心原子地把PENDING变为CLAIMED。认领消息只发给已认证且具备对应能力的客户端，包含intent_id、依赖token、expires_at和操作白名单。</w:t>
      </w:r>
    </w:p>
    <w:p>
      <w:r>
        <w:rPr>
          <w:rFonts w:ascii="Hiragino Sans GB" w:hAnsi="Hiragino Sans GB" w:eastAsia="Hiragino Sans GB"/>
        </w:rPr>
        <w:t>客户端认领后再次检查原业务状态、权限和必须确认，再由用户确认进入原业务操作。客户端将intent_id映射到持久operation_id。具有副作用的动作不能仅依赖网络重试；相同intent只返回原操作状态，不重复执行。Agent本身无业务执行RPC。</w:t>
      </w:r>
    </w:p>
    <w:p>
      <w:r>
        <w:rPr>
          <w:rFonts w:ascii="Hiragino Sans GB" w:hAnsi="Hiragino Sans GB" w:eastAsia="Hiragino Sans GB"/>
        </w:rPr>
        <w:t>ActionExecution状态为PENDING、CLAIMED、SUCCEEDED_AWAITING_EVIDENCE、VERIFIED、FAILED、CANCELLED、UNKNOWN。客户端成功回执只进入等待证据；权威业务事件确认相同operation_id及依赖后进入VERIFIED并更新业务投影。回执丢失时查询原业务operation_id；不能超时后直接重新执行。</w:t>
      </w:r>
    </w:p>
    <w:p>
      <w:pPr>
        <w:pStyle w:val="Heading2"/>
      </w:pPr>
      <w:r>
        <w:t>8.4 撤回与崩溃竞争</w:t>
      </w:r>
    </w:p>
    <w:p>
      <w:r>
        <w:rPr>
          <w:rFonts w:ascii="Hiragino Sans GB" w:hAnsi="Hiragino Sans GB" w:eastAsia="Hiragino Sans GB"/>
        </w:rPr>
        <w:t>WithdrawSelection仅在接收后10秒内且intent仍为PENDING时，用CAS撤回；与ClaimIntent竞争时只有一个事务成功。已CLAIMED时返回ALREADY_CLAIMED，取消需要原业务流程提供能力。偏好选择的撤回还要检查没有后续profile_revision写入，避免覆盖用户更新。</w:t>
      </w:r>
    </w:p>
    <w:p>
      <w:r>
        <w:rPr>
          <w:rFonts w:ascii="Hiragino Sans GB" w:hAnsi="Hiragino Sans GB" w:eastAsia="Hiragino Sans GB"/>
        </w:rPr>
        <w:t>认领后客户端崩溃或超时，将执行状态置UNKNOWN，重新连接后查询原业务操作。若原软件不能查询或幂等执行，不开放该动作的直接快捷执行，仅提供进入原面板的导航意图。物理里程碑不通过此撤回协议回滚。</w:t>
      </w:r>
    </w:p>
    <w:p>
      <w:pPr>
        <w:pStyle w:val="Heading2"/>
      </w:pPr>
      <w:r>
        <w:t>8.5 调度与语音</w:t>
      </w:r>
    </w:p>
    <w:p>
      <w:r>
        <w:rPr>
          <w:rFonts w:ascii="Hiragino Sans GB" w:hAnsi="Hiragino Sans GB" w:eastAsia="Hiragino Sans GB"/>
        </w:rPr>
        <w:t>同一角色视图最多一个主动非关键问题；按主题、subject及依赖摘要合并。critical抑制低优先级主动打扰，不取消其事实记录。过期计时不因界面隐藏暂停。恢复展示前重新验证。</w:t>
      </w:r>
    </w:p>
    <w:p>
      <w:r>
        <w:rPr>
          <w:rFonts w:ascii="Hiragino Sans GB" w:hAnsi="Hiragino Sans GB" w:eastAsia="Hiragino Sans GB"/>
        </w:rPr>
        <w:t>语音携带绑定clarification_id、revision和option_id的识别结果，只作为待确认输入。多候选、身份不明或置信度不满足批准配置时拒绝自动提交。高风险与不可逆操作不由通用语音“确认”直接执行。</w:t>
      </w:r>
    </w:p>
    <w:p>
      <w:pPr>
        <w:pStyle w:val="Heading1"/>
      </w:pPr>
      <w:r>
        <w:t>9 规则提示与语言服务</w:t>
      </w:r>
    </w:p>
    <w:p>
      <w:pPr>
        <w:pStyle w:val="Heading2"/>
      </w:pPr>
      <w:r>
        <w:t>9.1 规则包</w:t>
      </w:r>
    </w:p>
    <w:p>
      <w:r>
        <w:rPr>
          <w:rFonts w:ascii="Hiragino Sans GB" w:hAnsi="Hiragino Sans GB" w:eastAsia="Hiragino Sans GB"/>
        </w:rPr>
        <w:t>规则包包含版本、签名、审核记录、输入Schema、依赖、条件、风险映射、模板、动作白名单和交互策略。进行中会话固定规则包；迁移须显式审批并记录差异。解析或签名无效拒绝整包；被明确声明unresolved的规则保持NOT_EVALUABLE，独立已批准规则仍可运行。</w:t>
      </w:r>
    </w:p>
    <w:p>
      <w:r>
        <w:rPr>
          <w:rFonts w:ascii="Hiragino Sans GB" w:hAnsi="Hiragino Sans GB" w:eastAsia="Hiragino Sans GB"/>
        </w:rPr>
        <w:t>CT门槛冲突使用unresolved而非任一默认数值。Stent RMS等指标激活前要求指标定义和来源单位与规则包一致。规则引擎不会因医生接受结果而把不达标改为达标。</w:t>
      </w:r>
    </w:p>
    <w:p>
      <w:pPr>
        <w:pStyle w:val="Heading2"/>
      </w:pPr>
      <w:r>
        <w:t>9.2 提示周期和语音</w:t>
      </w:r>
    </w:p>
    <w:p>
      <w:r>
        <w:rPr>
          <w:rFonts w:ascii="Hiragino Sans GB" w:hAnsi="Hiragino Sans GB" w:eastAsia="Hiragino Sans GB"/>
        </w:rPr>
        <w:t>去重键为session_id、rule_topic、subject_id、condition_epoch。风险恢复后再出现、等级上升或依赖失效产生新的通知周期；文案润色、画像变化、订阅重连本身不产生新风险周期。服务器保存提示风险状态；客户端按终端保存语音播放回执与临时静音状态。</w:t>
      </w:r>
    </w:p>
    <w:p>
      <w:r>
        <w:rPr>
          <w:rFonts w:ascii="Hiragino Sans GB" w:hAnsi="Hiragino Sans GB" w:eastAsia="Hiragino Sans GB"/>
        </w:rPr>
        <w:t>critical固定语音首次触发且未静音时播放，非关键语音可抢占。重复事件不重播；持续风险的重播间隔与临时静音时长必须由批准策略配置。静音仅本终端本会话，视觉critical持续显示。语音设备失败显示可见状态；客户端已有监控失联提示不依赖核心告警流。</w:t>
      </w:r>
    </w:p>
    <w:p>
      <w:pPr>
        <w:pStyle w:val="Heading2"/>
      </w:pPr>
      <w:r>
        <w:t>9.3 语言增强合同</w:t>
      </w:r>
    </w:p>
    <w:p>
      <w:r>
        <w:rPr>
          <w:rFonts w:ascii="Hiragino Sans GB" w:hAnsi="Hiragino Sans GB" w:eastAsia="Hiragino Sans GB"/>
        </w:rPr>
        <w:t>语言请求仅包含已批准解释片段、可改写槽位、角色详略、decision_id、condition_epoch、profile_revision、policy_version和dependency_token。关键事实与按钮从结构化模型渲染，不接受模型返回替代。语言服务无工具调用或业务动作权限。</w:t>
      </w:r>
    </w:p>
    <w:p>
      <w:r>
        <w:rPr>
          <w:rFonts w:ascii="Hiragino Sans GB" w:hAnsi="Hiragino Sans GB" w:eastAsia="Hiragino Sans GB"/>
        </w:rPr>
        <w:t>校验包含字段匹配、事实与数字保留、审核内容范围、动作集合、版本和授权。语义无法证明受限的自由文本不自动发布。首版attention语音使用固定模板。未知话术、检索污染、模型失败或旧版本结果回退模板并记录原因。</w:t>
      </w:r>
    </w:p>
    <w:p>
      <w:pPr>
        <w:pStyle w:val="Heading1"/>
      </w:pPr>
      <w:r>
        <w:t>10 外部服务与接口</w:t>
      </w:r>
    </w:p>
    <w:p>
      <w:pPr>
        <w:pStyle w:val="Heading2"/>
      </w:pPr>
      <w:r>
        <w:t>10.1 服务清单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4032"/>
      </w:tblGrid>
      <w:tr>
        <w:trPr>
          <w:tblHeader w:val="true"/>
          <w:cantSplit/>
        </w:trPr>
        <w:tc>
          <w:tcPr>
            <w:tcW w:type="dxa" w:w="237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服务方法</w:t>
            </w:r>
          </w:p>
        </w:tc>
        <w:tc>
          <w:tcPr>
            <w:tcW w:type="dxa" w:w="381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关键请求</w:t>
            </w:r>
          </w:p>
        </w:tc>
        <w:tc>
          <w:tcPr>
            <w:tcW w:type="dxa" w:w="403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响应与副作用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OpenSession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request_id、case_ref、mode、client_instance、schema能力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会话、规则包、server_epoch；建立绑定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PublishEvents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类型化事件、stream、sequence、摘要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接收与应用确认、水位；写入事实投影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GetSnapshot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session、来源和期望epoch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一致快照及每stream水位；无修改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ReplayEvents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stream、epoch、起止序号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历史事件及可用范围；无修改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WatchGuidance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session、cursor、server_epoch、view_role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提示、澄清、策略、健康的同步与增量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SubmitFeedback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request_id、prompt_id、revision、反馈类型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展示反馈；不修改事实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AnswerClarification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request_id、问题ID、revision、dependency_token、option_id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答案与可选intent；不执行业务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WithdrawSelection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request_id、answer_id、intent_revision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撤回或明确拒绝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ClaimIntent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request_id、intent_id、dependency_token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认领结果；只授权客户端后续原流程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ReportActionResult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request_id、intent_id、operation_id、结果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执行回执；等待权威证据验证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GetActionStatus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intent_id或operation_id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当前执行状态；无修改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GetProfile / UpdateProfile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认证用户、expected_profile_revision、白名单patch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画像与版本；修改个人设置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GetEffectivePolicy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session、view_role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有效策略及字段来源；无修改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ImportBaseline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request_id、病例、版本、摘要、显式引用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新基线版本及失效集合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ValidateReport / BuildReport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固定输入版本清单、已批准跳过记录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检查结果或不可变报告版本</w:t>
            </w:r>
          </w:p>
        </w:tc>
      </w:tr>
    </w:tbl>
    <w:p>
      <w:pPr>
        <w:spacing w:after="20"/>
      </w:pPr>
    </w:p>
    <w:p>
      <w:pPr>
        <w:pStyle w:val="Heading2"/>
      </w:pPr>
      <w:r>
        <w:t>10.2 通用约束</w:t>
      </w:r>
    </w:p>
    <w:p>
      <w:r>
        <w:rPr>
          <w:rFonts w:ascii="Hiragino Sans GB" w:hAnsi="Hiragino Sans GB" w:eastAsia="Hiragino Sans GB"/>
        </w:rPr>
        <w:t>包命名tavr.agent.v1；proto枚举0为UNSPECIFIED，需拒绝其用于必填状态。字段编号只追加不复用，未知事件类型不能静默当正常。连接认证提供actor与client能力，正文actor_id只作审计信息，不决定授权。</w:t>
      </w:r>
    </w:p>
    <w:p>
      <w:r>
        <w:rPr>
          <w:rFonts w:ascii="Hiragino Sans GB" w:hAnsi="Hiragino Sans GB" w:eastAsia="Hiragino Sans GB"/>
        </w:rPr>
        <w:t>所有写请求使用request_id。去重范围为认证主体、会话、方法和request_id，并保存请求摘要；同键不同内容返回IDEMPOTENCY_CONFLICT。持久副作用与幂等结果同事务提交。超时可能发生在提交之后，客户端使用同键重试或查询状态，不能保证“超时等于未执行”。不可逆动作不自动重试。</w:t>
      </w:r>
    </w:p>
    <w:p>
      <w:pPr>
        <w:pStyle w:val="Heading2"/>
      </w:pPr>
      <w:r>
        <w:t>10.3 回答示例</w:t>
      </w:r>
    </w:p>
    <w:p>
      <w:pPr>
        <w:pStyle w:val="CodeBlock"/>
        <w:keepLines/>
      </w:pPr>
      <w:r>
        <w:rPr>
          <w:rFonts w:ascii="Liberation Mono" w:hAnsi="Liberation Mono" w:eastAsia="Hiragino Sans GB"/>
        </w:rPr>
        <w:t>{</w:t>
        <w:br/>
        <w:t xml:space="preserve">  "request_id": "answer-001",</w:t>
        <w:br/>
        <w:t xml:space="preserve">  "session_id": "session-001",</w:t>
        <w:br/>
        <w:t xml:space="preserve">  "clarification_id": "clarification-007",</w:t>
        <w:br/>
        <w:t xml:space="preserve">  "revision": 3,</w:t>
        <w:br/>
        <w:t xml:space="preserve">  "dependency_token": "opaque-context-token",</w:t>
        <w:br/>
        <w:t xml:space="preserve">  "option_id": "open_registration_panel"</w:t>
        <w:br/>
        <w:t>}</w:t>
      </w:r>
    </w:p>
    <w:p>
      <w:r>
        <w:rPr>
          <w:rFonts w:ascii="Hiragino Sans GB" w:hAnsi="Hiragino Sans GB" w:eastAsia="Hiragino Sans GB"/>
        </w:rPr>
        <w:t>成功响应包含answer_id、clarification_revision、accepted_at、可选intent_id与intent_state。服务端认证决定操作者，状态过期返回当前问题摘要和可刷新游标。该示例仅展示协议字段，不代表任何真实患者数据。</w:t>
      </w:r>
    </w:p>
    <w:p>
      <w:pPr>
        <w:pStyle w:val="Heading2"/>
      </w:pPr>
      <w:r>
        <w:t>10.4 错误与重试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4032"/>
      </w:tblGrid>
      <w:tr>
        <w:trPr>
          <w:tblHeader w:val="true"/>
          <w:cantSplit/>
        </w:trPr>
        <w:tc>
          <w:tcPr>
            <w:tcW w:type="dxa" w:w="237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领域错误</w:t>
            </w:r>
          </w:p>
        </w:tc>
        <w:tc>
          <w:tcPr>
            <w:tcW w:type="dxa" w:w="381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gRPC状态</w:t>
            </w:r>
          </w:p>
        </w:tc>
        <w:tc>
          <w:tcPr>
            <w:tcW w:type="dxa" w:w="403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客户端处理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INVALID_PAYLOAD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INVALID_ARGUMENT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修正字段，不自动重试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STALE_CONTEXT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FAILED_PRECONDITION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刷新问题并重新选择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ALREADY_ANSWERED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ABORTED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展示共享问题已处理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EXPIRED或SUPERSEDED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FAILED_PRECONDITION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撤下旧选项，重新求值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ACTION_NOT_ALLOWED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PERMISSION_DENIED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不执行，审计拒绝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ALREADY_CLAIMED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FAILED_PRECONDITION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查询原业务状态，不伪造撤回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IDEMPOTENCY_CONFLICT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ALREADY_EXISTS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核对请求，不能换键盲重试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SEQUENCE_GAP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流内ACK领域状态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暂停受影响判断，启动补偿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STORAGE_UNAVAILABLE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UNAVAILABLE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不报持久成功，显示降级并有界退避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RATE_LIMITED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RESOURCE_EXHAUSTED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根据retry_after退避</w:t>
            </w:r>
          </w:p>
        </w:tc>
      </w:tr>
    </w:tbl>
    <w:p>
      <w:pPr>
        <w:spacing w:after="20"/>
      </w:pPr>
    </w:p>
    <w:p>
      <w:r>
        <w:rPr>
          <w:rFonts w:ascii="Hiragino Sans GB" w:hAnsi="Hiragino Sans GB" w:eastAsia="Hiragino Sans GB"/>
        </w:rPr>
        <w:t>NOT_EVALUABLE为正常规则求值结果，不作为所有RPC失败码。deadline超时与连接中断属于传输状态，应查询是否已提交，不能从网络错误推断业务没有发生。</w:t>
      </w:r>
    </w:p>
    <w:p>
      <w:pPr>
        <w:pStyle w:val="Heading1"/>
      </w:pPr>
      <w:r>
        <w:t>11 Qt客户端集成</w:t>
      </w:r>
    </w:p>
    <w:p>
      <w:r>
        <w:rPr>
          <w:rFonts w:ascii="Hiragino Sans GB" w:hAnsi="Hiragino Sans GB" w:eastAsia="Hiragino Sans GB"/>
        </w:rPr>
        <w:t>SDK包括连接与认证、状态适配器、GuidanceModel、ClarificationModel、ProfileClient、ActionRouter和LocalSpeechScheduler。GUI线程只更新视图模型，通信经queued connection进入GUI。连续遥测通过最新只读快照读取，不逐帧排入GUI消息队列。</w:t>
      </w:r>
    </w:p>
    <w:p>
      <w:r>
        <w:rPr>
          <w:rFonts w:ascii="Hiragino Sans GB" w:hAnsi="Hiragino Sans GB" w:eastAsia="Hiragino Sans GB"/>
        </w:rPr>
        <w:t>问题按钮显示等待确认或过期状态，避免重复点击。服务端成功接收答案不立即把业务步骤打勾。ActionRouter对白名单意图映射到原业务入口，二次确认仍由原软件执行。前后端同时校验相关版本，原业务模块在提交时最后核对前置条件。</w:t>
      </w:r>
    </w:p>
    <w:p>
      <w:r>
        <w:rPr>
          <w:rFonts w:ascii="Hiragino Sans GB" w:hAnsi="Hiragino Sans GB" w:eastAsia="Hiragino Sans GB"/>
        </w:rPr>
        <w:t>客户端独立监测核心心跳。失联显示监控暂不可用并撤下可执行的旧问题按钮；原有业务功能与硬件保护按其自身策略运行。角色切换重新订阅授权集合；只读叠加保留数据年龄和有效性标记。</w:t>
      </w:r>
    </w:p>
    <w:p>
      <w:pPr>
        <w:pStyle w:val="Heading1"/>
      </w:pPr>
      <w:r>
        <w:t>12 存储审计报告与隐私</w:t>
      </w:r>
    </w:p>
    <w:p>
      <w:pPr>
        <w:pStyle w:val="Heading2"/>
      </w:pPr>
      <w:r>
        <w:t>12.1 本机存储</w:t>
      </w:r>
    </w:p>
    <w:p>
      <w:r>
        <w:rPr>
          <w:rFonts w:ascii="Hiragino Sans GB" w:hAnsi="Hiragino Sans GB" w:eastAsia="Hiragino Sans GB"/>
        </w:rPr>
        <w:t>首版使用SQLite WAL及单写入协调器。表包含sessions、source_stream_watermarks、event_inbox、projection_snapshots、guidance_outbox、rule_decisions、prompts、prompt_receipts、clarifications、answers、action_intents、action_results、profiles、policy_snapshots、baselines、audit_records和report_snapshots。</w:t>
      </w:r>
    </w:p>
    <w:p>
      <w:r>
        <w:rPr>
          <w:rFonts w:ascii="Hiragino Sans GB" w:hAnsi="Hiragino Sans GB" w:eastAsia="Hiragino Sans GB"/>
        </w:rPr>
        <w:t>唯一约束覆盖event_id、来源stream序号、幂等键和每个共享问题的有效答案。影像和网格保存为外部版本化引用。备份必须使用数据库一致备份机制，并同时保留规则、模板和引用清单。存储保留和清理按Q11批准配置执行，不在活动会话中清除未确认事件。</w:t>
      </w:r>
    </w:p>
    <w:p>
      <w:pPr>
        <w:pStyle w:val="Heading2"/>
      </w:pPr>
      <w:r>
        <w:t>12.2 审计与故障</w:t>
      </w:r>
    </w:p>
    <w:p>
      <w:r>
        <w:rPr>
          <w:rFonts w:ascii="Hiragino Sans GB" w:hAnsi="Hiragino Sans GB" w:eastAsia="Hiragino Sans GB"/>
        </w:rPr>
        <w:t>审计记录输入摘要、证据、规则和模板版本、策略来源、问题与选项、回答、执行状态、展示和语音回执、降级空窗和报告版本。服务器发送不等于客户端展示，展示成功及语音开始通过独立回执记录。</w:t>
      </w:r>
    </w:p>
    <w:p>
      <w:r>
        <w:rPr>
          <w:rFonts w:ascii="Hiragino Sans GB" w:hAnsi="Hiragino Sans GB" w:eastAsia="Hiragino Sans GB"/>
        </w:rPr>
        <w:t>存储失败启用有界内存或可用备用存储，明确标记volatile与审计缺口。备用队列满时保留critical展示并记录可观测丢失计数；拒绝新的需持久确认的画像修改、报告生成和澄清业务意图。Agent的持久化故障不擅自成为原业务手术操作的门禁。</w:t>
      </w:r>
    </w:p>
    <w:p>
      <w:r>
        <w:rPr>
          <w:rFonts w:ascii="Hiragino Sans GB" w:hAnsi="Hiragino Sans GB" w:eastAsia="Hiragino Sans GB"/>
        </w:rPr>
        <w:t>审计采用追加记录、摘要链和受控归档；摘要链只提供篡改检测。临床记录与偏好数据按不同保留策略管理，删除偏好不能删除临床事实。语言请求最小化，按机构配置关闭外发；病例ID为受控引用。</w:t>
      </w:r>
    </w:p>
    <w:p>
      <w:pPr>
        <w:pStyle w:val="Heading2"/>
      </w:pPr>
      <w:r>
        <w:t>12.3 报告一致性</w:t>
      </w:r>
    </w:p>
    <w:p>
      <w:r>
        <w:rPr>
          <w:rFonts w:ascii="Hiragino Sans GB" w:hAnsi="Hiragino Sans GB" w:eastAsia="Hiragino Sans GB"/>
        </w:rPr>
        <w:t>BuildReport先冻结输入清单，包括各权威结果版本、基线、规则、模板、问题和跳过记录，再异步生成。后台计算不能混入冻结后更新的数据。报告输出只汇总现有评估与已批准算法结果，跳过水印严格使用产品2.0第9章规则。导出后更新形成新报告或附录，不覆盖旧快照。</w:t>
      </w:r>
    </w:p>
    <w:p>
      <w:pPr>
        <w:pStyle w:val="Heading1"/>
      </w:pPr>
      <w:r>
        <w:t>13 部署与降级</w:t>
      </w:r>
    </w:p>
    <w:p>
      <w:r>
        <w:rPr>
          <w:rFonts w:ascii="Hiragino Sans GB" w:hAnsi="Hiragino Sans GB" w:eastAsia="Hiragino Sans GB"/>
        </w:rPr>
        <w:t>术前和术中工作站各运行客户端、核心服务、本地规则模板与审计。院内语言、偏好汇聚和归档服务可选，断网仍可运行确定性提示。本地通信采用受操作系统身份控制的IPC或具备认证的回环gRPC；跨机使用双向TLS。仅绑定127.0.0.1并不等于身份认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200"/>
      </w:tblGrid>
      <w:tr>
        <w:trPr>
          <w:tblHeader w:val="true"/>
          <w:cantSplit/>
        </w:trPr>
        <w:tc>
          <w:tcPr>
            <w:tcW w:type="dxa" w:w="3024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故障</w:t>
            </w:r>
          </w:p>
        </w:tc>
        <w:tc>
          <w:tcPr>
            <w:tcW w:type="dxa" w:w="720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LLM或偏好检索不可用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使用审核模板与标准表达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核心失联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客户端显示不可用，旧业务意图不执行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单一来源缺口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受影响判断同步中，独立规则继续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已命中告警的证据过期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标为当前无法验证，不记录解除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规则包部分未决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对应规则不可评估，其余已批准规则正常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数据库不可写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critical可volatile展示，持久事务拒绝并暴露审计降级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客户端执行回执未知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查询原业务状态，禁止盲重试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画像更新或授权撤销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缓存与迟到增强失效，重新生成有效策略</w:t>
            </w:r>
          </w:p>
        </w:tc>
      </w:tr>
    </w:tbl>
    <w:p>
      <w:pPr>
        <w:spacing w:after="20"/>
      </w:pPr>
    </w:p>
    <w:p>
      <w:pPr>
        <w:pStyle w:val="Heading1"/>
      </w:pPr>
      <w:r>
        <w:t>14 性能与可观测性</w:t>
      </w:r>
    </w:p>
    <w:p>
      <w:r>
        <w:rPr>
          <w:rFonts w:ascii="Hiragino Sans GB" w:hAnsi="Hiragino Sans GB" w:eastAsia="Hiragino Sans GB"/>
        </w:rPr>
        <w:t>记录事件接收到求值、视觉渲染回执、语音启动、队列年龄、数据年龄、规则不可评估数、问题过期率、答案拒绝原因、认领后未知执行数、审计刷盘和恢复耗时。P50、P95、P99和最大值按事件类别分组。</w:t>
      </w:r>
    </w:p>
    <w:p>
      <w:r>
        <w:rPr>
          <w:rFonts w:ascii="Hiragino Sans GB" w:hAnsi="Hiragino Sans GB" w:eastAsia="Hiragino Sans GB"/>
        </w:rPr>
        <w:t>跨设备发生到展示的测量需报告时钟误差；没有可信同步时使用同机链路测量与端到端外部测试。时效、队列容量、Deadline、静音与重播数值通过配置验证，不宣称硬实时。LLM、报告和数据库扫描不能占用关键规则执行线程。</w:t>
      </w:r>
    </w:p>
    <w:p>
      <w:pPr>
        <w:pStyle w:val="Heading1"/>
      </w:pPr>
      <w:r>
        <w:t>15 验证与实施顺序</w:t>
      </w:r>
    </w:p>
    <w:p>
      <w:r>
        <w:rPr>
          <w:rFonts w:ascii="Hiragino Sans GB" w:hAnsi="Hiragino Sans GB" w:eastAsia="Hiragino Sans GB"/>
        </w:rPr>
        <w:t>第一阶段冻结事实所有权、Schema和未决规则禁用策略，完成事件、状态、固定模板、审计和恢复。第二阶段实现画像策略、澄清与动作协议、角色视图和报告。第三阶段在受控测试中引入语言增强和语音识别，所有阶段均保留独立硬件安全链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200"/>
      </w:tblGrid>
      <w:tr>
        <w:trPr>
          <w:tblHeader w:val="true"/>
          <w:cantSplit/>
        </w:trPr>
        <w:tc>
          <w:tcPr>
            <w:tcW w:type="dxa" w:w="3024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720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必须成立的不变量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事件重发与断电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持久已确认事件不丢失，不重复推进业务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高频Best Effort丢样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不误触发离散事件缺口恢复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快照过程中继续到达事件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水位之后完整重放，无混合epoch覆盖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配准更新与旧问题回答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dependency_token失效，答案拒绝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无关位姿高频更新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不使无关问题持续过期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多角色同时回答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一个共享答案生效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撤回与ClaimIntent并发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至多一个成功，状态转换可追溯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认领后崩溃及重连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查询operation_id，不重复执行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回执成功但事实事件缺失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停留等待证据，不标完成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超时后同request_id重试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返回原结果，不产生新副作用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第10例或关闭教学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不取消必要确认，不扩大权限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清除偏好后旧LLM返回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丢弃旧profile_revision结果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告警期间数据中断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无证据时不自动RESOLVE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磁盘故障及队列满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critical仍可见，审计降级和缺口显式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导出过程中数据更新</w:t>
            </w:r>
          </w:p>
        </w:tc>
        <w:tc>
          <w:tcPr>
            <w:tcW w:type="dxa" w:w="72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报告只使用冻结版本</w:t>
            </w:r>
          </w:p>
        </w:tc>
      </w:tr>
    </w:tbl>
    <w:p>
      <w:pPr>
        <w:spacing w:after="20"/>
      </w:pPr>
    </w:p>
    <w:p>
      <w:pPr>
        <w:pStyle w:val="Heading1"/>
      </w:pPr>
      <w:r>
        <w:t>16 跨文档追溯与发布条件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4032"/>
      </w:tblGrid>
      <w:tr>
        <w:trPr>
          <w:tblHeader w:val="true"/>
          <w:cantSplit/>
        </w:trPr>
        <w:tc>
          <w:tcPr>
            <w:tcW w:type="dxa" w:w="237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产品设计</w:t>
            </w:r>
          </w:p>
        </w:tc>
        <w:tc>
          <w:tcPr>
            <w:tcW w:type="dxa" w:w="381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系统实现</w:t>
            </w:r>
          </w:p>
        </w:tc>
        <w:tc>
          <w:tcPr>
            <w:tcW w:type="dxa" w:w="403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验证重点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第2章画像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第7章PolicyResolver与ProfileRepository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优先级、CAS、隔离和缓存失效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第6章澄清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第8章状态机与动作协议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过期、多人、撤回竞争和证据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第7章风险展示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第5及9章双维状态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已读不解除、未知不正常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第9章报告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第12章冻结版本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跳过范围、水印与不可变历史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第10章细则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第8、9、11、13章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静音、角色、恢复和失联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Q01至Q06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未决规则与动作禁用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临床和算法决议后回放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Q07至Q10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版本化配置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语音、时效、性能和体验验证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Q11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数据保留与权限配置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偏好删除与审计保存</w:t>
            </w:r>
          </w:p>
        </w:tc>
      </w:tr>
    </w:tbl>
    <w:p>
      <w:pPr>
        <w:spacing w:after="20"/>
      </w:pPr>
    </w:p>
    <w:p>
      <w:r>
        <w:rPr>
          <w:rFonts w:ascii="Hiragino Sans GB" w:hAnsi="Hiragino Sans GB" w:eastAsia="Hiragino Sans GB"/>
        </w:rPr>
        <w:t>规则发布必须具有来源、审批记录、输入合同、模板和回归结果。Q01至Q06中影响某项临床功能的事项未决时，该功能不得启用；演示和训练须标明范围。可独立完成的工程功能继续开发和验证。</w:t>
      </w:r>
    </w:p>
    <w:p>
      <w:pPr>
        <w:pStyle w:val="Heading1"/>
      </w:pPr>
      <w:r>
        <w:t>17 修订记录</w:t>
      </w:r>
    </w:p>
    <w:p>
      <w:r>
        <w:rPr>
          <w:rFonts w:ascii="Hiragino Sans GB" w:hAnsi="Hiragino Sans GB" w:eastAsia="Hiragino Sans GB"/>
        </w:rPr>
        <w:t>2.0版本增加画像策略解析器、完整澄清生命周期与客户端动作认领协议；明确事实与展示分离、相关依赖版本校验、可靠事件与连续采样序号分离、持久ACK与volatile告警、快照水位和订阅原子同步。原有模块化单体、Qt集成、规则优先、独立安全控制和报告快照方向保留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</w:rPr>
      <w:t xml:space="preserve">第 </w:t>
    </w:r>
    <w:fldSimple w:instr="PAGE"/>
    <w:r>
      <w:rPr>
        <w:rFonts w:ascii="Hiragino Sans GB" w:hAnsi="Hiragino Sans GB" w:eastAsia="Hiragino Sans GB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Hiragino Sans GB" w:hAnsi="Hiragino Sans GB" w:eastAsia="Hiragino Sans GB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52" w:lineRule="auto"/>
      <w:ind w:left="255" w:right="142"/>
      <w:shd w:fill="F4F6F8"/>
    </w:pPr>
    <w:rPr>
      <w:rFonts w:ascii="Liberation Mono" w:hAnsi="Liberation Mono" w:eastAsia="Hiragino Sans GB"/>
      <w:color w:val="1F2937"/>
      <w:sz w:val="18"/>
    </w:rPr>
  </w:style>
  <w:style w:type="paragraph" w:customStyle="1" w:styleId="CaptionText">
    <w:name w:val="Caption Text"/>
    <w:pPr>
      <w:spacing w:after="160"/>
      <w:jc w:val="center"/>
    </w:pPr>
    <w:rPr>
      <w:rFonts w:ascii="Hiragino Sans GB" w:hAnsi="Hiragino Sans GB" w:eastAsia="Hiragino Sans GB"/>
      <w:i/>
      <w:color w:val="555555"/>
      <w:sz w:val="18"/>
    </w:rPr>
  </w:style>
  <w:style w:type="paragraph" w:customStyle="1" w:styleId="SmallNote">
    <w:name w:val="Small Note"/>
    <w:pPr>
      <w:spacing w:after="80"/>
    </w:pPr>
    <w:rPr>
      <w:rFonts w:ascii="Hiragino Sans GB" w:hAnsi="Hiragino Sans GB" w:eastAsia="Hiragino Sans GB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TAVR操作引导Agent系统设计V2</dc:title>
  <dc:subject>产品和系统设计修订版2.0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