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BLTZ School &amp; Team CRM</w:t>
      </w:r>
    </w:p>
    <w:p>
      <w:pPr>
        <w:pStyle w:val="Subtitle"/>
      </w:pPr>
      <w:r>
        <w:t>Product Requirements Document for the organization-facing media operating system</w:t>
      </w:r>
    </w:p>
    <w:p>
      <w:pPr>
        <w:spacing w:before="280"/>
      </w:pPr>
      <w:r>
        <w:rPr>
          <w:b/>
          <w:color w:val="FFBB00"/>
          <w:sz w:val="32"/>
        </w:rPr>
        <w:t>BLTZ</w:t>
      </w:r>
      <w:r>
        <w:rPr>
          <w:color w:val="0B1220"/>
          <w:sz w:val="22"/>
        </w:rPr>
        <w:t xml:space="preserve">  Athlete Media Infrastructure</w:t>
      </w:r>
    </w:p>
    <w:p>
      <w:r>
        <w:t>Version 1.0  |  July 2026</w:t>
      </w:r>
    </w:p>
    <w:p>
      <w:pPr>
        <w:pStyle w:val="BLTZCallout"/>
      </w:pPr>
      <w:r>
        <w:t>Product thesis: transform fragmented athlete career content into measurable, monetizable, long-term digital media assets.</w:t>
      </w:r>
    </w:p>
    <w:p>
      <w:r>
        <w:br w:type="page"/>
      </w:r>
    </w:p>
    <w:p>
      <w:pPr>
        <w:pStyle w:val="Heading1"/>
      </w:pPr>
      <w:r>
        <w:t>1. Executive Summary</w:t>
      </w:r>
    </w:p>
    <w:p>
      <w:r>
        <w:t>The BLTZ School &amp; Team CRM is the operational workspace used by athletic departments, teams, media staff, alumni programs, and authorized partners to organize athletes, structure media assets, document rights, request approvals, publish content to Player Lockers, run campaigns, and measure revenue and engagement.</w:t>
      </w:r>
    </w:p>
    <w:tbl>
      <w:tblPr>
        <w:tblW w:type="auto" w:w="0"/>
        <w:jc w:val="center"/>
        <w:tblLook w:firstColumn="1" w:firstRow="1" w:lastColumn="0" w:lastRow="0" w:noHBand="0" w:noVBand="1" w:val="04A0"/>
      </w:tblPr>
      <w:tblGrid>
        <w:gridCol w:w="10224"/>
      </w:tblGrid>
      <w:tr>
        <w:tc>
          <w:tcPr>
            <w:tcW w:type="dxa" w:w="10224"/>
            <w:shd w:fill="FFF7D6"/>
            <w:tcMar>
              <w:top w:w="130" w:type="dxa"/>
              <w:start w:w="160" w:type="dxa"/>
              <w:bottom w:w="130" w:type="dxa"/>
              <w:end w:w="160" w:type="dxa"/>
            </w:tcMar>
          </w:tcPr>
          <w:p>
            <w:r>
              <w:rPr>
                <w:b/>
                <w:color w:val="0B1220"/>
                <w:sz w:val="19"/>
              </w:rPr>
              <w:t>Primary MVP proof: a team can take one media asset from intake to rights review, athlete association, approval, Locker publication, analytics, and revenue attribution.</w:t>
            </w:r>
          </w:p>
        </w:tc>
      </w:tr>
    </w:tbl>
    <w:p/>
    <w:p>
      <w:pPr>
        <w:pStyle w:val="Heading2"/>
      </w:pPr>
      <w:r>
        <w:t>1.1 Product positioning</w:t>
      </w:r>
    </w:p>
    <w:p>
      <w:r>
        <w:t>BLTZ is not a generic sales CRM, NIL marketplace, social network, or video hosting tool. The CRM is athlete media infrastructure: it creates structured relationships among organizations, athletes, content, permissions, audiences, campaigns, and revenue.</w:t>
      </w:r>
    </w:p>
    <w:p>
      <w:pPr>
        <w:pStyle w:val="Heading2"/>
      </w:pPr>
      <w:r>
        <w:t>1.2 Product surfaces</w:t>
      </w:r>
    </w:p>
    <w:p>
      <w:pPr>
        <w:pStyle w:val="ListBullet"/>
        <w:spacing w:after="40"/>
      </w:pPr>
      <w:r>
        <w:t>Organization workspace: private CRM for school and team staff.</w:t>
      </w:r>
    </w:p>
    <w:p>
      <w:pPr>
        <w:pStyle w:val="ListBullet"/>
        <w:spacing w:after="40"/>
      </w:pPr>
      <w:r>
        <w:t>Athlete approval experience: limited athlete actions tied to content and Locker settings.</w:t>
      </w:r>
    </w:p>
    <w:p>
      <w:pPr>
        <w:pStyle w:val="ListBullet"/>
        <w:spacing w:after="40"/>
      </w:pPr>
      <w:r>
        <w:t>Player Locker: public distribution endpoint for approved athlete media.</w:t>
      </w:r>
    </w:p>
    <w:p>
      <w:pPr>
        <w:pStyle w:val="ListBullet"/>
        <w:spacing w:after="40"/>
      </w:pPr>
      <w:r>
        <w:t>BLTZ Admin: separate platform governance system covered by its own PRD.</w:t>
      </w:r>
    </w:p>
    <w:p>
      <w:pPr>
        <w:pStyle w:val="Heading1"/>
      </w:pPr>
      <w:r>
        <w:t>2. Goals, Non-Goals, and Success Criteria</w:t>
      </w:r>
    </w:p>
    <w:p>
      <w:r>
        <w:t>The MVP must demonstrate a complete operational workflow without attempting to reproduce an enterprise rights-management system, ad server, payment processor, or full athletic department suite.</w:t>
      </w:r>
    </w:p>
    <w:p>
      <w:pPr>
        <w:pStyle w:val="Heading2"/>
      </w:pPr>
      <w:r>
        <w:t>2.1 Goals</w:t>
      </w:r>
    </w:p>
    <w:p>
      <w:pPr>
        <w:pStyle w:val="ListBullet"/>
        <w:spacing w:after="40"/>
      </w:pPr>
      <w:r>
        <w:t>Give organizations one authoritative roster and athlete-media directory.</w:t>
      </w:r>
    </w:p>
    <w:p>
      <w:pPr>
        <w:pStyle w:val="ListBullet"/>
        <w:spacing w:after="40"/>
      </w:pPr>
      <w:r>
        <w:t>Turn unstructured media into searchable, rights-aware assets.</w:t>
      </w:r>
    </w:p>
    <w:p>
      <w:pPr>
        <w:pStyle w:val="ListBullet"/>
        <w:spacing w:after="40"/>
      </w:pPr>
      <w:r>
        <w:t>Allow staff to associate multiple athletes with one media asset.</w:t>
      </w:r>
    </w:p>
    <w:p>
      <w:pPr>
        <w:pStyle w:val="ListBullet"/>
        <w:spacing w:after="40"/>
      </w:pPr>
      <w:r>
        <w:t>Create clear approval and publishing workflows.</w:t>
      </w:r>
    </w:p>
    <w:p>
      <w:pPr>
        <w:pStyle w:val="ListBullet"/>
        <w:spacing w:after="40"/>
      </w:pPr>
      <w:r>
        <w:t>Publish approved media into the correct Player Lockers.</w:t>
      </w:r>
    </w:p>
    <w:p>
      <w:pPr>
        <w:pStyle w:val="ListBullet"/>
        <w:spacing w:after="40"/>
      </w:pPr>
      <w:r>
        <w:t>Show measurable content performance and simulated revenue allocation.</w:t>
      </w:r>
    </w:p>
    <w:p>
      <w:pPr>
        <w:pStyle w:val="ListBullet"/>
        <w:spacing w:after="40"/>
      </w:pPr>
      <w:r>
        <w:t>Provide an investor- and partner-ready demonstration of the BLTZ infrastructure thesis.</w:t>
      </w:r>
    </w:p>
    <w:p>
      <w:pPr>
        <w:pStyle w:val="Heading2"/>
      </w:pPr>
      <w:r>
        <w:t>2.2 Non-goals for MVP</w:t>
      </w:r>
    </w:p>
    <w:p>
      <w:pPr>
        <w:pStyle w:val="ListBullet"/>
        <w:spacing w:after="40"/>
      </w:pPr>
      <w:r>
        <w:t>Live broadcast rights acquisition or automated legal clearance.</w:t>
      </w:r>
    </w:p>
    <w:p>
      <w:pPr>
        <w:pStyle w:val="ListBullet"/>
        <w:spacing w:after="40"/>
      </w:pPr>
      <w:r>
        <w:t>Automated video recognition, clipping, or transcoding at production scale.</w:t>
      </w:r>
    </w:p>
    <w:p>
      <w:pPr>
        <w:pStyle w:val="ListBullet"/>
        <w:spacing w:after="40"/>
      </w:pPr>
      <w:r>
        <w:t>Real payment disbursement, tax reporting, or athlete banking.</w:t>
      </w:r>
    </w:p>
    <w:p>
      <w:pPr>
        <w:pStyle w:val="ListBullet"/>
        <w:spacing w:after="40"/>
      </w:pPr>
      <w:r>
        <w:t>Recruiting, scouting, team performance analysis, or athlete health data.</w:t>
      </w:r>
    </w:p>
    <w:p>
      <w:pPr>
        <w:pStyle w:val="ListBullet"/>
        <w:spacing w:after="40"/>
      </w:pPr>
      <w:r>
        <w:t>A public brand marketplace or full advertising exchange.</w:t>
      </w:r>
    </w:p>
    <w:p>
      <w:pPr>
        <w:pStyle w:val="ListBullet"/>
        <w:spacing w:after="40"/>
      </w:pPr>
      <w:r>
        <w:t>Support for every sport, league, and rights model at launch.</w:t>
      </w:r>
    </w:p>
    <w:p>
      <w:pPr>
        <w:pStyle w:val="Heading2"/>
      </w:pPr>
      <w:r>
        <w:t>2.3 MVP success metrics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0B1220"/>
            <w:tcMar>
              <w:top w:w="100" w:type="dxa"/>
              <w:start w:w="120" w:type="dxa"/>
              <w:bottom w:w="100" w:type="dxa"/>
              <w:end w:w="120" w:type="dxa"/>
            </w:tcMar>
          </w:tcPr>
          <w:p>
            <w:r>
              <w:rPr>
                <w:b/>
                <w:color w:val="FFFFFF"/>
                <w:sz w:val="17"/>
              </w:rPr>
              <w:t>Metric</w:t>
            </w:r>
          </w:p>
        </w:tc>
        <w:tc>
          <w:tcPr>
            <w:tcW w:type="dxa" w:w="8352"/>
            <w:shd w:fill="0B1220"/>
            <w:tcMar>
              <w:top w:w="100" w:type="dxa"/>
              <w:start w:w="120" w:type="dxa"/>
              <w:bottom w:w="100" w:type="dxa"/>
              <w:end w:w="120" w:type="dxa"/>
            </w:tcMar>
          </w:tcPr>
          <w:p>
            <w:r>
              <w:rPr>
                <w:b/>
                <w:color w:val="FFFFFF"/>
                <w:sz w:val="17"/>
              </w:rPr>
              <w:t>Target / Validation</w:t>
            </w:r>
          </w:p>
        </w:tc>
      </w:tr>
      <w:tr>
        <w:tc>
          <w:tcPr>
            <w:tcW w:type="dxa" w:w="2304"/>
            <w:vAlign w:val="center"/>
            <w:tcMar>
              <w:top w:w="100" w:type="dxa"/>
              <w:start w:w="120" w:type="dxa"/>
              <w:bottom w:w="100" w:type="dxa"/>
              <w:end w:w="120" w:type="dxa"/>
            </w:tcMar>
          </w:tcPr>
          <w:p>
            <w:pPr>
              <w:spacing w:after="0"/>
            </w:pPr>
            <w:r>
              <w:rPr>
                <w:sz w:val="16"/>
              </w:rPr>
              <w:t>Workflow completion</w:t>
            </w:r>
          </w:p>
        </w:tc>
        <w:tc>
          <w:tcPr>
            <w:tcW w:type="dxa" w:w="8352"/>
            <w:vAlign w:val="center"/>
            <w:tcMar>
              <w:top w:w="100" w:type="dxa"/>
              <w:start w:w="120" w:type="dxa"/>
              <w:bottom w:w="100" w:type="dxa"/>
              <w:end w:w="120" w:type="dxa"/>
            </w:tcMar>
          </w:tcPr>
          <w:p>
            <w:pPr>
              <w:spacing w:after="0"/>
            </w:pPr>
            <w:r>
              <w:rPr>
                <w:sz w:val="16"/>
              </w:rPr>
              <w:t>A staff user completes intake → rights → approval → publish without assistance.</w:t>
            </w:r>
          </w:p>
        </w:tc>
      </w:tr>
      <w:tr>
        <w:tc>
          <w:tcPr>
            <w:tcW w:type="dxa" w:w="2304"/>
            <w:vAlign w:val="center"/>
            <w:tcMar>
              <w:top w:w="100" w:type="dxa"/>
              <w:start w:w="120" w:type="dxa"/>
              <w:bottom w:w="100" w:type="dxa"/>
              <w:end w:w="120" w:type="dxa"/>
            </w:tcMar>
            <w:shd w:fill="F4F6FA"/>
          </w:tcPr>
          <w:p>
            <w:pPr>
              <w:spacing w:after="0"/>
            </w:pPr>
            <w:r>
              <w:rPr>
                <w:sz w:val="16"/>
              </w:rPr>
              <w:t>Time to publish</w:t>
            </w:r>
          </w:p>
        </w:tc>
        <w:tc>
          <w:tcPr>
            <w:tcW w:type="dxa" w:w="8352"/>
            <w:vAlign w:val="center"/>
            <w:tcMar>
              <w:top w:w="100" w:type="dxa"/>
              <w:start w:w="120" w:type="dxa"/>
              <w:bottom w:w="100" w:type="dxa"/>
              <w:end w:w="120" w:type="dxa"/>
            </w:tcMar>
            <w:shd w:fill="F4F6FA"/>
          </w:tcPr>
          <w:p>
            <w:pPr>
              <w:spacing w:after="0"/>
            </w:pPr>
            <w:r>
              <w:rPr>
                <w:sz w:val="16"/>
              </w:rPr>
              <w:t>Prototype target under 5 minutes using a prepared asset.</w:t>
            </w:r>
          </w:p>
        </w:tc>
      </w:tr>
      <w:tr>
        <w:tc>
          <w:tcPr>
            <w:tcW w:type="dxa" w:w="2304"/>
            <w:vAlign w:val="center"/>
            <w:tcMar>
              <w:top w:w="100" w:type="dxa"/>
              <w:start w:w="120" w:type="dxa"/>
              <w:bottom w:w="100" w:type="dxa"/>
              <w:end w:w="120" w:type="dxa"/>
            </w:tcMar>
          </w:tcPr>
          <w:p>
            <w:pPr>
              <w:spacing w:after="0"/>
            </w:pPr>
            <w:r>
              <w:rPr>
                <w:sz w:val="16"/>
              </w:rPr>
              <w:t>Data completeness</w:t>
            </w:r>
          </w:p>
        </w:tc>
        <w:tc>
          <w:tcPr>
            <w:tcW w:type="dxa" w:w="8352"/>
            <w:vAlign w:val="center"/>
            <w:tcMar>
              <w:top w:w="100" w:type="dxa"/>
              <w:start w:w="120" w:type="dxa"/>
              <w:bottom w:w="100" w:type="dxa"/>
              <w:end w:w="120" w:type="dxa"/>
            </w:tcMar>
          </w:tcPr>
          <w:p>
            <w:pPr>
              <w:spacing w:after="0"/>
            </w:pPr>
            <w:r>
              <w:rPr>
                <w:sz w:val="16"/>
              </w:rPr>
              <w:t>At least 90% of published assets have athlete, source, rights status, and provenance.</w:t>
            </w:r>
          </w:p>
        </w:tc>
      </w:tr>
      <w:tr>
        <w:tc>
          <w:tcPr>
            <w:tcW w:type="dxa" w:w="2304"/>
            <w:vAlign w:val="center"/>
            <w:tcMar>
              <w:top w:w="100" w:type="dxa"/>
              <w:start w:w="120" w:type="dxa"/>
              <w:bottom w:w="100" w:type="dxa"/>
              <w:end w:w="120" w:type="dxa"/>
            </w:tcMar>
            <w:shd w:fill="F4F6FA"/>
          </w:tcPr>
          <w:p>
            <w:pPr>
              <w:spacing w:after="0"/>
            </w:pPr>
            <w:r>
              <w:rPr>
                <w:sz w:val="16"/>
              </w:rPr>
              <w:t>Locker connection</w:t>
            </w:r>
          </w:p>
        </w:tc>
        <w:tc>
          <w:tcPr>
            <w:tcW w:type="dxa" w:w="8352"/>
            <w:vAlign w:val="center"/>
            <w:tcMar>
              <w:top w:w="100" w:type="dxa"/>
              <w:start w:w="120" w:type="dxa"/>
              <w:bottom w:w="100" w:type="dxa"/>
              <w:end w:w="120" w:type="dxa"/>
            </w:tcMar>
            <w:shd w:fill="F4F6FA"/>
          </w:tcPr>
          <w:p>
            <w:pPr>
              <w:spacing w:after="0"/>
            </w:pPr>
            <w:r>
              <w:rPr>
                <w:sz w:val="16"/>
              </w:rPr>
              <w:t>Published assets appear in every approved athlete Locker relationship.</w:t>
            </w:r>
          </w:p>
        </w:tc>
      </w:tr>
      <w:tr>
        <w:tc>
          <w:tcPr>
            <w:tcW w:type="dxa" w:w="2304"/>
            <w:vAlign w:val="center"/>
            <w:tcMar>
              <w:top w:w="100" w:type="dxa"/>
              <w:start w:w="120" w:type="dxa"/>
              <w:bottom w:w="100" w:type="dxa"/>
              <w:end w:w="120" w:type="dxa"/>
            </w:tcMar>
          </w:tcPr>
          <w:p>
            <w:pPr>
              <w:spacing w:after="0"/>
            </w:pPr>
            <w:r>
              <w:rPr>
                <w:sz w:val="16"/>
              </w:rPr>
              <w:t>Usability</w:t>
            </w:r>
          </w:p>
        </w:tc>
        <w:tc>
          <w:tcPr>
            <w:tcW w:type="dxa" w:w="8352"/>
            <w:vAlign w:val="center"/>
            <w:tcMar>
              <w:top w:w="100" w:type="dxa"/>
              <w:start w:w="120" w:type="dxa"/>
              <w:bottom w:w="100" w:type="dxa"/>
              <w:end w:w="120" w:type="dxa"/>
            </w:tcMar>
          </w:tcPr>
          <w:p>
            <w:pPr>
              <w:spacing w:after="0"/>
            </w:pPr>
            <w:r>
              <w:rPr>
                <w:sz w:val="16"/>
              </w:rPr>
              <w:t>Pilot users can identify pending approvals and rights risks within 30 seconds.</w:t>
            </w:r>
          </w:p>
        </w:tc>
      </w:tr>
      <w:tr>
        <w:tc>
          <w:tcPr>
            <w:tcW w:type="dxa" w:w="2304"/>
            <w:vAlign w:val="center"/>
            <w:tcMar>
              <w:top w:w="100" w:type="dxa"/>
              <w:start w:w="120" w:type="dxa"/>
              <w:bottom w:w="100" w:type="dxa"/>
              <w:end w:w="120" w:type="dxa"/>
            </w:tcMar>
            <w:shd w:fill="F4F6FA"/>
          </w:tcPr>
          <w:p>
            <w:pPr>
              <w:spacing w:after="0"/>
            </w:pPr>
            <w:r>
              <w:rPr>
                <w:sz w:val="16"/>
              </w:rPr>
              <w:t>Commercial clarity</w:t>
            </w:r>
          </w:p>
        </w:tc>
        <w:tc>
          <w:tcPr>
            <w:tcW w:type="dxa" w:w="8352"/>
            <w:vAlign w:val="center"/>
            <w:tcMar>
              <w:top w:w="100" w:type="dxa"/>
              <w:start w:w="120" w:type="dxa"/>
              <w:bottom w:w="100" w:type="dxa"/>
              <w:end w:w="120" w:type="dxa"/>
            </w:tcMar>
            <w:shd w:fill="F4F6FA"/>
          </w:tcPr>
          <w:p>
            <w:pPr>
              <w:spacing w:after="0"/>
            </w:pPr>
            <w:r>
              <w:rPr>
                <w:sz w:val="16"/>
              </w:rPr>
              <w:t>Dashboard clearly separates direct revenue from estimated media value.</w:t>
            </w:r>
          </w:p>
        </w:tc>
      </w:tr>
    </w:tbl>
    <w:p/>
    <w:p>
      <w:pPr>
        <w:pStyle w:val="Heading1"/>
      </w:pPr>
      <w:r>
        <w:t>3. Users and Permissions</w:t>
      </w:r>
    </w:p>
    <w:p>
      <w:r>
        <w:t>Permissions must be organization-scoped, role-based, and auditable. Users should only see organizations and teams to which they have been explicitly assigned.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0B1220"/>
            <w:tcMar>
              <w:top w:w="100" w:type="dxa"/>
              <w:start w:w="120" w:type="dxa"/>
              <w:bottom w:w="100" w:type="dxa"/>
              <w:end w:w="120" w:type="dxa"/>
            </w:tcMar>
          </w:tcPr>
          <w:p>
            <w:r>
              <w:rPr>
                <w:b/>
                <w:color w:val="FFFFFF"/>
                <w:sz w:val="17"/>
              </w:rPr>
              <w:t>Role</w:t>
            </w:r>
          </w:p>
        </w:tc>
        <w:tc>
          <w:tcPr>
            <w:tcW w:type="dxa" w:w="4608"/>
            <w:shd w:fill="0B1220"/>
            <w:tcMar>
              <w:top w:w="100" w:type="dxa"/>
              <w:start w:w="120" w:type="dxa"/>
              <w:bottom w:w="100" w:type="dxa"/>
              <w:end w:w="120" w:type="dxa"/>
            </w:tcMar>
          </w:tcPr>
          <w:p>
            <w:r>
              <w:rPr>
                <w:b/>
                <w:color w:val="FFFFFF"/>
                <w:sz w:val="17"/>
              </w:rPr>
              <w:t>Primary Responsibilities</w:t>
            </w:r>
          </w:p>
        </w:tc>
        <w:tc>
          <w:tcPr>
            <w:tcW w:type="dxa" w:w="4176"/>
            <w:shd w:fill="0B1220"/>
            <w:tcMar>
              <w:top w:w="100" w:type="dxa"/>
              <w:start w:w="120" w:type="dxa"/>
              <w:bottom w:w="100" w:type="dxa"/>
              <w:end w:w="120" w:type="dxa"/>
            </w:tcMar>
          </w:tcPr>
          <w:p>
            <w:r>
              <w:rPr>
                <w:b/>
                <w:color w:val="FFFFFF"/>
                <w:sz w:val="17"/>
              </w:rPr>
              <w:t>Key Restrictions</w:t>
            </w:r>
          </w:p>
        </w:tc>
      </w:tr>
      <w:tr>
        <w:tc>
          <w:tcPr>
            <w:tcW w:type="dxa" w:w="1800"/>
            <w:vAlign w:val="center"/>
            <w:tcMar>
              <w:top w:w="100" w:type="dxa"/>
              <w:start w:w="120" w:type="dxa"/>
              <w:bottom w:w="100" w:type="dxa"/>
              <w:end w:w="120" w:type="dxa"/>
            </w:tcMar>
          </w:tcPr>
          <w:p>
            <w:pPr>
              <w:spacing w:after="0"/>
            </w:pPr>
            <w:r>
              <w:rPr>
                <w:sz w:val="16"/>
              </w:rPr>
              <w:t>Organization Owner</w:t>
            </w:r>
          </w:p>
        </w:tc>
        <w:tc>
          <w:tcPr>
            <w:tcW w:type="dxa" w:w="4608"/>
            <w:vAlign w:val="center"/>
            <w:tcMar>
              <w:top w:w="100" w:type="dxa"/>
              <w:start w:w="120" w:type="dxa"/>
              <w:bottom w:w="100" w:type="dxa"/>
              <w:end w:w="120" w:type="dxa"/>
            </w:tcMar>
          </w:tcPr>
          <w:p>
            <w:pPr>
              <w:spacing w:after="0"/>
            </w:pPr>
            <w:r>
              <w:rPr>
                <w:sz w:val="16"/>
              </w:rPr>
              <w:t>Organization settings, staff access, teams, billing visibility, all content operations.</w:t>
            </w:r>
          </w:p>
        </w:tc>
        <w:tc>
          <w:tcPr>
            <w:tcW w:type="dxa" w:w="4176"/>
            <w:vAlign w:val="center"/>
            <w:tcMar>
              <w:top w:w="100" w:type="dxa"/>
              <w:start w:w="120" w:type="dxa"/>
              <w:bottom w:w="100" w:type="dxa"/>
              <w:end w:w="120" w:type="dxa"/>
            </w:tcMar>
          </w:tcPr>
          <w:p>
            <w:pPr>
              <w:spacing w:after="0"/>
            </w:pPr>
            <w:r>
              <w:rPr>
                <w:sz w:val="16"/>
              </w:rPr>
              <w:t>Cannot override BLTZ-level compliance locks.</w:t>
            </w:r>
          </w:p>
        </w:tc>
      </w:tr>
      <w:tr>
        <w:tc>
          <w:tcPr>
            <w:tcW w:type="dxa" w:w="1800"/>
            <w:vAlign w:val="center"/>
            <w:tcMar>
              <w:top w:w="100" w:type="dxa"/>
              <w:start w:w="120" w:type="dxa"/>
              <w:bottom w:w="100" w:type="dxa"/>
              <w:end w:w="120" w:type="dxa"/>
            </w:tcMar>
            <w:shd w:fill="F4F6FA"/>
          </w:tcPr>
          <w:p>
            <w:pPr>
              <w:spacing w:after="0"/>
            </w:pPr>
            <w:r>
              <w:rPr>
                <w:sz w:val="16"/>
              </w:rPr>
              <w:t>Organization Admin</w:t>
            </w:r>
          </w:p>
        </w:tc>
        <w:tc>
          <w:tcPr>
            <w:tcW w:type="dxa" w:w="4608"/>
            <w:vAlign w:val="center"/>
            <w:tcMar>
              <w:top w:w="100" w:type="dxa"/>
              <w:start w:w="120" w:type="dxa"/>
              <w:bottom w:w="100" w:type="dxa"/>
              <w:end w:w="120" w:type="dxa"/>
            </w:tcMar>
            <w:shd w:fill="F4F6FA"/>
          </w:tcPr>
          <w:p>
            <w:pPr>
              <w:spacing w:after="0"/>
            </w:pPr>
            <w:r>
              <w:rPr>
                <w:sz w:val="16"/>
              </w:rPr>
              <w:t>Roster, media, campaigns, analytics, staff management.</w:t>
            </w:r>
          </w:p>
        </w:tc>
        <w:tc>
          <w:tcPr>
            <w:tcW w:type="dxa" w:w="4176"/>
            <w:vAlign w:val="center"/>
            <w:tcMar>
              <w:top w:w="100" w:type="dxa"/>
              <w:start w:w="120" w:type="dxa"/>
              <w:bottom w:w="100" w:type="dxa"/>
              <w:end w:w="120" w:type="dxa"/>
            </w:tcMar>
            <w:shd w:fill="F4F6FA"/>
          </w:tcPr>
          <w:p>
            <w:pPr>
              <w:spacing w:after="0"/>
            </w:pPr>
            <w:r>
              <w:rPr>
                <w:sz w:val="16"/>
              </w:rPr>
              <w:t>Cannot change ownership or platform billing owner.</w:t>
            </w:r>
          </w:p>
        </w:tc>
      </w:tr>
      <w:tr>
        <w:tc>
          <w:tcPr>
            <w:tcW w:type="dxa" w:w="1800"/>
            <w:vAlign w:val="center"/>
            <w:tcMar>
              <w:top w:w="100" w:type="dxa"/>
              <w:start w:w="120" w:type="dxa"/>
              <w:bottom w:w="100" w:type="dxa"/>
              <w:end w:w="120" w:type="dxa"/>
            </w:tcMar>
          </w:tcPr>
          <w:p>
            <w:pPr>
              <w:spacing w:after="0"/>
            </w:pPr>
            <w:r>
              <w:rPr>
                <w:sz w:val="16"/>
              </w:rPr>
              <w:t>Media Manager</w:t>
            </w:r>
          </w:p>
        </w:tc>
        <w:tc>
          <w:tcPr>
            <w:tcW w:type="dxa" w:w="4608"/>
            <w:vAlign w:val="center"/>
            <w:tcMar>
              <w:top w:w="100" w:type="dxa"/>
              <w:start w:w="120" w:type="dxa"/>
              <w:bottom w:w="100" w:type="dxa"/>
              <w:end w:w="120" w:type="dxa"/>
            </w:tcMar>
          </w:tcPr>
          <w:p>
            <w:pPr>
              <w:spacing w:after="0"/>
            </w:pPr>
            <w:r>
              <w:rPr>
                <w:sz w:val="16"/>
              </w:rPr>
              <w:t>Upload, tag, edit, submit rights information, publish approved assets.</w:t>
            </w:r>
          </w:p>
        </w:tc>
        <w:tc>
          <w:tcPr>
            <w:tcW w:type="dxa" w:w="4176"/>
            <w:vAlign w:val="center"/>
            <w:tcMar>
              <w:top w:w="100" w:type="dxa"/>
              <w:start w:w="120" w:type="dxa"/>
              <w:bottom w:w="100" w:type="dxa"/>
              <w:end w:w="120" w:type="dxa"/>
            </w:tcMar>
          </w:tcPr>
          <w:p>
            <w:pPr>
              <w:spacing w:after="0"/>
            </w:pPr>
            <w:r>
              <w:rPr>
                <w:sz w:val="16"/>
              </w:rPr>
              <w:t>Cannot approve restricted rights or change revenue policy.</w:t>
            </w:r>
          </w:p>
        </w:tc>
      </w:tr>
      <w:tr>
        <w:tc>
          <w:tcPr>
            <w:tcW w:type="dxa" w:w="1800"/>
            <w:vAlign w:val="center"/>
            <w:tcMar>
              <w:top w:w="100" w:type="dxa"/>
              <w:start w:w="120" w:type="dxa"/>
              <w:bottom w:w="100" w:type="dxa"/>
              <w:end w:w="120" w:type="dxa"/>
            </w:tcMar>
            <w:shd w:fill="F4F6FA"/>
          </w:tcPr>
          <w:p>
            <w:pPr>
              <w:spacing w:after="0"/>
            </w:pPr>
            <w:r>
              <w:rPr>
                <w:sz w:val="16"/>
              </w:rPr>
              <w:t>Rights / Compliance Manager</w:t>
            </w:r>
          </w:p>
        </w:tc>
        <w:tc>
          <w:tcPr>
            <w:tcW w:type="dxa" w:w="4608"/>
            <w:vAlign w:val="center"/>
            <w:tcMar>
              <w:top w:w="100" w:type="dxa"/>
              <w:start w:w="120" w:type="dxa"/>
              <w:bottom w:w="100" w:type="dxa"/>
              <w:end w:w="120" w:type="dxa"/>
            </w:tcMar>
            <w:shd w:fill="F4F6FA"/>
          </w:tcPr>
          <w:p>
            <w:pPr>
              <w:spacing w:after="0"/>
            </w:pPr>
            <w:r>
              <w:rPr>
                <w:sz w:val="16"/>
              </w:rPr>
              <w:t>Review rights, licenses, restrictions, expirations, approval rules.</w:t>
            </w:r>
          </w:p>
        </w:tc>
        <w:tc>
          <w:tcPr>
            <w:tcW w:type="dxa" w:w="4176"/>
            <w:vAlign w:val="center"/>
            <w:tcMar>
              <w:top w:w="100" w:type="dxa"/>
              <w:start w:w="120" w:type="dxa"/>
              <w:bottom w:w="100" w:type="dxa"/>
              <w:end w:w="120" w:type="dxa"/>
            </w:tcMar>
            <w:shd w:fill="F4F6FA"/>
          </w:tcPr>
          <w:p>
            <w:pPr>
              <w:spacing w:after="0"/>
            </w:pPr>
            <w:r>
              <w:rPr>
                <w:sz w:val="16"/>
              </w:rPr>
              <w:t>Cannot alter athlete profile identity without permission.</w:t>
            </w:r>
          </w:p>
        </w:tc>
      </w:tr>
      <w:tr>
        <w:tc>
          <w:tcPr>
            <w:tcW w:type="dxa" w:w="1800"/>
            <w:vAlign w:val="center"/>
            <w:tcMar>
              <w:top w:w="100" w:type="dxa"/>
              <w:start w:w="120" w:type="dxa"/>
              <w:bottom w:w="100" w:type="dxa"/>
              <w:end w:w="120" w:type="dxa"/>
            </w:tcMar>
          </w:tcPr>
          <w:p>
            <w:pPr>
              <w:spacing w:after="0"/>
            </w:pPr>
            <w:r>
              <w:rPr>
                <w:sz w:val="16"/>
              </w:rPr>
              <w:t>Campaign Manager</w:t>
            </w:r>
          </w:p>
        </w:tc>
        <w:tc>
          <w:tcPr>
            <w:tcW w:type="dxa" w:w="4608"/>
            <w:vAlign w:val="center"/>
            <w:tcMar>
              <w:top w:w="100" w:type="dxa"/>
              <w:start w:w="120" w:type="dxa"/>
              <w:bottom w:w="100" w:type="dxa"/>
              <w:end w:w="120" w:type="dxa"/>
            </w:tcMar>
          </w:tcPr>
          <w:p>
            <w:pPr>
              <w:spacing w:after="0"/>
            </w:pPr>
            <w:r>
              <w:rPr>
                <w:sz w:val="16"/>
              </w:rPr>
              <w:t>Build campaigns, select inventory, configure deliverables, review results.</w:t>
            </w:r>
          </w:p>
        </w:tc>
        <w:tc>
          <w:tcPr>
            <w:tcW w:type="dxa" w:w="4176"/>
            <w:vAlign w:val="center"/>
            <w:tcMar>
              <w:top w:w="100" w:type="dxa"/>
              <w:start w:w="120" w:type="dxa"/>
              <w:bottom w:w="100" w:type="dxa"/>
              <w:end w:w="120" w:type="dxa"/>
            </w:tcMar>
          </w:tcPr>
          <w:p>
            <w:pPr>
              <w:spacing w:after="0"/>
            </w:pPr>
            <w:r>
              <w:rPr>
                <w:sz w:val="16"/>
              </w:rPr>
              <w:t>Cannot publish assets lacking required approval.</w:t>
            </w:r>
          </w:p>
        </w:tc>
      </w:tr>
      <w:tr>
        <w:tc>
          <w:tcPr>
            <w:tcW w:type="dxa" w:w="1800"/>
            <w:vAlign w:val="center"/>
            <w:tcMar>
              <w:top w:w="100" w:type="dxa"/>
              <w:start w:w="120" w:type="dxa"/>
              <w:bottom w:w="100" w:type="dxa"/>
              <w:end w:w="120" w:type="dxa"/>
            </w:tcMar>
            <w:shd w:fill="F4F6FA"/>
          </w:tcPr>
          <w:p>
            <w:pPr>
              <w:spacing w:after="0"/>
            </w:pPr>
            <w:r>
              <w:rPr>
                <w:sz w:val="16"/>
              </w:rPr>
              <w:t>Analyst / Viewer</w:t>
            </w:r>
          </w:p>
        </w:tc>
        <w:tc>
          <w:tcPr>
            <w:tcW w:type="dxa" w:w="4608"/>
            <w:vAlign w:val="center"/>
            <w:tcMar>
              <w:top w:w="100" w:type="dxa"/>
              <w:start w:w="120" w:type="dxa"/>
              <w:bottom w:w="100" w:type="dxa"/>
              <w:end w:w="120" w:type="dxa"/>
            </w:tcMar>
            <w:shd w:fill="F4F6FA"/>
          </w:tcPr>
          <w:p>
            <w:pPr>
              <w:spacing w:after="0"/>
            </w:pPr>
            <w:r>
              <w:rPr>
                <w:sz w:val="16"/>
              </w:rPr>
              <w:t>Read-only dashboard, asset, campaign, and revenue reporting.</w:t>
            </w:r>
          </w:p>
        </w:tc>
        <w:tc>
          <w:tcPr>
            <w:tcW w:type="dxa" w:w="4176"/>
            <w:vAlign w:val="center"/>
            <w:tcMar>
              <w:top w:w="100" w:type="dxa"/>
              <w:start w:w="120" w:type="dxa"/>
              <w:bottom w:w="100" w:type="dxa"/>
              <w:end w:w="120" w:type="dxa"/>
            </w:tcMar>
            <w:shd w:fill="F4F6FA"/>
          </w:tcPr>
          <w:p>
            <w:pPr>
              <w:spacing w:after="0"/>
            </w:pPr>
            <w:r>
              <w:rPr>
                <w:sz w:val="16"/>
              </w:rPr>
              <w:t>No create, edit, publish, or export-sensitive actions.</w:t>
            </w:r>
          </w:p>
        </w:tc>
      </w:tr>
      <w:tr>
        <w:tc>
          <w:tcPr>
            <w:tcW w:type="dxa" w:w="1800"/>
            <w:vAlign w:val="center"/>
            <w:tcMar>
              <w:top w:w="100" w:type="dxa"/>
              <w:start w:w="120" w:type="dxa"/>
              <w:bottom w:w="100" w:type="dxa"/>
              <w:end w:w="120" w:type="dxa"/>
            </w:tcMar>
          </w:tcPr>
          <w:p>
            <w:pPr>
              <w:spacing w:after="0"/>
            </w:pPr>
            <w:r>
              <w:rPr>
                <w:sz w:val="16"/>
              </w:rPr>
              <w:t>Athlete</w:t>
            </w:r>
          </w:p>
        </w:tc>
        <w:tc>
          <w:tcPr>
            <w:tcW w:type="dxa" w:w="4608"/>
            <w:vAlign w:val="center"/>
            <w:tcMar>
              <w:top w:w="100" w:type="dxa"/>
              <w:start w:w="120" w:type="dxa"/>
              <w:bottom w:w="100" w:type="dxa"/>
              <w:end w:w="120" w:type="dxa"/>
            </w:tcMar>
          </w:tcPr>
          <w:p>
            <w:pPr>
              <w:spacing w:after="0"/>
            </w:pPr>
            <w:r>
              <w:rPr>
                <w:sz w:val="16"/>
              </w:rPr>
              <w:t>Approve assigned content, edit allowed Locker fields, view own analytics and earnings.</w:t>
            </w:r>
          </w:p>
        </w:tc>
        <w:tc>
          <w:tcPr>
            <w:tcW w:type="dxa" w:w="4176"/>
            <w:vAlign w:val="center"/>
            <w:tcMar>
              <w:top w:w="100" w:type="dxa"/>
              <w:start w:w="120" w:type="dxa"/>
              <w:bottom w:w="100" w:type="dxa"/>
              <w:end w:w="120" w:type="dxa"/>
            </w:tcMar>
          </w:tcPr>
          <w:p>
            <w:pPr>
              <w:spacing w:after="0"/>
            </w:pPr>
            <w:r>
              <w:rPr>
                <w:sz w:val="16"/>
              </w:rPr>
              <w:t>Cannot access team-wide private records.</w:t>
            </w:r>
          </w:p>
        </w:tc>
      </w:tr>
    </w:tbl>
    <w:p/>
    <w:p>
      <w:pPr>
        <w:pStyle w:val="Heading1"/>
      </w:pPr>
      <w:r>
        <w:t>4. Core End-to-End Workflow</w:t>
      </w:r>
    </w:p>
    <w:p>
      <w:r>
        <w:t>The workflow is the backbone of the product and should be implemented before secondary dashboards or advanced settings.</w:t>
      </w:r>
    </w:p>
    <w:p>
      <w:pPr>
        <w:pStyle w:val="ListNumber"/>
        <w:spacing w:after="40"/>
      </w:pPr>
      <w:r>
        <w:t>Staff creates or imports an athlete roster and verifies each athlete identity.</w:t>
      </w:r>
    </w:p>
    <w:p>
      <w:pPr>
        <w:pStyle w:val="ListNumber"/>
        <w:spacing w:after="40"/>
      </w:pPr>
      <w:r>
        <w:t>Staff uploads or creates a media asset record and adds source metadata.</w:t>
      </w:r>
    </w:p>
    <w:p>
      <w:pPr>
        <w:pStyle w:val="ListNumber"/>
        <w:spacing w:after="40"/>
      </w:pPr>
      <w:r>
        <w:t>Staff associates one or more athletes, teams, games, seasons, and timestamps with the asset.</w:t>
      </w:r>
    </w:p>
    <w:p>
      <w:pPr>
        <w:pStyle w:val="ListNumber"/>
        <w:spacing w:after="40"/>
      </w:pPr>
      <w:r>
        <w:t>Staff creates or selects a rights record and records monetization, territory, term, and editing permissions.</w:t>
      </w:r>
    </w:p>
    <w:p>
      <w:pPr>
        <w:pStyle w:val="ListNumber"/>
        <w:spacing w:after="40"/>
      </w:pPr>
      <w:r>
        <w:t>System evaluates publishing requirements and identifies missing information or approvals.</w:t>
      </w:r>
    </w:p>
    <w:p>
      <w:pPr>
        <w:pStyle w:val="ListNumber"/>
        <w:spacing w:after="40"/>
      </w:pPr>
      <w:r>
        <w:t>Required athletes receive an approval request and approve, request changes, or decline.</w:t>
      </w:r>
    </w:p>
    <w:p>
      <w:pPr>
        <w:pStyle w:val="ListNumber"/>
        <w:spacing w:after="40"/>
      </w:pPr>
      <w:r>
        <w:t>Authorized staff publishes the asset to selected Lockers, team pages, or campaigns.</w:t>
      </w:r>
    </w:p>
    <w:p>
      <w:pPr>
        <w:pStyle w:val="ListNumber"/>
        <w:spacing w:after="40"/>
      </w:pPr>
      <w:r>
        <w:t>The system records engagement events and displays simulated or connected revenue.</w:t>
      </w:r>
    </w:p>
    <w:p>
      <w:pPr>
        <w:pStyle w:val="ListNumber"/>
        <w:spacing w:after="40"/>
      </w:pPr>
      <w:r>
        <w:t>Revenue allocation is calculated by configured policy and shown as pending, approved, or paid.</w:t>
      </w:r>
    </w:p>
    <w:p>
      <w:pPr>
        <w:pStyle w:val="ListNumber"/>
        <w:spacing w:after="40"/>
      </w:pPr>
      <w:r>
        <w:t>All state changes are written to an activity log.</w:t>
      </w:r>
    </w:p>
    <w:p>
      <w:pPr>
        <w:pStyle w:val="Heading1"/>
      </w:pPr>
      <w:r>
        <w:t>5. Information Architecture and Navigation</w:t>
      </w:r>
    </w:p>
    <w:p>
      <w:r>
        <w:t>The CRM should use a persistent left navigation and an organization/team context selector. Desktop is the primary operating environment; tablet must remain usable.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0B1220"/>
            <w:tcMar>
              <w:top w:w="100" w:type="dxa"/>
              <w:start w:w="120" w:type="dxa"/>
              <w:bottom w:w="100" w:type="dxa"/>
              <w:end w:w="120" w:type="dxa"/>
            </w:tcMar>
          </w:tcPr>
          <w:p>
            <w:r>
              <w:rPr>
                <w:b/>
                <w:color w:val="FFFFFF"/>
                <w:sz w:val="17"/>
              </w:rPr>
              <w:t>Navigation Item</w:t>
            </w:r>
          </w:p>
        </w:tc>
        <w:tc>
          <w:tcPr>
            <w:tcW w:type="dxa" w:w="4032"/>
            <w:shd w:fill="0B1220"/>
            <w:tcMar>
              <w:top w:w="100" w:type="dxa"/>
              <w:start w:w="120" w:type="dxa"/>
              <w:bottom w:w="100" w:type="dxa"/>
              <w:end w:w="120" w:type="dxa"/>
            </w:tcMar>
          </w:tcPr>
          <w:p>
            <w:r>
              <w:rPr>
                <w:b/>
                <w:color w:val="FFFFFF"/>
                <w:sz w:val="17"/>
              </w:rPr>
              <w:t>Purpose</w:t>
            </w:r>
          </w:p>
        </w:tc>
        <w:tc>
          <w:tcPr>
            <w:tcW w:type="dxa" w:w="4608"/>
            <w:shd w:fill="0B1220"/>
            <w:tcMar>
              <w:top w:w="100" w:type="dxa"/>
              <w:start w:w="120" w:type="dxa"/>
              <w:bottom w:w="100" w:type="dxa"/>
              <w:end w:w="120" w:type="dxa"/>
            </w:tcMar>
          </w:tcPr>
          <w:p>
            <w:r>
              <w:rPr>
                <w:b/>
                <w:color w:val="FFFFFF"/>
                <w:sz w:val="17"/>
              </w:rPr>
              <w:t>Primary Views</w:t>
            </w:r>
          </w:p>
        </w:tc>
      </w:tr>
      <w:tr>
        <w:tc>
          <w:tcPr>
            <w:tcW w:type="dxa" w:w="1872"/>
            <w:vAlign w:val="center"/>
            <w:tcMar>
              <w:top w:w="100" w:type="dxa"/>
              <w:start w:w="120" w:type="dxa"/>
              <w:bottom w:w="100" w:type="dxa"/>
              <w:end w:w="120" w:type="dxa"/>
            </w:tcMar>
          </w:tcPr>
          <w:p>
            <w:pPr>
              <w:spacing w:after="0"/>
            </w:pPr>
            <w:r>
              <w:rPr>
                <w:sz w:val="16"/>
              </w:rPr>
              <w:t>Overview</w:t>
            </w:r>
          </w:p>
        </w:tc>
        <w:tc>
          <w:tcPr>
            <w:tcW w:type="dxa" w:w="4032"/>
            <w:vAlign w:val="center"/>
            <w:tcMar>
              <w:top w:w="100" w:type="dxa"/>
              <w:start w:w="120" w:type="dxa"/>
              <w:bottom w:w="100" w:type="dxa"/>
              <w:end w:w="120" w:type="dxa"/>
            </w:tcMar>
          </w:tcPr>
          <w:p>
            <w:pPr>
              <w:spacing w:after="0"/>
            </w:pPr>
            <w:r>
              <w:rPr>
                <w:sz w:val="16"/>
              </w:rPr>
              <w:t>Operational health and items needing attention.</w:t>
            </w:r>
          </w:p>
        </w:tc>
        <w:tc>
          <w:tcPr>
            <w:tcW w:type="dxa" w:w="4608"/>
            <w:vAlign w:val="center"/>
            <w:tcMar>
              <w:top w:w="100" w:type="dxa"/>
              <w:start w:w="120" w:type="dxa"/>
              <w:bottom w:w="100" w:type="dxa"/>
              <w:end w:w="120" w:type="dxa"/>
            </w:tcMar>
          </w:tcPr>
          <w:p>
            <w:pPr>
              <w:spacing w:after="0"/>
            </w:pPr>
            <w:r>
              <w:rPr>
                <w:sz w:val="16"/>
              </w:rPr>
              <w:t>KPIs, pending approvals, rights risks, top content, recent activity.</w:t>
            </w:r>
          </w:p>
        </w:tc>
      </w:tr>
      <w:tr>
        <w:tc>
          <w:tcPr>
            <w:tcW w:type="dxa" w:w="1872"/>
            <w:vAlign w:val="center"/>
            <w:tcMar>
              <w:top w:w="100" w:type="dxa"/>
              <w:start w:w="120" w:type="dxa"/>
              <w:bottom w:w="100" w:type="dxa"/>
              <w:end w:w="120" w:type="dxa"/>
            </w:tcMar>
            <w:shd w:fill="F4F6FA"/>
          </w:tcPr>
          <w:p>
            <w:pPr>
              <w:spacing w:after="0"/>
            </w:pPr>
            <w:r>
              <w:rPr>
                <w:sz w:val="16"/>
              </w:rPr>
              <w:t>Athletes</w:t>
            </w:r>
          </w:p>
        </w:tc>
        <w:tc>
          <w:tcPr>
            <w:tcW w:type="dxa" w:w="4032"/>
            <w:vAlign w:val="center"/>
            <w:tcMar>
              <w:top w:w="100" w:type="dxa"/>
              <w:start w:w="120" w:type="dxa"/>
              <w:bottom w:w="100" w:type="dxa"/>
              <w:end w:w="120" w:type="dxa"/>
            </w:tcMar>
            <w:shd w:fill="F4F6FA"/>
          </w:tcPr>
          <w:p>
            <w:pPr>
              <w:spacing w:after="0"/>
            </w:pPr>
            <w:r>
              <w:rPr>
                <w:sz w:val="16"/>
              </w:rPr>
              <w:t>Roster and Locker management.</w:t>
            </w:r>
          </w:p>
        </w:tc>
        <w:tc>
          <w:tcPr>
            <w:tcW w:type="dxa" w:w="4608"/>
            <w:vAlign w:val="center"/>
            <w:tcMar>
              <w:top w:w="100" w:type="dxa"/>
              <w:start w:w="120" w:type="dxa"/>
              <w:bottom w:w="100" w:type="dxa"/>
              <w:end w:w="120" w:type="dxa"/>
            </w:tcMar>
            <w:shd w:fill="F4F6FA"/>
          </w:tcPr>
          <w:p>
            <w:pPr>
              <w:spacing w:after="0"/>
            </w:pPr>
            <w:r>
              <w:rPr>
                <w:sz w:val="16"/>
              </w:rPr>
              <w:t>Athlete table, athlete detail, claim status, Locker preview.</w:t>
            </w:r>
          </w:p>
        </w:tc>
      </w:tr>
      <w:tr>
        <w:tc>
          <w:tcPr>
            <w:tcW w:type="dxa" w:w="1872"/>
            <w:vAlign w:val="center"/>
            <w:tcMar>
              <w:top w:w="100" w:type="dxa"/>
              <w:start w:w="120" w:type="dxa"/>
              <w:bottom w:w="100" w:type="dxa"/>
              <w:end w:w="120" w:type="dxa"/>
            </w:tcMar>
          </w:tcPr>
          <w:p>
            <w:pPr>
              <w:spacing w:after="0"/>
            </w:pPr>
            <w:r>
              <w:rPr>
                <w:sz w:val="16"/>
              </w:rPr>
              <w:t>Media</w:t>
            </w:r>
          </w:p>
        </w:tc>
        <w:tc>
          <w:tcPr>
            <w:tcW w:type="dxa" w:w="4032"/>
            <w:vAlign w:val="center"/>
            <w:tcMar>
              <w:top w:w="100" w:type="dxa"/>
              <w:start w:w="120" w:type="dxa"/>
              <w:bottom w:w="100" w:type="dxa"/>
              <w:end w:w="120" w:type="dxa"/>
            </w:tcMar>
          </w:tcPr>
          <w:p>
            <w:pPr>
              <w:spacing w:after="0"/>
            </w:pPr>
            <w:r>
              <w:rPr>
                <w:sz w:val="16"/>
              </w:rPr>
              <w:t>Asset library and metadata operations.</w:t>
            </w:r>
          </w:p>
        </w:tc>
        <w:tc>
          <w:tcPr>
            <w:tcW w:type="dxa" w:w="4608"/>
            <w:vAlign w:val="center"/>
            <w:tcMar>
              <w:top w:w="100" w:type="dxa"/>
              <w:start w:w="120" w:type="dxa"/>
              <w:bottom w:w="100" w:type="dxa"/>
              <w:end w:w="120" w:type="dxa"/>
            </w:tcMar>
          </w:tcPr>
          <w:p>
            <w:pPr>
              <w:spacing w:after="0"/>
            </w:pPr>
            <w:r>
              <w:rPr>
                <w:sz w:val="16"/>
              </w:rPr>
              <w:t>Library, upload/intake, asset detail, bulk actions.</w:t>
            </w:r>
          </w:p>
        </w:tc>
      </w:tr>
      <w:tr>
        <w:tc>
          <w:tcPr>
            <w:tcW w:type="dxa" w:w="1872"/>
            <w:vAlign w:val="center"/>
            <w:tcMar>
              <w:top w:w="100" w:type="dxa"/>
              <w:start w:w="120" w:type="dxa"/>
              <w:bottom w:w="100" w:type="dxa"/>
              <w:end w:w="120" w:type="dxa"/>
            </w:tcMar>
            <w:shd w:fill="F4F6FA"/>
          </w:tcPr>
          <w:p>
            <w:pPr>
              <w:spacing w:after="0"/>
            </w:pPr>
            <w:r>
              <w:rPr>
                <w:sz w:val="16"/>
              </w:rPr>
              <w:t>Rights &amp; Approvals</w:t>
            </w:r>
          </w:p>
        </w:tc>
        <w:tc>
          <w:tcPr>
            <w:tcW w:type="dxa" w:w="4032"/>
            <w:vAlign w:val="center"/>
            <w:tcMar>
              <w:top w:w="100" w:type="dxa"/>
              <w:start w:w="120" w:type="dxa"/>
              <w:bottom w:w="100" w:type="dxa"/>
              <w:end w:w="120" w:type="dxa"/>
            </w:tcMar>
            <w:shd w:fill="F4F6FA"/>
          </w:tcPr>
          <w:p>
            <w:pPr>
              <w:spacing w:after="0"/>
            </w:pPr>
            <w:r>
              <w:rPr>
                <w:sz w:val="16"/>
              </w:rPr>
              <w:t>Permission review and action queues.</w:t>
            </w:r>
          </w:p>
        </w:tc>
        <w:tc>
          <w:tcPr>
            <w:tcW w:type="dxa" w:w="4608"/>
            <w:vAlign w:val="center"/>
            <w:tcMar>
              <w:top w:w="100" w:type="dxa"/>
              <w:start w:w="120" w:type="dxa"/>
              <w:bottom w:w="100" w:type="dxa"/>
              <w:end w:w="120" w:type="dxa"/>
            </w:tcMar>
            <w:shd w:fill="F4F6FA"/>
          </w:tcPr>
          <w:p>
            <w:pPr>
              <w:spacing w:after="0"/>
            </w:pPr>
            <w:r>
              <w:rPr>
                <w:sz w:val="16"/>
              </w:rPr>
              <w:t>Rights records, approval queue, expiring rights, restrictions.</w:t>
            </w:r>
          </w:p>
        </w:tc>
      </w:tr>
      <w:tr>
        <w:tc>
          <w:tcPr>
            <w:tcW w:type="dxa" w:w="1872"/>
            <w:vAlign w:val="center"/>
            <w:tcMar>
              <w:top w:w="100" w:type="dxa"/>
              <w:start w:w="120" w:type="dxa"/>
              <w:bottom w:w="100" w:type="dxa"/>
              <w:end w:w="120" w:type="dxa"/>
            </w:tcMar>
          </w:tcPr>
          <w:p>
            <w:pPr>
              <w:spacing w:after="0"/>
            </w:pPr>
            <w:r>
              <w:rPr>
                <w:sz w:val="16"/>
              </w:rPr>
              <w:t>Campaigns</w:t>
            </w:r>
          </w:p>
        </w:tc>
        <w:tc>
          <w:tcPr>
            <w:tcW w:type="dxa" w:w="4032"/>
            <w:vAlign w:val="center"/>
            <w:tcMar>
              <w:top w:w="100" w:type="dxa"/>
              <w:start w:w="120" w:type="dxa"/>
              <w:bottom w:w="100" w:type="dxa"/>
              <w:end w:w="120" w:type="dxa"/>
            </w:tcMar>
          </w:tcPr>
          <w:p>
            <w:pPr>
              <w:spacing w:after="0"/>
            </w:pPr>
            <w:r>
              <w:rPr>
                <w:sz w:val="16"/>
              </w:rPr>
              <w:t>Package content and athletes for sponsor or editorial programs.</w:t>
            </w:r>
          </w:p>
        </w:tc>
        <w:tc>
          <w:tcPr>
            <w:tcW w:type="dxa" w:w="4608"/>
            <w:vAlign w:val="center"/>
            <w:tcMar>
              <w:top w:w="100" w:type="dxa"/>
              <w:start w:w="120" w:type="dxa"/>
              <w:bottom w:w="100" w:type="dxa"/>
              <w:end w:w="120" w:type="dxa"/>
            </w:tcMar>
          </w:tcPr>
          <w:p>
            <w:pPr>
              <w:spacing w:after="0"/>
            </w:pPr>
            <w:r>
              <w:rPr>
                <w:sz w:val="16"/>
              </w:rPr>
              <w:t>Campaign list, builder, detail, deliverables.</w:t>
            </w:r>
          </w:p>
        </w:tc>
      </w:tr>
      <w:tr>
        <w:tc>
          <w:tcPr>
            <w:tcW w:type="dxa" w:w="1872"/>
            <w:vAlign w:val="center"/>
            <w:tcMar>
              <w:top w:w="100" w:type="dxa"/>
              <w:start w:w="120" w:type="dxa"/>
              <w:bottom w:w="100" w:type="dxa"/>
              <w:end w:w="120" w:type="dxa"/>
            </w:tcMar>
            <w:shd w:fill="F4F6FA"/>
          </w:tcPr>
          <w:p>
            <w:pPr>
              <w:spacing w:after="0"/>
            </w:pPr>
            <w:r>
              <w:rPr>
                <w:sz w:val="16"/>
              </w:rPr>
              <w:t>Analytics</w:t>
            </w:r>
          </w:p>
        </w:tc>
        <w:tc>
          <w:tcPr>
            <w:tcW w:type="dxa" w:w="4032"/>
            <w:vAlign w:val="center"/>
            <w:tcMar>
              <w:top w:w="100" w:type="dxa"/>
              <w:start w:w="120" w:type="dxa"/>
              <w:bottom w:w="100" w:type="dxa"/>
              <w:end w:w="120" w:type="dxa"/>
            </w:tcMar>
            <w:shd w:fill="F4F6FA"/>
          </w:tcPr>
          <w:p>
            <w:pPr>
              <w:spacing w:after="0"/>
            </w:pPr>
            <w:r>
              <w:rPr>
                <w:sz w:val="16"/>
              </w:rPr>
              <w:t>Measure audience and content performance.</w:t>
            </w:r>
          </w:p>
        </w:tc>
        <w:tc>
          <w:tcPr>
            <w:tcW w:type="dxa" w:w="4608"/>
            <w:vAlign w:val="center"/>
            <w:tcMar>
              <w:top w:w="100" w:type="dxa"/>
              <w:start w:w="120" w:type="dxa"/>
              <w:bottom w:w="100" w:type="dxa"/>
              <w:end w:w="120" w:type="dxa"/>
            </w:tcMar>
            <w:shd w:fill="F4F6FA"/>
          </w:tcPr>
          <w:p>
            <w:pPr>
              <w:spacing w:after="0"/>
            </w:pPr>
            <w:r>
              <w:rPr>
                <w:sz w:val="16"/>
              </w:rPr>
              <w:t>Content, athlete, campaign, team, period comparisons.</w:t>
            </w:r>
          </w:p>
        </w:tc>
      </w:tr>
      <w:tr>
        <w:tc>
          <w:tcPr>
            <w:tcW w:type="dxa" w:w="1872"/>
            <w:vAlign w:val="center"/>
            <w:tcMar>
              <w:top w:w="100" w:type="dxa"/>
              <w:start w:w="120" w:type="dxa"/>
              <w:bottom w:w="100" w:type="dxa"/>
              <w:end w:w="120" w:type="dxa"/>
            </w:tcMar>
          </w:tcPr>
          <w:p>
            <w:pPr>
              <w:spacing w:after="0"/>
            </w:pPr>
            <w:r>
              <w:rPr>
                <w:sz w:val="16"/>
              </w:rPr>
              <w:t>Revenue</w:t>
            </w:r>
          </w:p>
        </w:tc>
        <w:tc>
          <w:tcPr>
            <w:tcW w:type="dxa" w:w="4032"/>
            <w:vAlign w:val="center"/>
            <w:tcMar>
              <w:top w:w="100" w:type="dxa"/>
              <w:start w:w="120" w:type="dxa"/>
              <w:bottom w:w="100" w:type="dxa"/>
              <w:end w:w="120" w:type="dxa"/>
            </w:tcMar>
          </w:tcPr>
          <w:p>
            <w:pPr>
              <w:spacing w:after="0"/>
            </w:pPr>
            <w:r>
              <w:rPr>
                <w:sz w:val="16"/>
              </w:rPr>
              <w:t>Attribute and reconcile commercial value.</w:t>
            </w:r>
          </w:p>
        </w:tc>
        <w:tc>
          <w:tcPr>
            <w:tcW w:type="dxa" w:w="4608"/>
            <w:vAlign w:val="center"/>
            <w:tcMar>
              <w:top w:w="100" w:type="dxa"/>
              <w:start w:w="120" w:type="dxa"/>
              <w:bottom w:w="100" w:type="dxa"/>
              <w:end w:w="120" w:type="dxa"/>
            </w:tcMar>
          </w:tcPr>
          <w:p>
            <w:pPr>
              <w:spacing w:after="0"/>
            </w:pPr>
            <w:r>
              <w:rPr>
                <w:sz w:val="16"/>
              </w:rPr>
              <w:t>Revenue ledger, splits, statements, export.</w:t>
            </w:r>
          </w:p>
        </w:tc>
      </w:tr>
      <w:tr>
        <w:tc>
          <w:tcPr>
            <w:tcW w:type="dxa" w:w="1872"/>
            <w:vAlign w:val="center"/>
            <w:tcMar>
              <w:top w:w="100" w:type="dxa"/>
              <w:start w:w="120" w:type="dxa"/>
              <w:bottom w:w="100" w:type="dxa"/>
              <w:end w:w="120" w:type="dxa"/>
            </w:tcMar>
            <w:shd w:fill="F4F6FA"/>
          </w:tcPr>
          <w:p>
            <w:pPr>
              <w:spacing w:after="0"/>
            </w:pPr>
            <w:r>
              <w:rPr>
                <w:sz w:val="16"/>
              </w:rPr>
              <w:t>Settings</w:t>
            </w:r>
          </w:p>
        </w:tc>
        <w:tc>
          <w:tcPr>
            <w:tcW w:type="dxa" w:w="4032"/>
            <w:vAlign w:val="center"/>
            <w:tcMar>
              <w:top w:w="100" w:type="dxa"/>
              <w:start w:w="120" w:type="dxa"/>
              <w:bottom w:w="100" w:type="dxa"/>
              <w:end w:w="120" w:type="dxa"/>
            </w:tcMar>
            <w:shd w:fill="F4F6FA"/>
          </w:tcPr>
          <w:p>
            <w:pPr>
              <w:spacing w:after="0"/>
            </w:pPr>
            <w:r>
              <w:rPr>
                <w:sz w:val="16"/>
              </w:rPr>
              <w:t>Organization, teams, users, branding, policies.</w:t>
            </w:r>
          </w:p>
        </w:tc>
        <w:tc>
          <w:tcPr>
            <w:tcW w:type="dxa" w:w="4608"/>
            <w:vAlign w:val="center"/>
            <w:tcMar>
              <w:top w:w="100" w:type="dxa"/>
              <w:start w:w="120" w:type="dxa"/>
              <w:bottom w:w="100" w:type="dxa"/>
              <w:end w:w="120" w:type="dxa"/>
            </w:tcMar>
            <w:shd w:fill="F4F6FA"/>
          </w:tcPr>
          <w:p>
            <w:pPr>
              <w:spacing w:after="0"/>
            </w:pPr>
            <w:r>
              <w:rPr>
                <w:sz w:val="16"/>
              </w:rPr>
              <w:t>Profile, roles, defaults, integrations placeholders.</w:t>
            </w:r>
          </w:p>
        </w:tc>
      </w:tr>
    </w:tbl>
    <w:p/>
    <w:p>
      <w:pPr>
        <w:pStyle w:val="Heading1"/>
      </w:pPr>
      <w:r>
        <w:t>6. Functional Requirements by Module</w:t>
      </w:r>
    </w:p>
    <w:p>
      <w:r>
        <w:t>Requirements are prioritized as P0 for the launchable MVP, P1 for the next validation release, and P2 for later production expansion.</w:t>
      </w:r>
    </w:p>
    <w:p>
      <w:pPr>
        <w:pStyle w:val="Heading2"/>
      </w:pPr>
      <w:r>
        <w:t>6.1 Overview Dashboard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Show active athletes, claimed Lockers, published assets, qualified views, total watch time, estimated media value, direct revenue, and pending approvals.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Display actionable queues for missing rights data, athlete approvals, expiring rights, and failed publishing.</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Display top content and top athlete Lockers with filters for team and date range.</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Allow configurable dashboard widgets by role.</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Add forecasting and anomaly detection.</w:t>
            </w:r>
          </w:p>
        </w:tc>
      </w:tr>
    </w:tbl>
    <w:p/>
    <w:p>
      <w:pPr>
        <w:pStyle w:val="Heading2"/>
      </w:pPr>
      <w:r>
        <w:t>6.2 Athletes and Roster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Create, edit, archive, and search athlete records.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Support roster filters for team, season, position, status, Locker claim, and approval state.</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Show athlete identity, professional/career data, Locker preview, associated assets, analytics, and revenue.</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Support one athlete belonging to multiple teams or career stages over time.</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CSV roster import with validation and duplicate review.</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Bulk invite athletes to claim Lockers.</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Automated roster synchronization with external providers.</w:t>
            </w:r>
          </w:p>
        </w:tc>
      </w:tr>
    </w:tbl>
    <w:p/>
    <w:p>
      <w:pPr>
        <w:pStyle w:val="Heading2"/>
      </w:pPr>
      <w:r>
        <w:t>6.3 Media Library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Create media records for video, image, audio, article, commercial, interview, and document types.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Capture title, description, source, season, event, date, thumbnail, duration, provenance, and publication status.</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Associate multiple athletes and optional timestamps or roles to one asset.</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Search and filter by athlete, type, season, team, rights status, source, campaign, and performance.</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Provide draft, review, approved, published, restricted, archived, and failed states.</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Bulk metadata editing and bulk rights assignment.</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Automated tagging, transcription, player recognition, and clip creation.</w:t>
            </w:r>
          </w:p>
        </w:tc>
      </w:tr>
    </w:tbl>
    <w:p/>
    <w:p>
      <w:pPr>
        <w:pStyle w:val="Heading2"/>
      </w:pPr>
      <w:r>
        <w:t>6.4 Rights and Approvals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Create rights records linked to one or more media assets.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Capture owner, licensor, permitted platforms, commercial use, editing, term, territory, exclusivity, restrictions, and revenue obligations.</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Block publication when a required field, approval, or valid term is missing.</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Support athlete approval states: not required, pending, approved, changes requested, declined, expired.</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Show an expiring-rights queue and prevent use after expiration.</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Upload license files and maintain version history.</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Contract parsing and automated rights-rule extraction.</w:t>
            </w:r>
          </w:p>
        </w:tc>
      </w:tr>
    </w:tbl>
    <w:p/>
    <w:p>
      <w:pPr>
        <w:pStyle w:val="Heading2"/>
      </w:pPr>
      <w:r>
        <w:t>6.5 Campaigns and Publishing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Create a campaign with sponsor/editorial owner, dates, selected athletes, selected assets, placements, deliverables, and revenue terms.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Validate that all selected assets are publishable before launch.</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Publish to athlete Lockers and team media pages using scheduled or immediate publication.</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Track campaign status: draft, approvals required, scheduled, live, paused, completed, cancelled.</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Reusable campaign templates and standardized deliverables.</w:t>
            </w:r>
          </w:p>
        </w:tc>
      </w:tr>
      <w:tr>
        <w:tc>
          <w:tcPr>
            <w:tcW w:type="dxa" w:w="1152"/>
            <w:vAlign w:val="center"/>
            <w:tcMar>
              <w:top w:w="100" w:type="dxa"/>
              <w:start w:w="120" w:type="dxa"/>
              <w:bottom w:w="100" w:type="dxa"/>
              <w:end w:w="120" w:type="dxa"/>
            </w:tcMar>
            <w:shd w:fill="F4F6FA"/>
          </w:tcPr>
          <w:p>
            <w:pPr>
              <w:spacing w:after="0"/>
            </w:pPr>
            <w:r>
              <w:rPr>
                <w:sz w:val="16"/>
              </w:rPr>
              <w:t>P2</w:t>
            </w:r>
          </w:p>
        </w:tc>
        <w:tc>
          <w:tcPr>
            <w:tcW w:type="dxa" w:w="9504"/>
            <w:vAlign w:val="center"/>
            <w:tcMar>
              <w:top w:w="100" w:type="dxa"/>
              <w:start w:w="120" w:type="dxa"/>
              <w:bottom w:w="100" w:type="dxa"/>
              <w:end w:w="120" w:type="dxa"/>
            </w:tcMar>
            <w:shd w:fill="F4F6FA"/>
          </w:tcPr>
          <w:p>
            <w:pPr>
              <w:spacing w:after="0"/>
            </w:pPr>
            <w:r>
              <w:rPr>
                <w:sz w:val="16"/>
              </w:rPr>
              <w:t>External social publishing and advertiser integrations.</w:t>
            </w:r>
          </w:p>
        </w:tc>
      </w:tr>
    </w:tbl>
    <w:p/>
    <w:p>
      <w:pPr>
        <w:pStyle w:val="Heading2"/>
      </w:pPr>
      <w:r>
        <w:t>6.6 Analytics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Track or simulate qualified views, unique viewers, watch time, completion, shares, Locker visits, sponsor clicks, and conversions.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Show content-, athlete-, team-, and campaign-level reporting.</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Separate direct revenue, estimated sponsor media value, and projected lifetime content value.</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Allow date-range and team filters.</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Export CSV and shareable reports.</w:t>
            </w:r>
          </w:p>
        </w:tc>
      </w:tr>
      <w:tr>
        <w:tc>
          <w:tcPr>
            <w:tcW w:type="dxa" w:w="1152"/>
            <w:vAlign w:val="center"/>
            <w:tcMar>
              <w:top w:w="100" w:type="dxa"/>
              <w:start w:w="120" w:type="dxa"/>
              <w:bottom w:w="100" w:type="dxa"/>
              <w:end w:w="120" w:type="dxa"/>
            </w:tcMar>
            <w:shd w:fill="F4F6FA"/>
          </w:tcPr>
          <w:p>
            <w:pPr>
              <w:spacing w:after="0"/>
            </w:pPr>
            <w:r>
              <w:rPr>
                <w:sz w:val="16"/>
              </w:rPr>
              <w:t>P2</w:t>
            </w:r>
          </w:p>
        </w:tc>
        <w:tc>
          <w:tcPr>
            <w:tcW w:type="dxa" w:w="9504"/>
            <w:vAlign w:val="center"/>
            <w:tcMar>
              <w:top w:w="100" w:type="dxa"/>
              <w:start w:w="120" w:type="dxa"/>
              <w:bottom w:w="100" w:type="dxa"/>
              <w:end w:w="120" w:type="dxa"/>
            </w:tcMar>
            <w:shd w:fill="F4F6FA"/>
          </w:tcPr>
          <w:p>
            <w:pPr>
              <w:spacing w:after="0"/>
            </w:pPr>
            <w:r>
              <w:rPr>
                <w:sz w:val="16"/>
              </w:rPr>
              <w:t>Cohorts, audience demographics, attribution models, and benchmarking.</w:t>
            </w:r>
          </w:p>
        </w:tc>
      </w:tr>
    </w:tbl>
    <w:p/>
    <w:p>
      <w:pPr>
        <w:pStyle w:val="Heading2"/>
      </w:pPr>
      <w:r>
        <w:t>6.7 Revenue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Create revenue records linked to assets, campaigns, athletes, and organizations.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Support gross revenue, deductions, BLTZ share, organization share, athlete share, and teammate/team pool share.</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Display calculation policy and allocation audit trail.</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Use pending, approved, payable, paid, reversed, and disputed states.</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Statements and exportable reconciliation reports.</w:t>
            </w:r>
          </w:p>
        </w:tc>
      </w:tr>
      <w:tr>
        <w:tc>
          <w:tcPr>
            <w:tcW w:type="dxa" w:w="1152"/>
            <w:vAlign w:val="center"/>
            <w:tcMar>
              <w:top w:w="100" w:type="dxa"/>
              <w:start w:w="120" w:type="dxa"/>
              <w:bottom w:w="100" w:type="dxa"/>
              <w:end w:w="120" w:type="dxa"/>
            </w:tcMar>
            <w:shd w:fill="F4F6FA"/>
          </w:tcPr>
          <w:p>
            <w:pPr>
              <w:spacing w:after="0"/>
            </w:pPr>
            <w:r>
              <w:rPr>
                <w:sz w:val="16"/>
              </w:rPr>
              <w:t>P2</w:t>
            </w:r>
          </w:p>
        </w:tc>
        <w:tc>
          <w:tcPr>
            <w:tcW w:type="dxa" w:w="9504"/>
            <w:vAlign w:val="center"/>
            <w:tcMar>
              <w:top w:w="100" w:type="dxa"/>
              <w:start w:w="120" w:type="dxa"/>
              <w:bottom w:w="100" w:type="dxa"/>
              <w:end w:w="120" w:type="dxa"/>
            </w:tcMar>
            <w:shd w:fill="F4F6FA"/>
          </w:tcPr>
          <w:p>
            <w:pPr>
              <w:spacing w:after="0"/>
            </w:pPr>
            <w:r>
              <w:rPr>
                <w:sz w:val="16"/>
              </w:rPr>
              <w:t>Payment processor, tax forms, reserves, chargebacks, and real payouts.</w:t>
            </w:r>
          </w:p>
        </w:tc>
      </w:tr>
    </w:tbl>
    <w:p/>
    <w:p>
      <w:pPr>
        <w:pStyle w:val="Heading2"/>
      </w:pPr>
      <w:r>
        <w:t>6.8 Organization Settings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Manage organization profile, teams, seasons, branding, users, roles, and default approval rules.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Configure revenue split templates and default media provenance labels.</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Maintain organization activity log.</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Custom fields and organization-specific metadata.</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SSO, SCIM, enterprise security, and external integrations.</w:t>
            </w:r>
          </w:p>
        </w:tc>
      </w:tr>
    </w:tbl>
    <w:p/>
    <w:p>
      <w:pPr>
        <w:pStyle w:val="Heading1"/>
      </w:pPr>
      <w:r>
        <w:t>7. Player Locker Integration Requirements</w:t>
      </w:r>
    </w:p>
    <w:p>
      <w:r>
        <w:t>The Locker remains a distinct athlete-facing experience, but its media and performance must be powered by structured CRM data.</w:t>
      </w:r>
    </w:p>
    <w:p>
      <w:pPr>
        <w:pStyle w:val="ListBullet"/>
        <w:spacing w:after="40"/>
      </w:pPr>
      <w:r>
        <w:t>Only approved and currently licensed assets may appear publicly.</w:t>
      </w:r>
    </w:p>
    <w:p>
      <w:pPr>
        <w:pStyle w:val="ListBullet"/>
        <w:spacing w:after="40"/>
      </w:pPr>
      <w:r>
        <w:t>One published asset may appear in multiple athlete Lockers without duplicating the underlying media record.</w:t>
      </w:r>
    </w:p>
    <w:p>
      <w:pPr>
        <w:pStyle w:val="ListBullet"/>
        <w:spacing w:after="40"/>
      </w:pPr>
      <w:r>
        <w:t>Each placement must retain organization, source, rights, campaign, and revenue attribution.</w:t>
      </w:r>
    </w:p>
    <w:p>
      <w:pPr>
        <w:pStyle w:val="ListBullet"/>
        <w:spacing w:after="40"/>
      </w:pPr>
      <w:r>
        <w:t>Locker media cards must display provenance such as School Archive, Team Licensed, Personal Upload, Broadcast Partner, or Rights Verified.</w:t>
      </w:r>
    </w:p>
    <w:p>
      <w:pPr>
        <w:pStyle w:val="ListBullet"/>
        <w:spacing w:after="40"/>
      </w:pPr>
      <w:r>
        <w:t>Removing or expiring the underlying permission must remove or disable all affected placements.</w:t>
      </w:r>
    </w:p>
    <w:p>
      <w:pPr>
        <w:pStyle w:val="ListBullet"/>
        <w:spacing w:after="40"/>
      </w:pPr>
      <w:r>
        <w:t>Athlete-editable identity fields must be explicitly separated from organization-controlled career records.</w:t>
      </w:r>
    </w:p>
    <w:p>
      <w:pPr>
        <w:pStyle w:val="Heading1"/>
      </w:pPr>
      <w:r>
        <w:t>8. Data Model</w:t>
      </w:r>
    </w:p>
    <w:p>
      <w:r>
        <w:t>The MVP should use a relational or strongly referenced model. Media, rights, athlete associations, campaigns, and revenue must not be stored as unstructured nested profile fields.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0B1220"/>
            <w:tcMar>
              <w:top w:w="100" w:type="dxa"/>
              <w:start w:w="120" w:type="dxa"/>
              <w:bottom w:w="100" w:type="dxa"/>
              <w:end w:w="120" w:type="dxa"/>
            </w:tcMar>
          </w:tcPr>
          <w:p>
            <w:r>
              <w:rPr>
                <w:b/>
                <w:color w:val="FFFFFF"/>
                <w:sz w:val="17"/>
              </w:rPr>
              <w:t>Entity</w:t>
            </w:r>
          </w:p>
        </w:tc>
        <w:tc>
          <w:tcPr>
            <w:tcW w:type="dxa" w:w="4608"/>
            <w:shd w:fill="0B1220"/>
            <w:tcMar>
              <w:top w:w="100" w:type="dxa"/>
              <w:start w:w="120" w:type="dxa"/>
              <w:bottom w:w="100" w:type="dxa"/>
              <w:end w:w="120" w:type="dxa"/>
            </w:tcMar>
          </w:tcPr>
          <w:p>
            <w:r>
              <w:rPr>
                <w:b/>
                <w:color w:val="FFFFFF"/>
                <w:sz w:val="17"/>
              </w:rPr>
              <w:t>Key Fields</w:t>
            </w:r>
          </w:p>
        </w:tc>
        <w:tc>
          <w:tcPr>
            <w:tcW w:type="dxa" w:w="4032"/>
            <w:shd w:fill="0B1220"/>
            <w:tcMar>
              <w:top w:w="100" w:type="dxa"/>
              <w:start w:w="120" w:type="dxa"/>
              <w:bottom w:w="100" w:type="dxa"/>
              <w:end w:w="120" w:type="dxa"/>
            </w:tcMar>
          </w:tcPr>
          <w:p>
            <w:r>
              <w:rPr>
                <w:b/>
                <w:color w:val="FFFFFF"/>
                <w:sz w:val="17"/>
              </w:rPr>
              <w:t>Important Relationships</w:t>
            </w:r>
          </w:p>
        </w:tc>
      </w:tr>
      <w:tr>
        <w:tc>
          <w:tcPr>
            <w:tcW w:type="dxa" w:w="1872"/>
            <w:vAlign w:val="center"/>
            <w:tcMar>
              <w:top w:w="100" w:type="dxa"/>
              <w:start w:w="120" w:type="dxa"/>
              <w:bottom w:w="100" w:type="dxa"/>
              <w:end w:w="120" w:type="dxa"/>
            </w:tcMar>
          </w:tcPr>
          <w:p>
            <w:pPr>
              <w:spacing w:after="0"/>
            </w:pPr>
            <w:r>
              <w:rPr>
                <w:sz w:val="16"/>
              </w:rPr>
              <w:t>Organization</w:t>
            </w:r>
          </w:p>
        </w:tc>
        <w:tc>
          <w:tcPr>
            <w:tcW w:type="dxa" w:w="4608"/>
            <w:vAlign w:val="center"/>
            <w:tcMar>
              <w:top w:w="100" w:type="dxa"/>
              <w:start w:w="120" w:type="dxa"/>
              <w:bottom w:w="100" w:type="dxa"/>
              <w:end w:w="120" w:type="dxa"/>
            </w:tcMar>
          </w:tcPr>
          <w:p>
            <w:pPr>
              <w:spacing w:after="0"/>
            </w:pPr>
            <w:r>
              <w:rPr>
                <w:sz w:val="16"/>
              </w:rPr>
              <w:t>id, name, type, brand, status, owner_user_id</w:t>
            </w:r>
          </w:p>
        </w:tc>
        <w:tc>
          <w:tcPr>
            <w:tcW w:type="dxa" w:w="4032"/>
            <w:vAlign w:val="center"/>
            <w:tcMar>
              <w:top w:w="100" w:type="dxa"/>
              <w:start w:w="120" w:type="dxa"/>
              <w:bottom w:w="100" w:type="dxa"/>
              <w:end w:w="120" w:type="dxa"/>
            </w:tcMar>
          </w:tcPr>
          <w:p>
            <w:pPr>
              <w:spacing w:after="0"/>
            </w:pPr>
            <w:r>
              <w:rPr>
                <w:sz w:val="16"/>
              </w:rPr>
              <w:t>Has teams, staff, policies, campaigns, revenue.</w:t>
            </w:r>
          </w:p>
        </w:tc>
      </w:tr>
      <w:tr>
        <w:tc>
          <w:tcPr>
            <w:tcW w:type="dxa" w:w="1872"/>
            <w:vAlign w:val="center"/>
            <w:tcMar>
              <w:top w:w="100" w:type="dxa"/>
              <w:start w:w="120" w:type="dxa"/>
              <w:bottom w:w="100" w:type="dxa"/>
              <w:end w:w="120" w:type="dxa"/>
            </w:tcMar>
            <w:shd w:fill="F4F6FA"/>
          </w:tcPr>
          <w:p>
            <w:pPr>
              <w:spacing w:after="0"/>
            </w:pPr>
            <w:r>
              <w:rPr>
                <w:sz w:val="16"/>
              </w:rPr>
              <w:t>Team</w:t>
            </w:r>
          </w:p>
        </w:tc>
        <w:tc>
          <w:tcPr>
            <w:tcW w:type="dxa" w:w="4608"/>
            <w:vAlign w:val="center"/>
            <w:tcMar>
              <w:top w:w="100" w:type="dxa"/>
              <w:start w:w="120" w:type="dxa"/>
              <w:bottom w:w="100" w:type="dxa"/>
              <w:end w:w="120" w:type="dxa"/>
            </w:tcMar>
            <w:shd w:fill="F4F6FA"/>
          </w:tcPr>
          <w:p>
            <w:pPr>
              <w:spacing w:after="0"/>
            </w:pPr>
            <w:r>
              <w:rPr>
                <w:sz w:val="16"/>
              </w:rPr>
              <w:t>id, organization_id, sport, name, season context</w:t>
            </w:r>
          </w:p>
        </w:tc>
        <w:tc>
          <w:tcPr>
            <w:tcW w:type="dxa" w:w="4032"/>
            <w:vAlign w:val="center"/>
            <w:tcMar>
              <w:top w:w="100" w:type="dxa"/>
              <w:start w:w="120" w:type="dxa"/>
              <w:bottom w:w="100" w:type="dxa"/>
              <w:end w:w="120" w:type="dxa"/>
            </w:tcMar>
            <w:shd w:fill="F4F6FA"/>
          </w:tcPr>
          <w:p>
            <w:pPr>
              <w:spacing w:after="0"/>
            </w:pPr>
            <w:r>
              <w:rPr>
                <w:sz w:val="16"/>
              </w:rPr>
              <w:t>Has memberships, assets, campaigns.</w:t>
            </w:r>
          </w:p>
        </w:tc>
      </w:tr>
      <w:tr>
        <w:tc>
          <w:tcPr>
            <w:tcW w:type="dxa" w:w="1872"/>
            <w:vAlign w:val="center"/>
            <w:tcMar>
              <w:top w:w="100" w:type="dxa"/>
              <w:start w:w="120" w:type="dxa"/>
              <w:bottom w:w="100" w:type="dxa"/>
              <w:end w:w="120" w:type="dxa"/>
            </w:tcMar>
          </w:tcPr>
          <w:p>
            <w:pPr>
              <w:spacing w:after="0"/>
            </w:pPr>
            <w:r>
              <w:rPr>
                <w:sz w:val="16"/>
              </w:rPr>
              <w:t>Athlete</w:t>
            </w:r>
          </w:p>
        </w:tc>
        <w:tc>
          <w:tcPr>
            <w:tcW w:type="dxa" w:w="4608"/>
            <w:vAlign w:val="center"/>
            <w:tcMar>
              <w:top w:w="100" w:type="dxa"/>
              <w:start w:w="120" w:type="dxa"/>
              <w:bottom w:w="100" w:type="dxa"/>
              <w:end w:w="120" w:type="dxa"/>
            </w:tcMar>
          </w:tcPr>
          <w:p>
            <w:pPr>
              <w:spacing w:after="0"/>
            </w:pPr>
            <w:r>
              <w:rPr>
                <w:sz w:val="16"/>
              </w:rPr>
              <w:t>id, identity fields, verification, claim status</w:t>
            </w:r>
          </w:p>
        </w:tc>
        <w:tc>
          <w:tcPr>
            <w:tcW w:type="dxa" w:w="4032"/>
            <w:vAlign w:val="center"/>
            <w:tcMar>
              <w:top w:w="100" w:type="dxa"/>
              <w:start w:w="120" w:type="dxa"/>
              <w:bottom w:w="100" w:type="dxa"/>
              <w:end w:w="120" w:type="dxa"/>
            </w:tcMar>
          </w:tcPr>
          <w:p>
            <w:pPr>
              <w:spacing w:after="0"/>
            </w:pPr>
            <w:r>
              <w:rPr>
                <w:sz w:val="16"/>
              </w:rPr>
              <w:t>Has memberships, Locker, approvals, media links, revenue.</w:t>
            </w:r>
          </w:p>
        </w:tc>
      </w:tr>
      <w:tr>
        <w:tc>
          <w:tcPr>
            <w:tcW w:type="dxa" w:w="1872"/>
            <w:vAlign w:val="center"/>
            <w:tcMar>
              <w:top w:w="100" w:type="dxa"/>
              <w:start w:w="120" w:type="dxa"/>
              <w:bottom w:w="100" w:type="dxa"/>
              <w:end w:w="120" w:type="dxa"/>
            </w:tcMar>
            <w:shd w:fill="F4F6FA"/>
          </w:tcPr>
          <w:p>
            <w:pPr>
              <w:spacing w:after="0"/>
            </w:pPr>
            <w:r>
              <w:rPr>
                <w:sz w:val="16"/>
              </w:rPr>
              <w:t>Team Membership</w:t>
            </w:r>
          </w:p>
        </w:tc>
        <w:tc>
          <w:tcPr>
            <w:tcW w:type="dxa" w:w="4608"/>
            <w:vAlign w:val="center"/>
            <w:tcMar>
              <w:top w:w="100" w:type="dxa"/>
              <w:start w:w="120" w:type="dxa"/>
              <w:bottom w:w="100" w:type="dxa"/>
              <w:end w:w="120" w:type="dxa"/>
            </w:tcMar>
            <w:shd w:fill="F4F6FA"/>
          </w:tcPr>
          <w:p>
            <w:pPr>
              <w:spacing w:after="0"/>
            </w:pPr>
            <w:r>
              <w:rPr>
                <w:sz w:val="16"/>
              </w:rPr>
              <w:t>athlete_id, team_id, season, role, jersey, position</w:t>
            </w:r>
          </w:p>
        </w:tc>
        <w:tc>
          <w:tcPr>
            <w:tcW w:type="dxa" w:w="4032"/>
            <w:vAlign w:val="center"/>
            <w:tcMar>
              <w:top w:w="100" w:type="dxa"/>
              <w:start w:w="120" w:type="dxa"/>
              <w:bottom w:w="100" w:type="dxa"/>
              <w:end w:w="120" w:type="dxa"/>
            </w:tcMar>
            <w:shd w:fill="F4F6FA"/>
          </w:tcPr>
          <w:p>
            <w:pPr>
              <w:spacing w:after="0"/>
            </w:pPr>
            <w:r>
              <w:rPr>
                <w:sz w:val="16"/>
              </w:rPr>
              <w:t>Preserves career history and multi-team relationships.</w:t>
            </w:r>
          </w:p>
        </w:tc>
      </w:tr>
      <w:tr>
        <w:tc>
          <w:tcPr>
            <w:tcW w:type="dxa" w:w="1872"/>
            <w:vAlign w:val="center"/>
            <w:tcMar>
              <w:top w:w="100" w:type="dxa"/>
              <w:start w:w="120" w:type="dxa"/>
              <w:bottom w:w="100" w:type="dxa"/>
              <w:end w:w="120" w:type="dxa"/>
            </w:tcMar>
          </w:tcPr>
          <w:p>
            <w:pPr>
              <w:spacing w:after="0"/>
            </w:pPr>
            <w:r>
              <w:rPr>
                <w:sz w:val="16"/>
              </w:rPr>
              <w:t>Locker</w:t>
            </w:r>
          </w:p>
        </w:tc>
        <w:tc>
          <w:tcPr>
            <w:tcW w:type="dxa" w:w="4608"/>
            <w:vAlign w:val="center"/>
            <w:tcMar>
              <w:top w:w="100" w:type="dxa"/>
              <w:start w:w="120" w:type="dxa"/>
              <w:bottom w:w="100" w:type="dxa"/>
              <w:end w:w="120" w:type="dxa"/>
            </w:tcMar>
          </w:tcPr>
          <w:p>
            <w:pPr>
              <w:spacing w:after="0"/>
            </w:pPr>
            <w:r>
              <w:rPr>
                <w:sz w:val="16"/>
              </w:rPr>
              <w:t>athlete_id, slug, theme, visibility, featured settings</w:t>
            </w:r>
          </w:p>
        </w:tc>
        <w:tc>
          <w:tcPr>
            <w:tcW w:type="dxa" w:w="4032"/>
            <w:vAlign w:val="center"/>
            <w:tcMar>
              <w:top w:w="100" w:type="dxa"/>
              <w:start w:w="120" w:type="dxa"/>
              <w:bottom w:w="100" w:type="dxa"/>
              <w:end w:w="120" w:type="dxa"/>
            </w:tcMar>
          </w:tcPr>
          <w:p>
            <w:pPr>
              <w:spacing w:after="0"/>
            </w:pPr>
            <w:r>
              <w:rPr>
                <w:sz w:val="16"/>
              </w:rPr>
              <w:t>Renders approved media placements.</w:t>
            </w:r>
          </w:p>
        </w:tc>
      </w:tr>
      <w:tr>
        <w:tc>
          <w:tcPr>
            <w:tcW w:type="dxa" w:w="1872"/>
            <w:vAlign w:val="center"/>
            <w:tcMar>
              <w:top w:w="100" w:type="dxa"/>
              <w:start w:w="120" w:type="dxa"/>
              <w:bottom w:w="100" w:type="dxa"/>
              <w:end w:w="120" w:type="dxa"/>
            </w:tcMar>
            <w:shd w:fill="F4F6FA"/>
          </w:tcPr>
          <w:p>
            <w:pPr>
              <w:spacing w:after="0"/>
            </w:pPr>
            <w:r>
              <w:rPr>
                <w:sz w:val="16"/>
              </w:rPr>
              <w:t>Media Asset</w:t>
            </w:r>
          </w:p>
        </w:tc>
        <w:tc>
          <w:tcPr>
            <w:tcW w:type="dxa" w:w="4608"/>
            <w:vAlign w:val="center"/>
            <w:tcMar>
              <w:top w:w="100" w:type="dxa"/>
              <w:start w:w="120" w:type="dxa"/>
              <w:bottom w:w="100" w:type="dxa"/>
              <w:end w:w="120" w:type="dxa"/>
            </w:tcMar>
            <w:shd w:fill="F4F6FA"/>
          </w:tcPr>
          <w:p>
            <w:pPr>
              <w:spacing w:after="0"/>
            </w:pPr>
            <w:r>
              <w:rPr>
                <w:sz w:val="16"/>
              </w:rPr>
              <w:t>id, type, source, URL, metadata, status</w:t>
            </w:r>
          </w:p>
        </w:tc>
        <w:tc>
          <w:tcPr>
            <w:tcW w:type="dxa" w:w="4032"/>
            <w:vAlign w:val="center"/>
            <w:tcMar>
              <w:top w:w="100" w:type="dxa"/>
              <w:start w:w="120" w:type="dxa"/>
              <w:bottom w:w="100" w:type="dxa"/>
              <w:end w:w="120" w:type="dxa"/>
            </w:tcMar>
            <w:shd w:fill="F4F6FA"/>
          </w:tcPr>
          <w:p>
            <w:pPr>
              <w:spacing w:after="0"/>
            </w:pPr>
            <w:r>
              <w:rPr>
                <w:sz w:val="16"/>
              </w:rPr>
              <w:t>Has athlete links, rights, placements, analytics, revenue.</w:t>
            </w:r>
          </w:p>
        </w:tc>
      </w:tr>
      <w:tr>
        <w:tc>
          <w:tcPr>
            <w:tcW w:type="dxa" w:w="1872"/>
            <w:vAlign w:val="center"/>
            <w:tcMar>
              <w:top w:w="100" w:type="dxa"/>
              <w:start w:w="120" w:type="dxa"/>
              <w:bottom w:w="100" w:type="dxa"/>
              <w:end w:w="120" w:type="dxa"/>
            </w:tcMar>
          </w:tcPr>
          <w:p>
            <w:pPr>
              <w:spacing w:after="0"/>
            </w:pPr>
            <w:r>
              <w:rPr>
                <w:sz w:val="16"/>
              </w:rPr>
              <w:t>Media Athlete Link</w:t>
            </w:r>
          </w:p>
        </w:tc>
        <w:tc>
          <w:tcPr>
            <w:tcW w:type="dxa" w:w="4608"/>
            <w:vAlign w:val="center"/>
            <w:tcMar>
              <w:top w:w="100" w:type="dxa"/>
              <w:start w:w="120" w:type="dxa"/>
              <w:bottom w:w="100" w:type="dxa"/>
              <w:end w:w="120" w:type="dxa"/>
            </w:tcMar>
          </w:tcPr>
          <w:p>
            <w:pPr>
              <w:spacing w:after="0"/>
            </w:pPr>
            <w:r>
              <w:rPr>
                <w:sz w:val="16"/>
              </w:rPr>
              <w:t>asset_id, athlete_id, role, timestamp, approval rule</w:t>
            </w:r>
          </w:p>
        </w:tc>
        <w:tc>
          <w:tcPr>
            <w:tcW w:type="dxa" w:w="4032"/>
            <w:vAlign w:val="center"/>
            <w:tcMar>
              <w:top w:w="100" w:type="dxa"/>
              <w:start w:w="120" w:type="dxa"/>
              <w:bottom w:w="100" w:type="dxa"/>
              <w:end w:w="120" w:type="dxa"/>
            </w:tcMar>
          </w:tcPr>
          <w:p>
            <w:pPr>
              <w:spacing w:after="0"/>
            </w:pPr>
            <w:r>
              <w:rPr>
                <w:sz w:val="16"/>
              </w:rPr>
              <w:t>Many-to-many athlete association.</w:t>
            </w:r>
          </w:p>
        </w:tc>
      </w:tr>
      <w:tr>
        <w:tc>
          <w:tcPr>
            <w:tcW w:type="dxa" w:w="1872"/>
            <w:vAlign w:val="center"/>
            <w:tcMar>
              <w:top w:w="100" w:type="dxa"/>
              <w:start w:w="120" w:type="dxa"/>
              <w:bottom w:w="100" w:type="dxa"/>
              <w:end w:w="120" w:type="dxa"/>
            </w:tcMar>
            <w:shd w:fill="F4F6FA"/>
          </w:tcPr>
          <w:p>
            <w:pPr>
              <w:spacing w:after="0"/>
            </w:pPr>
            <w:r>
              <w:rPr>
                <w:sz w:val="16"/>
              </w:rPr>
              <w:t>Rights Record</w:t>
            </w:r>
          </w:p>
        </w:tc>
        <w:tc>
          <w:tcPr>
            <w:tcW w:type="dxa" w:w="4608"/>
            <w:vAlign w:val="center"/>
            <w:tcMar>
              <w:top w:w="100" w:type="dxa"/>
              <w:start w:w="120" w:type="dxa"/>
              <w:bottom w:w="100" w:type="dxa"/>
              <w:end w:w="120" w:type="dxa"/>
            </w:tcMar>
            <w:shd w:fill="F4F6FA"/>
          </w:tcPr>
          <w:p>
            <w:pPr>
              <w:spacing w:after="0"/>
            </w:pPr>
            <w:r>
              <w:rPr>
                <w:sz w:val="16"/>
              </w:rPr>
              <w:t>owner, license, term, territory, allowed uses, restrictions</w:t>
            </w:r>
          </w:p>
        </w:tc>
        <w:tc>
          <w:tcPr>
            <w:tcW w:type="dxa" w:w="4032"/>
            <w:vAlign w:val="center"/>
            <w:tcMar>
              <w:top w:w="100" w:type="dxa"/>
              <w:start w:w="120" w:type="dxa"/>
              <w:bottom w:w="100" w:type="dxa"/>
              <w:end w:w="120" w:type="dxa"/>
            </w:tcMar>
            <w:shd w:fill="F4F6FA"/>
          </w:tcPr>
          <w:p>
            <w:pPr>
              <w:spacing w:after="0"/>
            </w:pPr>
            <w:r>
              <w:rPr>
                <w:sz w:val="16"/>
              </w:rPr>
              <w:t>Applies to one or more assets.</w:t>
            </w:r>
          </w:p>
        </w:tc>
      </w:tr>
      <w:tr>
        <w:tc>
          <w:tcPr>
            <w:tcW w:type="dxa" w:w="1872"/>
            <w:vAlign w:val="center"/>
            <w:tcMar>
              <w:top w:w="100" w:type="dxa"/>
              <w:start w:w="120" w:type="dxa"/>
              <w:bottom w:w="100" w:type="dxa"/>
              <w:end w:w="120" w:type="dxa"/>
            </w:tcMar>
          </w:tcPr>
          <w:p>
            <w:pPr>
              <w:spacing w:after="0"/>
            </w:pPr>
            <w:r>
              <w:rPr>
                <w:sz w:val="16"/>
              </w:rPr>
              <w:t>Approval Request</w:t>
            </w:r>
          </w:p>
        </w:tc>
        <w:tc>
          <w:tcPr>
            <w:tcW w:type="dxa" w:w="4608"/>
            <w:vAlign w:val="center"/>
            <w:tcMar>
              <w:top w:w="100" w:type="dxa"/>
              <w:start w:w="120" w:type="dxa"/>
              <w:bottom w:w="100" w:type="dxa"/>
              <w:end w:w="120" w:type="dxa"/>
            </w:tcMar>
          </w:tcPr>
          <w:p>
            <w:pPr>
              <w:spacing w:after="0"/>
            </w:pPr>
            <w:r>
              <w:rPr>
                <w:sz w:val="16"/>
              </w:rPr>
              <w:t>asset_id, athlete_id, requester, state, response</w:t>
            </w:r>
          </w:p>
        </w:tc>
        <w:tc>
          <w:tcPr>
            <w:tcW w:type="dxa" w:w="4032"/>
            <w:vAlign w:val="center"/>
            <w:tcMar>
              <w:top w:w="100" w:type="dxa"/>
              <w:start w:w="120" w:type="dxa"/>
              <w:bottom w:w="100" w:type="dxa"/>
              <w:end w:w="120" w:type="dxa"/>
            </w:tcMar>
          </w:tcPr>
          <w:p>
            <w:pPr>
              <w:spacing w:after="0"/>
            </w:pPr>
            <w:r>
              <w:rPr>
                <w:sz w:val="16"/>
              </w:rPr>
              <w:t>Tracks athlete and internal approvals.</w:t>
            </w:r>
          </w:p>
        </w:tc>
      </w:tr>
      <w:tr>
        <w:tc>
          <w:tcPr>
            <w:tcW w:type="dxa" w:w="1872"/>
            <w:vAlign w:val="center"/>
            <w:tcMar>
              <w:top w:w="100" w:type="dxa"/>
              <w:start w:w="120" w:type="dxa"/>
              <w:bottom w:w="100" w:type="dxa"/>
              <w:end w:w="120" w:type="dxa"/>
            </w:tcMar>
            <w:shd w:fill="F4F6FA"/>
          </w:tcPr>
          <w:p>
            <w:pPr>
              <w:spacing w:after="0"/>
            </w:pPr>
            <w:r>
              <w:rPr>
                <w:sz w:val="16"/>
              </w:rPr>
              <w:t>Publication</w:t>
            </w:r>
          </w:p>
        </w:tc>
        <w:tc>
          <w:tcPr>
            <w:tcW w:type="dxa" w:w="4608"/>
            <w:vAlign w:val="center"/>
            <w:tcMar>
              <w:top w:w="100" w:type="dxa"/>
              <w:start w:w="120" w:type="dxa"/>
              <w:bottom w:w="100" w:type="dxa"/>
              <w:end w:w="120" w:type="dxa"/>
            </w:tcMar>
            <w:shd w:fill="F4F6FA"/>
          </w:tcPr>
          <w:p>
            <w:pPr>
              <w:spacing w:after="0"/>
            </w:pPr>
            <w:r>
              <w:rPr>
                <w:sz w:val="16"/>
              </w:rPr>
              <w:t>asset_id, destination, publish time, state</w:t>
            </w:r>
          </w:p>
        </w:tc>
        <w:tc>
          <w:tcPr>
            <w:tcW w:type="dxa" w:w="4032"/>
            <w:vAlign w:val="center"/>
            <w:tcMar>
              <w:top w:w="100" w:type="dxa"/>
              <w:start w:w="120" w:type="dxa"/>
              <w:bottom w:w="100" w:type="dxa"/>
              <w:end w:w="120" w:type="dxa"/>
            </w:tcMar>
            <w:shd w:fill="F4F6FA"/>
          </w:tcPr>
          <w:p>
            <w:pPr>
              <w:spacing w:after="0"/>
            </w:pPr>
            <w:r>
              <w:rPr>
                <w:sz w:val="16"/>
              </w:rPr>
              <w:t>Links media to Locker, team page, or campaign.</w:t>
            </w:r>
          </w:p>
        </w:tc>
      </w:tr>
      <w:tr>
        <w:tc>
          <w:tcPr>
            <w:tcW w:type="dxa" w:w="1872"/>
            <w:vAlign w:val="center"/>
            <w:tcMar>
              <w:top w:w="100" w:type="dxa"/>
              <w:start w:w="120" w:type="dxa"/>
              <w:bottom w:w="100" w:type="dxa"/>
              <w:end w:w="120" w:type="dxa"/>
            </w:tcMar>
          </w:tcPr>
          <w:p>
            <w:pPr>
              <w:spacing w:after="0"/>
            </w:pPr>
            <w:r>
              <w:rPr>
                <w:sz w:val="16"/>
              </w:rPr>
              <w:t>Campaign</w:t>
            </w:r>
          </w:p>
        </w:tc>
        <w:tc>
          <w:tcPr>
            <w:tcW w:type="dxa" w:w="4608"/>
            <w:vAlign w:val="center"/>
            <w:tcMar>
              <w:top w:w="100" w:type="dxa"/>
              <w:start w:w="120" w:type="dxa"/>
              <w:bottom w:w="100" w:type="dxa"/>
              <w:end w:w="120" w:type="dxa"/>
            </w:tcMar>
          </w:tcPr>
          <w:p>
            <w:pPr>
              <w:spacing w:after="0"/>
            </w:pPr>
            <w:r>
              <w:rPr>
                <w:sz w:val="16"/>
              </w:rPr>
              <w:t>organization, sponsor, dates, status, terms</w:t>
            </w:r>
          </w:p>
        </w:tc>
        <w:tc>
          <w:tcPr>
            <w:tcW w:type="dxa" w:w="4032"/>
            <w:vAlign w:val="center"/>
            <w:tcMar>
              <w:top w:w="100" w:type="dxa"/>
              <w:start w:w="120" w:type="dxa"/>
              <w:bottom w:w="100" w:type="dxa"/>
              <w:end w:w="120" w:type="dxa"/>
            </w:tcMar>
          </w:tcPr>
          <w:p>
            <w:pPr>
              <w:spacing w:after="0"/>
            </w:pPr>
            <w:r>
              <w:rPr>
                <w:sz w:val="16"/>
              </w:rPr>
              <w:t>Has assets, athletes, deliverables, analytics, revenue.</w:t>
            </w:r>
          </w:p>
        </w:tc>
      </w:tr>
      <w:tr>
        <w:tc>
          <w:tcPr>
            <w:tcW w:type="dxa" w:w="1872"/>
            <w:vAlign w:val="center"/>
            <w:tcMar>
              <w:top w:w="100" w:type="dxa"/>
              <w:start w:w="120" w:type="dxa"/>
              <w:bottom w:w="100" w:type="dxa"/>
              <w:end w:w="120" w:type="dxa"/>
            </w:tcMar>
            <w:shd w:fill="F4F6FA"/>
          </w:tcPr>
          <w:p>
            <w:pPr>
              <w:spacing w:after="0"/>
            </w:pPr>
            <w:r>
              <w:rPr>
                <w:sz w:val="16"/>
              </w:rPr>
              <w:t>Analytics Event</w:t>
            </w:r>
          </w:p>
        </w:tc>
        <w:tc>
          <w:tcPr>
            <w:tcW w:type="dxa" w:w="4608"/>
            <w:vAlign w:val="center"/>
            <w:tcMar>
              <w:top w:w="100" w:type="dxa"/>
              <w:start w:w="120" w:type="dxa"/>
              <w:bottom w:w="100" w:type="dxa"/>
              <w:end w:w="120" w:type="dxa"/>
            </w:tcMar>
            <w:shd w:fill="F4F6FA"/>
          </w:tcPr>
          <w:p>
            <w:pPr>
              <w:spacing w:after="0"/>
            </w:pPr>
            <w:r>
              <w:rPr>
                <w:sz w:val="16"/>
              </w:rPr>
              <w:t>viewer/session, asset, athlete, campaign, event type, duration</w:t>
            </w:r>
          </w:p>
        </w:tc>
        <w:tc>
          <w:tcPr>
            <w:tcW w:type="dxa" w:w="4032"/>
            <w:vAlign w:val="center"/>
            <w:tcMar>
              <w:top w:w="100" w:type="dxa"/>
              <w:start w:w="120" w:type="dxa"/>
              <w:bottom w:w="100" w:type="dxa"/>
              <w:end w:w="120" w:type="dxa"/>
            </w:tcMar>
            <w:shd w:fill="F4F6FA"/>
          </w:tcPr>
          <w:p>
            <w:pPr>
              <w:spacing w:after="0"/>
            </w:pPr>
            <w:r>
              <w:rPr>
                <w:sz w:val="16"/>
              </w:rPr>
              <w:t>Feeds aggregate reporting.</w:t>
            </w:r>
          </w:p>
        </w:tc>
      </w:tr>
      <w:tr>
        <w:tc>
          <w:tcPr>
            <w:tcW w:type="dxa" w:w="1872"/>
            <w:vAlign w:val="center"/>
            <w:tcMar>
              <w:top w:w="100" w:type="dxa"/>
              <w:start w:w="120" w:type="dxa"/>
              <w:bottom w:w="100" w:type="dxa"/>
              <w:end w:w="120" w:type="dxa"/>
            </w:tcMar>
          </w:tcPr>
          <w:p>
            <w:pPr>
              <w:spacing w:after="0"/>
            </w:pPr>
            <w:r>
              <w:rPr>
                <w:sz w:val="16"/>
              </w:rPr>
              <w:t>Revenue Entry</w:t>
            </w:r>
          </w:p>
        </w:tc>
        <w:tc>
          <w:tcPr>
            <w:tcW w:type="dxa" w:w="4608"/>
            <w:vAlign w:val="center"/>
            <w:tcMar>
              <w:top w:w="100" w:type="dxa"/>
              <w:start w:w="120" w:type="dxa"/>
              <w:bottom w:w="100" w:type="dxa"/>
              <w:end w:w="120" w:type="dxa"/>
            </w:tcMar>
          </w:tcPr>
          <w:p>
            <w:pPr>
              <w:spacing w:after="0"/>
            </w:pPr>
            <w:r>
              <w:rPr>
                <w:sz w:val="16"/>
              </w:rPr>
              <w:t>source, gross, allocations, state, date</w:t>
            </w:r>
          </w:p>
        </w:tc>
        <w:tc>
          <w:tcPr>
            <w:tcW w:type="dxa" w:w="4032"/>
            <w:vAlign w:val="center"/>
            <w:tcMar>
              <w:top w:w="100" w:type="dxa"/>
              <w:start w:w="120" w:type="dxa"/>
              <w:bottom w:w="100" w:type="dxa"/>
              <w:end w:w="120" w:type="dxa"/>
            </w:tcMar>
          </w:tcPr>
          <w:p>
            <w:pPr>
              <w:spacing w:after="0"/>
            </w:pPr>
            <w:r>
              <w:rPr>
                <w:sz w:val="16"/>
              </w:rPr>
              <w:t>Links asset, campaign, organization, athletes.</w:t>
            </w:r>
          </w:p>
        </w:tc>
      </w:tr>
      <w:tr>
        <w:tc>
          <w:tcPr>
            <w:tcW w:type="dxa" w:w="1872"/>
            <w:vAlign w:val="center"/>
            <w:tcMar>
              <w:top w:w="100" w:type="dxa"/>
              <w:start w:w="120" w:type="dxa"/>
              <w:bottom w:w="100" w:type="dxa"/>
              <w:end w:w="120" w:type="dxa"/>
            </w:tcMar>
            <w:shd w:fill="F4F6FA"/>
          </w:tcPr>
          <w:p>
            <w:pPr>
              <w:spacing w:after="0"/>
            </w:pPr>
            <w:r>
              <w:rPr>
                <w:sz w:val="16"/>
              </w:rPr>
              <w:t>Audit Event</w:t>
            </w:r>
          </w:p>
        </w:tc>
        <w:tc>
          <w:tcPr>
            <w:tcW w:type="dxa" w:w="4608"/>
            <w:vAlign w:val="center"/>
            <w:tcMar>
              <w:top w:w="100" w:type="dxa"/>
              <w:start w:w="120" w:type="dxa"/>
              <w:bottom w:w="100" w:type="dxa"/>
              <w:end w:w="120" w:type="dxa"/>
            </w:tcMar>
            <w:shd w:fill="F4F6FA"/>
          </w:tcPr>
          <w:p>
            <w:pPr>
              <w:spacing w:after="0"/>
            </w:pPr>
            <w:r>
              <w:rPr>
                <w:sz w:val="16"/>
              </w:rPr>
              <w:t>actor, action, entity, before/after, timestamp</w:t>
            </w:r>
          </w:p>
        </w:tc>
        <w:tc>
          <w:tcPr>
            <w:tcW w:type="dxa" w:w="4032"/>
            <w:vAlign w:val="center"/>
            <w:tcMar>
              <w:top w:w="100" w:type="dxa"/>
              <w:start w:w="120" w:type="dxa"/>
              <w:bottom w:w="100" w:type="dxa"/>
              <w:end w:w="120" w:type="dxa"/>
            </w:tcMar>
            <w:shd w:fill="F4F6FA"/>
          </w:tcPr>
          <w:p>
            <w:pPr>
              <w:spacing w:after="0"/>
            </w:pPr>
            <w:r>
              <w:rPr>
                <w:sz w:val="16"/>
              </w:rPr>
              <w:t>Immutable operational history.</w:t>
            </w:r>
          </w:p>
        </w:tc>
      </w:tr>
    </w:tbl>
    <w:p/>
    <w:p>
      <w:pPr>
        <w:pStyle w:val="Heading1"/>
      </w:pPr>
      <w:r>
        <w:t>9. State Machines and Business Rules</w:t>
      </w:r>
    </w:p>
    <w:p>
      <w:r>
        <w:t>Critical records require explicit states so that the interface, permissions, and audit trail remain predictable.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B1220"/>
            <w:tcMar>
              <w:top w:w="100" w:type="dxa"/>
              <w:start w:w="120" w:type="dxa"/>
              <w:bottom w:w="100" w:type="dxa"/>
              <w:end w:w="120" w:type="dxa"/>
            </w:tcMar>
          </w:tcPr>
          <w:p>
            <w:r>
              <w:rPr>
                <w:b/>
                <w:color w:val="FFFFFF"/>
                <w:sz w:val="17"/>
              </w:rPr>
              <w:t>Object</w:t>
            </w:r>
          </w:p>
        </w:tc>
        <w:tc>
          <w:tcPr>
            <w:tcW w:type="dxa" w:w="4464"/>
            <w:shd w:fill="0B1220"/>
            <w:tcMar>
              <w:top w:w="100" w:type="dxa"/>
              <w:start w:w="120" w:type="dxa"/>
              <w:bottom w:w="100" w:type="dxa"/>
              <w:end w:w="120" w:type="dxa"/>
            </w:tcMar>
          </w:tcPr>
          <w:p>
            <w:r>
              <w:rPr>
                <w:b/>
                <w:color w:val="FFFFFF"/>
                <w:sz w:val="17"/>
              </w:rPr>
              <w:t>States</w:t>
            </w:r>
          </w:p>
        </w:tc>
        <w:tc>
          <w:tcPr>
            <w:tcW w:type="dxa" w:w="4320"/>
            <w:shd w:fill="0B1220"/>
            <w:tcMar>
              <w:top w:w="100" w:type="dxa"/>
              <w:start w:w="120" w:type="dxa"/>
              <w:bottom w:w="100" w:type="dxa"/>
              <w:end w:w="120" w:type="dxa"/>
            </w:tcMar>
          </w:tcPr>
          <w:p>
            <w:r>
              <w:rPr>
                <w:b/>
                <w:color w:val="FFFFFF"/>
                <w:sz w:val="17"/>
              </w:rPr>
              <w:t>Key Rule</w:t>
            </w:r>
          </w:p>
        </w:tc>
      </w:tr>
      <w:tr>
        <w:tc>
          <w:tcPr>
            <w:tcW w:type="dxa" w:w="1728"/>
            <w:vAlign w:val="center"/>
            <w:tcMar>
              <w:top w:w="100" w:type="dxa"/>
              <w:start w:w="120" w:type="dxa"/>
              <w:bottom w:w="100" w:type="dxa"/>
              <w:end w:w="120" w:type="dxa"/>
            </w:tcMar>
          </w:tcPr>
          <w:p>
            <w:pPr>
              <w:spacing w:after="0"/>
            </w:pPr>
            <w:r>
              <w:rPr>
                <w:sz w:val="16"/>
              </w:rPr>
              <w:t>Media Asset</w:t>
            </w:r>
          </w:p>
        </w:tc>
        <w:tc>
          <w:tcPr>
            <w:tcW w:type="dxa" w:w="4464"/>
            <w:vAlign w:val="center"/>
            <w:tcMar>
              <w:top w:w="100" w:type="dxa"/>
              <w:start w:w="120" w:type="dxa"/>
              <w:bottom w:w="100" w:type="dxa"/>
              <w:end w:w="120" w:type="dxa"/>
            </w:tcMar>
          </w:tcPr>
          <w:p>
            <w:pPr>
              <w:spacing w:after="0"/>
            </w:pPr>
            <w:r>
              <w:rPr>
                <w:sz w:val="16"/>
              </w:rPr>
              <w:t>Draft → In Review → Approved → Published → Archived / Restricted</w:t>
            </w:r>
          </w:p>
        </w:tc>
        <w:tc>
          <w:tcPr>
            <w:tcW w:type="dxa" w:w="4320"/>
            <w:vAlign w:val="center"/>
            <w:tcMar>
              <w:top w:w="100" w:type="dxa"/>
              <w:start w:w="120" w:type="dxa"/>
              <w:bottom w:w="100" w:type="dxa"/>
              <w:end w:w="120" w:type="dxa"/>
            </w:tcMar>
          </w:tcPr>
          <w:p>
            <w:pPr>
              <w:spacing w:after="0"/>
            </w:pPr>
            <w:r>
              <w:rPr>
                <w:sz w:val="16"/>
              </w:rPr>
              <w:t>Published requires valid rights and all required approvals.</w:t>
            </w:r>
          </w:p>
        </w:tc>
      </w:tr>
      <w:tr>
        <w:tc>
          <w:tcPr>
            <w:tcW w:type="dxa" w:w="1728"/>
            <w:vAlign w:val="center"/>
            <w:tcMar>
              <w:top w:w="100" w:type="dxa"/>
              <w:start w:w="120" w:type="dxa"/>
              <w:bottom w:w="100" w:type="dxa"/>
              <w:end w:w="120" w:type="dxa"/>
            </w:tcMar>
            <w:shd w:fill="F4F6FA"/>
          </w:tcPr>
          <w:p>
            <w:pPr>
              <w:spacing w:after="0"/>
            </w:pPr>
            <w:r>
              <w:rPr>
                <w:sz w:val="16"/>
              </w:rPr>
              <w:t>Rights Record</w:t>
            </w:r>
          </w:p>
        </w:tc>
        <w:tc>
          <w:tcPr>
            <w:tcW w:type="dxa" w:w="4464"/>
            <w:vAlign w:val="center"/>
            <w:tcMar>
              <w:top w:w="100" w:type="dxa"/>
              <w:start w:w="120" w:type="dxa"/>
              <w:bottom w:w="100" w:type="dxa"/>
              <w:end w:w="120" w:type="dxa"/>
            </w:tcMar>
            <w:shd w:fill="F4F6FA"/>
          </w:tcPr>
          <w:p>
            <w:pPr>
              <w:spacing w:after="0"/>
            </w:pPr>
            <w:r>
              <w:rPr>
                <w:sz w:val="16"/>
              </w:rPr>
              <w:t>Unverified → Pending Review → Approved → Expiring → Expired / Restricted</w:t>
            </w:r>
          </w:p>
        </w:tc>
        <w:tc>
          <w:tcPr>
            <w:tcW w:type="dxa" w:w="4320"/>
            <w:vAlign w:val="center"/>
            <w:tcMar>
              <w:top w:w="100" w:type="dxa"/>
              <w:start w:w="120" w:type="dxa"/>
              <w:bottom w:w="100" w:type="dxa"/>
              <w:end w:w="120" w:type="dxa"/>
            </w:tcMar>
            <w:shd w:fill="F4F6FA"/>
          </w:tcPr>
          <w:p>
            <w:pPr>
              <w:spacing w:after="0"/>
            </w:pPr>
            <w:r>
              <w:rPr>
                <w:sz w:val="16"/>
              </w:rPr>
              <w:t>Expired or restricted rights automatically block future use.</w:t>
            </w:r>
          </w:p>
        </w:tc>
      </w:tr>
      <w:tr>
        <w:tc>
          <w:tcPr>
            <w:tcW w:type="dxa" w:w="1728"/>
            <w:vAlign w:val="center"/>
            <w:tcMar>
              <w:top w:w="100" w:type="dxa"/>
              <w:start w:w="120" w:type="dxa"/>
              <w:bottom w:w="100" w:type="dxa"/>
              <w:end w:w="120" w:type="dxa"/>
            </w:tcMar>
          </w:tcPr>
          <w:p>
            <w:pPr>
              <w:spacing w:after="0"/>
            </w:pPr>
            <w:r>
              <w:rPr>
                <w:sz w:val="16"/>
              </w:rPr>
              <w:t>Approval Request</w:t>
            </w:r>
          </w:p>
        </w:tc>
        <w:tc>
          <w:tcPr>
            <w:tcW w:type="dxa" w:w="4464"/>
            <w:vAlign w:val="center"/>
            <w:tcMar>
              <w:top w:w="100" w:type="dxa"/>
              <w:start w:w="120" w:type="dxa"/>
              <w:bottom w:w="100" w:type="dxa"/>
              <w:end w:w="120" w:type="dxa"/>
            </w:tcMar>
          </w:tcPr>
          <w:p>
            <w:pPr>
              <w:spacing w:after="0"/>
            </w:pPr>
            <w:r>
              <w:rPr>
                <w:sz w:val="16"/>
              </w:rPr>
              <w:t>Pending → Approved / Changes Requested / Declined / Expired</w:t>
            </w:r>
          </w:p>
        </w:tc>
        <w:tc>
          <w:tcPr>
            <w:tcW w:type="dxa" w:w="4320"/>
            <w:vAlign w:val="center"/>
            <w:tcMar>
              <w:top w:w="100" w:type="dxa"/>
              <w:start w:w="120" w:type="dxa"/>
              <w:bottom w:w="100" w:type="dxa"/>
              <w:end w:w="120" w:type="dxa"/>
            </w:tcMar>
          </w:tcPr>
          <w:p>
            <w:pPr>
              <w:spacing w:after="0"/>
            </w:pPr>
            <w:r>
              <w:rPr>
                <w:sz w:val="16"/>
              </w:rPr>
              <w:t>Changes requested returns asset to review.</w:t>
            </w:r>
          </w:p>
        </w:tc>
      </w:tr>
      <w:tr>
        <w:tc>
          <w:tcPr>
            <w:tcW w:type="dxa" w:w="1728"/>
            <w:vAlign w:val="center"/>
            <w:tcMar>
              <w:top w:w="100" w:type="dxa"/>
              <w:start w:w="120" w:type="dxa"/>
              <w:bottom w:w="100" w:type="dxa"/>
              <w:end w:w="120" w:type="dxa"/>
            </w:tcMar>
            <w:shd w:fill="F4F6FA"/>
          </w:tcPr>
          <w:p>
            <w:pPr>
              <w:spacing w:after="0"/>
            </w:pPr>
            <w:r>
              <w:rPr>
                <w:sz w:val="16"/>
              </w:rPr>
              <w:t>Campaign</w:t>
            </w:r>
          </w:p>
        </w:tc>
        <w:tc>
          <w:tcPr>
            <w:tcW w:type="dxa" w:w="4464"/>
            <w:vAlign w:val="center"/>
            <w:tcMar>
              <w:top w:w="100" w:type="dxa"/>
              <w:start w:w="120" w:type="dxa"/>
              <w:bottom w:w="100" w:type="dxa"/>
              <w:end w:w="120" w:type="dxa"/>
            </w:tcMar>
            <w:shd w:fill="F4F6FA"/>
          </w:tcPr>
          <w:p>
            <w:pPr>
              <w:spacing w:after="0"/>
            </w:pPr>
            <w:r>
              <w:rPr>
                <w:sz w:val="16"/>
              </w:rPr>
              <w:t>Draft → Approval Required → Scheduled → Live → Completed / Paused / Cancelled</w:t>
            </w:r>
          </w:p>
        </w:tc>
        <w:tc>
          <w:tcPr>
            <w:tcW w:type="dxa" w:w="4320"/>
            <w:vAlign w:val="center"/>
            <w:tcMar>
              <w:top w:w="100" w:type="dxa"/>
              <w:start w:w="120" w:type="dxa"/>
              <w:bottom w:w="100" w:type="dxa"/>
              <w:end w:w="120" w:type="dxa"/>
            </w:tcMar>
            <w:shd w:fill="F4F6FA"/>
          </w:tcPr>
          <w:p>
            <w:pPr>
              <w:spacing w:after="0"/>
            </w:pPr>
            <w:r>
              <w:rPr>
                <w:sz w:val="16"/>
              </w:rPr>
              <w:t>Live requires all inventory to remain publishable.</w:t>
            </w:r>
          </w:p>
        </w:tc>
      </w:tr>
      <w:tr>
        <w:tc>
          <w:tcPr>
            <w:tcW w:type="dxa" w:w="1728"/>
            <w:vAlign w:val="center"/>
            <w:tcMar>
              <w:top w:w="100" w:type="dxa"/>
              <w:start w:w="120" w:type="dxa"/>
              <w:bottom w:w="100" w:type="dxa"/>
              <w:end w:w="120" w:type="dxa"/>
            </w:tcMar>
          </w:tcPr>
          <w:p>
            <w:pPr>
              <w:spacing w:after="0"/>
            </w:pPr>
            <w:r>
              <w:rPr>
                <w:sz w:val="16"/>
              </w:rPr>
              <w:t>Revenue Entry</w:t>
            </w:r>
          </w:p>
        </w:tc>
        <w:tc>
          <w:tcPr>
            <w:tcW w:type="dxa" w:w="4464"/>
            <w:vAlign w:val="center"/>
            <w:tcMar>
              <w:top w:w="100" w:type="dxa"/>
              <w:start w:w="120" w:type="dxa"/>
              <w:bottom w:w="100" w:type="dxa"/>
              <w:end w:w="120" w:type="dxa"/>
            </w:tcMar>
          </w:tcPr>
          <w:p>
            <w:pPr>
              <w:spacing w:after="0"/>
            </w:pPr>
            <w:r>
              <w:rPr>
                <w:sz w:val="16"/>
              </w:rPr>
              <w:t>Pending → Approved → Payable → Paid / Reversed / Disputed</w:t>
            </w:r>
          </w:p>
        </w:tc>
        <w:tc>
          <w:tcPr>
            <w:tcW w:type="dxa" w:w="4320"/>
            <w:vAlign w:val="center"/>
            <w:tcMar>
              <w:top w:w="100" w:type="dxa"/>
              <w:start w:w="120" w:type="dxa"/>
              <w:bottom w:w="100" w:type="dxa"/>
              <w:end w:w="120" w:type="dxa"/>
            </w:tcMar>
          </w:tcPr>
          <w:p>
            <w:pPr>
              <w:spacing w:after="0"/>
            </w:pPr>
            <w:r>
              <w:rPr>
                <w:sz w:val="16"/>
              </w:rPr>
              <w:t>Every allocation change produces an audit event.</w:t>
            </w:r>
          </w:p>
        </w:tc>
      </w:tr>
    </w:tbl>
    <w:p/>
    <w:p>
      <w:pPr>
        <w:pStyle w:val="Heading1"/>
      </w:pPr>
      <w:r>
        <w:t>10. UX and Design Requirements</w:t>
      </w:r>
    </w:p>
    <w:p>
      <w:r>
        <w:t>The CRM should feel like a professional sports media operations product rather than a generic SaaS dashboard.</w:t>
      </w:r>
    </w:p>
    <w:p>
      <w:pPr>
        <w:pStyle w:val="ListBullet"/>
        <w:spacing w:after="40"/>
      </w:pPr>
      <w:r>
        <w:t>Dark desktop-first interface with deep navy and black surfaces, blue actions, and restrained gold emphasis.</w:t>
      </w:r>
    </w:p>
    <w:p>
      <w:pPr>
        <w:pStyle w:val="ListBullet"/>
        <w:spacing w:after="40"/>
      </w:pPr>
      <w:r>
        <w:t>Use dense but readable tables, media thumbnails, strong hierarchy, and compact status indicators.</w:t>
      </w:r>
    </w:p>
    <w:p>
      <w:pPr>
        <w:pStyle w:val="ListBullet"/>
        <w:spacing w:after="40"/>
      </w:pPr>
      <w:r>
        <w:t>Provide persistent organization/team context and clearly indicate when a user changes context.</w:t>
      </w:r>
    </w:p>
    <w:p>
      <w:pPr>
        <w:pStyle w:val="ListBullet"/>
        <w:spacing w:after="40"/>
      </w:pPr>
      <w:r>
        <w:t>Use side panels or dedicated detail pages for complex records; avoid modal-only workflows for rights and campaign configuration.</w:t>
      </w:r>
    </w:p>
    <w:p>
      <w:pPr>
        <w:pStyle w:val="ListBullet"/>
        <w:spacing w:after="40"/>
      </w:pPr>
      <w:r>
        <w:t>Every blocked action must explain exactly what is missing and link to the corrective step.</w:t>
      </w:r>
    </w:p>
    <w:p>
      <w:pPr>
        <w:pStyle w:val="ListBullet"/>
        <w:spacing w:after="40"/>
      </w:pPr>
      <w:r>
        <w:t>Show direct revenue and estimated media value as separate concepts throughout the product.</w:t>
      </w:r>
    </w:p>
    <w:p>
      <w:pPr>
        <w:pStyle w:val="ListBullet"/>
        <w:spacing w:after="40"/>
      </w:pPr>
      <w:r>
        <w:t>Support keyboard navigation, accessible contrast, labels, visible focus states, and non-color status cues.</w:t>
      </w:r>
    </w:p>
    <w:p>
      <w:pPr>
        <w:pStyle w:val="Heading1"/>
      </w:pPr>
      <w:r>
        <w:t>11. Non-Functional Requirements</w:t>
      </w:r>
    </w:p>
    <w:p>
      <w:r>
        <w:t>The prototype may use simulated data, but the product structure should reflect production expectations.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shd w:fill="0B1220"/>
            <w:tcMar>
              <w:top w:w="100" w:type="dxa"/>
              <w:start w:w="120" w:type="dxa"/>
              <w:bottom w:w="100" w:type="dxa"/>
              <w:end w:w="120" w:type="dxa"/>
            </w:tcMar>
          </w:tcPr>
          <w:p>
            <w:r>
              <w:rPr>
                <w:b/>
                <w:color w:val="FFFFFF"/>
                <w:sz w:val="17"/>
              </w:rPr>
              <w:t>Area</w:t>
            </w:r>
          </w:p>
        </w:tc>
        <w:tc>
          <w:tcPr>
            <w:tcW w:type="dxa" w:w="8640"/>
            <w:shd w:fill="0B1220"/>
            <w:tcMar>
              <w:top w:w="100" w:type="dxa"/>
              <w:start w:w="120" w:type="dxa"/>
              <w:bottom w:w="100" w:type="dxa"/>
              <w:end w:w="120" w:type="dxa"/>
            </w:tcMar>
          </w:tcPr>
          <w:p>
            <w:r>
              <w:rPr>
                <w:b/>
                <w:color w:val="FFFFFF"/>
                <w:sz w:val="17"/>
              </w:rPr>
              <w:t>Requirement</w:t>
            </w:r>
          </w:p>
        </w:tc>
      </w:tr>
      <w:tr>
        <w:tc>
          <w:tcPr>
            <w:tcW w:type="dxa" w:w="1872"/>
            <w:vAlign w:val="center"/>
            <w:tcMar>
              <w:top w:w="100" w:type="dxa"/>
              <w:start w:w="120" w:type="dxa"/>
              <w:bottom w:w="100" w:type="dxa"/>
              <w:end w:w="120" w:type="dxa"/>
            </w:tcMar>
          </w:tcPr>
          <w:p>
            <w:pPr>
              <w:spacing w:after="0"/>
            </w:pPr>
            <w:r>
              <w:rPr>
                <w:sz w:val="16"/>
              </w:rPr>
              <w:t>Security</w:t>
            </w:r>
          </w:p>
        </w:tc>
        <w:tc>
          <w:tcPr>
            <w:tcW w:type="dxa" w:w="8640"/>
            <w:vAlign w:val="center"/>
            <w:tcMar>
              <w:top w:w="100" w:type="dxa"/>
              <w:start w:w="120" w:type="dxa"/>
              <w:bottom w:w="100" w:type="dxa"/>
              <w:end w:w="120" w:type="dxa"/>
            </w:tcMar>
          </w:tcPr>
          <w:p>
            <w:pPr>
              <w:spacing w:after="0"/>
            </w:pPr>
            <w:r>
              <w:rPr>
                <w:sz w:val="16"/>
              </w:rPr>
              <w:t>Organization isolation, least-privilege roles, secure sessions, protected private media URLs.</w:t>
            </w:r>
          </w:p>
        </w:tc>
      </w:tr>
      <w:tr>
        <w:tc>
          <w:tcPr>
            <w:tcW w:type="dxa" w:w="1872"/>
            <w:vAlign w:val="center"/>
            <w:tcMar>
              <w:top w:w="100" w:type="dxa"/>
              <w:start w:w="120" w:type="dxa"/>
              <w:bottom w:w="100" w:type="dxa"/>
              <w:end w:w="120" w:type="dxa"/>
            </w:tcMar>
            <w:shd w:fill="F4F6FA"/>
          </w:tcPr>
          <w:p>
            <w:pPr>
              <w:spacing w:after="0"/>
            </w:pPr>
            <w:r>
              <w:rPr>
                <w:sz w:val="16"/>
              </w:rPr>
              <w:t>Auditability</w:t>
            </w:r>
          </w:p>
        </w:tc>
        <w:tc>
          <w:tcPr>
            <w:tcW w:type="dxa" w:w="8640"/>
            <w:vAlign w:val="center"/>
            <w:tcMar>
              <w:top w:w="100" w:type="dxa"/>
              <w:start w:w="120" w:type="dxa"/>
              <w:bottom w:w="100" w:type="dxa"/>
              <w:end w:w="120" w:type="dxa"/>
            </w:tcMar>
            <w:shd w:fill="F4F6FA"/>
          </w:tcPr>
          <w:p>
            <w:pPr>
              <w:spacing w:after="0"/>
            </w:pPr>
            <w:r>
              <w:rPr>
                <w:sz w:val="16"/>
              </w:rPr>
              <w:t>Log create, edit, approve, publish, unpublish, permission, and revenue actions.</w:t>
            </w:r>
          </w:p>
        </w:tc>
      </w:tr>
      <w:tr>
        <w:tc>
          <w:tcPr>
            <w:tcW w:type="dxa" w:w="1872"/>
            <w:vAlign w:val="center"/>
            <w:tcMar>
              <w:top w:w="100" w:type="dxa"/>
              <w:start w:w="120" w:type="dxa"/>
              <w:bottom w:w="100" w:type="dxa"/>
              <w:end w:w="120" w:type="dxa"/>
            </w:tcMar>
          </w:tcPr>
          <w:p>
            <w:pPr>
              <w:spacing w:after="0"/>
            </w:pPr>
            <w:r>
              <w:rPr>
                <w:sz w:val="16"/>
              </w:rPr>
              <w:t>Performance</w:t>
            </w:r>
          </w:p>
        </w:tc>
        <w:tc>
          <w:tcPr>
            <w:tcW w:type="dxa" w:w="8640"/>
            <w:vAlign w:val="center"/>
            <w:tcMar>
              <w:top w:w="100" w:type="dxa"/>
              <w:start w:w="120" w:type="dxa"/>
              <w:bottom w:w="100" w:type="dxa"/>
              <w:end w:w="120" w:type="dxa"/>
            </w:tcMar>
          </w:tcPr>
          <w:p>
            <w:pPr>
              <w:spacing w:after="0"/>
            </w:pPr>
            <w:r>
              <w:rPr>
                <w:sz w:val="16"/>
              </w:rPr>
              <w:t>Primary lists should load quickly with pagination or virtualization for large datasets.</w:t>
            </w:r>
          </w:p>
        </w:tc>
      </w:tr>
      <w:tr>
        <w:tc>
          <w:tcPr>
            <w:tcW w:type="dxa" w:w="1872"/>
            <w:vAlign w:val="center"/>
            <w:tcMar>
              <w:top w:w="100" w:type="dxa"/>
              <w:start w:w="120" w:type="dxa"/>
              <w:bottom w:w="100" w:type="dxa"/>
              <w:end w:w="120" w:type="dxa"/>
            </w:tcMar>
            <w:shd w:fill="F4F6FA"/>
          </w:tcPr>
          <w:p>
            <w:pPr>
              <w:spacing w:after="0"/>
            </w:pPr>
            <w:r>
              <w:rPr>
                <w:sz w:val="16"/>
              </w:rPr>
              <w:t>Reliability</w:t>
            </w:r>
          </w:p>
        </w:tc>
        <w:tc>
          <w:tcPr>
            <w:tcW w:type="dxa" w:w="8640"/>
            <w:vAlign w:val="center"/>
            <w:tcMar>
              <w:top w:w="100" w:type="dxa"/>
              <w:start w:w="120" w:type="dxa"/>
              <w:bottom w:w="100" w:type="dxa"/>
              <w:end w:w="120" w:type="dxa"/>
            </w:tcMar>
            <w:shd w:fill="F4F6FA"/>
          </w:tcPr>
          <w:p>
            <w:pPr>
              <w:spacing w:after="0"/>
            </w:pPr>
            <w:r>
              <w:rPr>
                <w:sz w:val="16"/>
              </w:rPr>
              <w:t>Publishing actions must be idempotent and show recoverable failure states.</w:t>
            </w:r>
          </w:p>
        </w:tc>
      </w:tr>
      <w:tr>
        <w:tc>
          <w:tcPr>
            <w:tcW w:type="dxa" w:w="1872"/>
            <w:vAlign w:val="center"/>
            <w:tcMar>
              <w:top w:w="100" w:type="dxa"/>
              <w:start w:w="120" w:type="dxa"/>
              <w:bottom w:w="100" w:type="dxa"/>
              <w:end w:w="120" w:type="dxa"/>
            </w:tcMar>
          </w:tcPr>
          <w:p>
            <w:pPr>
              <w:spacing w:after="0"/>
            </w:pPr>
            <w:r>
              <w:rPr>
                <w:sz w:val="16"/>
              </w:rPr>
              <w:t>Privacy</w:t>
            </w:r>
          </w:p>
        </w:tc>
        <w:tc>
          <w:tcPr>
            <w:tcW w:type="dxa" w:w="8640"/>
            <w:vAlign w:val="center"/>
            <w:tcMar>
              <w:top w:w="100" w:type="dxa"/>
              <w:start w:w="120" w:type="dxa"/>
              <w:bottom w:w="100" w:type="dxa"/>
              <w:end w:w="120" w:type="dxa"/>
            </w:tcMar>
          </w:tcPr>
          <w:p>
            <w:pPr>
              <w:spacing w:after="0"/>
            </w:pPr>
            <w:r>
              <w:rPr>
                <w:sz w:val="16"/>
              </w:rPr>
              <w:t>Do not expose private athlete contact, earnings, or approval history publicly.</w:t>
            </w:r>
          </w:p>
        </w:tc>
      </w:tr>
      <w:tr>
        <w:tc>
          <w:tcPr>
            <w:tcW w:type="dxa" w:w="1872"/>
            <w:vAlign w:val="center"/>
            <w:tcMar>
              <w:top w:w="100" w:type="dxa"/>
              <w:start w:w="120" w:type="dxa"/>
              <w:bottom w:w="100" w:type="dxa"/>
              <w:end w:w="120" w:type="dxa"/>
            </w:tcMar>
            <w:shd w:fill="F4F6FA"/>
          </w:tcPr>
          <w:p>
            <w:pPr>
              <w:spacing w:after="0"/>
            </w:pPr>
            <w:r>
              <w:rPr>
                <w:sz w:val="16"/>
              </w:rPr>
              <w:t>Accessibility</w:t>
            </w:r>
          </w:p>
        </w:tc>
        <w:tc>
          <w:tcPr>
            <w:tcW w:type="dxa" w:w="8640"/>
            <w:vAlign w:val="center"/>
            <w:tcMar>
              <w:top w:w="100" w:type="dxa"/>
              <w:start w:w="120" w:type="dxa"/>
              <w:bottom w:w="100" w:type="dxa"/>
              <w:end w:w="120" w:type="dxa"/>
            </w:tcMar>
            <w:shd w:fill="F4F6FA"/>
          </w:tcPr>
          <w:p>
            <w:pPr>
              <w:spacing w:after="0"/>
            </w:pPr>
            <w:r>
              <w:rPr>
                <w:sz w:val="16"/>
              </w:rPr>
              <w:t>Target WCAG 2.1 AA patterns for navigation, contrast, forms, tables, and status communication.</w:t>
            </w:r>
          </w:p>
        </w:tc>
      </w:tr>
      <w:tr>
        <w:tc>
          <w:tcPr>
            <w:tcW w:type="dxa" w:w="1872"/>
            <w:vAlign w:val="center"/>
            <w:tcMar>
              <w:top w:w="100" w:type="dxa"/>
              <w:start w:w="120" w:type="dxa"/>
              <w:bottom w:w="100" w:type="dxa"/>
              <w:end w:w="120" w:type="dxa"/>
            </w:tcMar>
          </w:tcPr>
          <w:p>
            <w:pPr>
              <w:spacing w:after="0"/>
            </w:pPr>
            <w:r>
              <w:rPr>
                <w:sz w:val="16"/>
              </w:rPr>
              <w:t>Observability</w:t>
            </w:r>
          </w:p>
        </w:tc>
        <w:tc>
          <w:tcPr>
            <w:tcW w:type="dxa" w:w="8640"/>
            <w:vAlign w:val="center"/>
            <w:tcMar>
              <w:top w:w="100" w:type="dxa"/>
              <w:start w:w="120" w:type="dxa"/>
              <w:bottom w:w="100" w:type="dxa"/>
              <w:end w:w="120" w:type="dxa"/>
            </w:tcMar>
          </w:tcPr>
          <w:p>
            <w:pPr>
              <w:spacing w:after="0"/>
            </w:pPr>
            <w:r>
              <w:rPr>
                <w:sz w:val="16"/>
              </w:rPr>
              <w:t>Capture product errors, failed publications, and integration failures for Admin review.</w:t>
            </w:r>
          </w:p>
        </w:tc>
      </w:tr>
    </w:tbl>
    <w:p/>
    <w:p>
      <w:pPr>
        <w:pStyle w:val="Heading1"/>
      </w:pPr>
      <w:r>
        <w:t>12. MVP Release Plan</w:t>
      </w:r>
    </w:p>
    <w:p>
      <w:r>
        <w:t>Development should be split into vertical workflows rather than page-by-page visual completion.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0B1220"/>
            <w:tcMar>
              <w:top w:w="100" w:type="dxa"/>
              <w:start w:w="120" w:type="dxa"/>
              <w:bottom w:w="100" w:type="dxa"/>
              <w:end w:w="120" w:type="dxa"/>
            </w:tcMar>
          </w:tcPr>
          <w:p>
            <w:r>
              <w:rPr>
                <w:b/>
                <w:color w:val="FFFFFF"/>
                <w:sz w:val="17"/>
              </w:rPr>
              <w:t>Phase</w:t>
            </w:r>
          </w:p>
        </w:tc>
        <w:tc>
          <w:tcPr>
            <w:tcW w:type="dxa" w:w="4320"/>
            <w:shd w:fill="0B1220"/>
            <w:tcMar>
              <w:top w:w="100" w:type="dxa"/>
              <w:start w:w="120" w:type="dxa"/>
              <w:bottom w:w="100" w:type="dxa"/>
              <w:end w:w="120" w:type="dxa"/>
            </w:tcMar>
          </w:tcPr>
          <w:p>
            <w:r>
              <w:rPr>
                <w:b/>
                <w:color w:val="FFFFFF"/>
                <w:sz w:val="17"/>
              </w:rPr>
              <w:t>Deliverable</w:t>
            </w:r>
          </w:p>
        </w:tc>
        <w:tc>
          <w:tcPr>
            <w:tcW w:type="dxa" w:w="4176"/>
            <w:shd w:fill="0B1220"/>
            <w:tcMar>
              <w:top w:w="100" w:type="dxa"/>
              <w:start w:w="120" w:type="dxa"/>
              <w:bottom w:w="100" w:type="dxa"/>
              <w:end w:w="120" w:type="dxa"/>
            </w:tcMar>
          </w:tcPr>
          <w:p>
            <w:r>
              <w:rPr>
                <w:b/>
                <w:color w:val="FFFFFF"/>
                <w:sz w:val="17"/>
              </w:rPr>
              <w:t>Exit Criteria</w:t>
            </w:r>
          </w:p>
        </w:tc>
      </w:tr>
      <w:tr>
        <w:tc>
          <w:tcPr>
            <w:tcW w:type="dxa" w:w="2088"/>
            <w:vAlign w:val="center"/>
            <w:tcMar>
              <w:top w:w="100" w:type="dxa"/>
              <w:start w:w="120" w:type="dxa"/>
              <w:bottom w:w="100" w:type="dxa"/>
              <w:end w:w="120" w:type="dxa"/>
            </w:tcMar>
          </w:tcPr>
          <w:p>
            <w:pPr>
              <w:spacing w:after="0"/>
            </w:pPr>
            <w:r>
              <w:rPr>
                <w:sz w:val="16"/>
              </w:rPr>
              <w:t>Phase 1 — Foundation</w:t>
            </w:r>
          </w:p>
        </w:tc>
        <w:tc>
          <w:tcPr>
            <w:tcW w:type="dxa" w:w="4320"/>
            <w:vAlign w:val="center"/>
            <w:tcMar>
              <w:top w:w="100" w:type="dxa"/>
              <w:start w:w="120" w:type="dxa"/>
              <w:bottom w:w="100" w:type="dxa"/>
              <w:end w:w="120" w:type="dxa"/>
            </w:tcMar>
          </w:tcPr>
          <w:p>
            <w:pPr>
              <w:spacing w:after="0"/>
            </w:pPr>
            <w:r>
              <w:rPr>
                <w:sz w:val="16"/>
              </w:rPr>
              <w:t>Auth shell, organizations, teams, roles, navigation, sample dataset.</w:t>
            </w:r>
          </w:p>
        </w:tc>
        <w:tc>
          <w:tcPr>
            <w:tcW w:type="dxa" w:w="4176"/>
            <w:vAlign w:val="center"/>
            <w:tcMar>
              <w:top w:w="100" w:type="dxa"/>
              <w:start w:w="120" w:type="dxa"/>
              <w:bottom w:w="100" w:type="dxa"/>
              <w:end w:w="120" w:type="dxa"/>
            </w:tcMar>
          </w:tcPr>
          <w:p>
            <w:pPr>
              <w:spacing w:after="0"/>
            </w:pPr>
            <w:r>
              <w:rPr>
                <w:sz w:val="16"/>
              </w:rPr>
              <w:t>Users switch organization context and only see authorized data.</w:t>
            </w:r>
          </w:p>
        </w:tc>
      </w:tr>
      <w:tr>
        <w:tc>
          <w:tcPr>
            <w:tcW w:type="dxa" w:w="2088"/>
            <w:vAlign w:val="center"/>
            <w:tcMar>
              <w:top w:w="100" w:type="dxa"/>
              <w:start w:w="120" w:type="dxa"/>
              <w:bottom w:w="100" w:type="dxa"/>
              <w:end w:w="120" w:type="dxa"/>
            </w:tcMar>
            <w:shd w:fill="F4F6FA"/>
          </w:tcPr>
          <w:p>
            <w:pPr>
              <w:spacing w:after="0"/>
            </w:pPr>
            <w:r>
              <w:rPr>
                <w:sz w:val="16"/>
              </w:rPr>
              <w:t>Phase 2 — Athlete Layer</w:t>
            </w:r>
          </w:p>
        </w:tc>
        <w:tc>
          <w:tcPr>
            <w:tcW w:type="dxa" w:w="4320"/>
            <w:vAlign w:val="center"/>
            <w:tcMar>
              <w:top w:w="100" w:type="dxa"/>
              <w:start w:w="120" w:type="dxa"/>
              <w:bottom w:w="100" w:type="dxa"/>
              <w:end w:w="120" w:type="dxa"/>
            </w:tcMar>
            <w:shd w:fill="F4F6FA"/>
          </w:tcPr>
          <w:p>
            <w:pPr>
              <w:spacing w:after="0"/>
            </w:pPr>
            <w:r>
              <w:rPr>
                <w:sz w:val="16"/>
              </w:rPr>
              <w:t>Roster, athlete detail, Locker preview, membership history.</w:t>
            </w:r>
          </w:p>
        </w:tc>
        <w:tc>
          <w:tcPr>
            <w:tcW w:type="dxa" w:w="4176"/>
            <w:vAlign w:val="center"/>
            <w:tcMar>
              <w:top w:w="100" w:type="dxa"/>
              <w:start w:w="120" w:type="dxa"/>
              <w:bottom w:w="100" w:type="dxa"/>
              <w:end w:w="120" w:type="dxa"/>
            </w:tcMar>
            <w:shd w:fill="F4F6FA"/>
          </w:tcPr>
          <w:p>
            <w:pPr>
              <w:spacing w:after="0"/>
            </w:pPr>
            <w:r>
              <w:rPr>
                <w:sz w:val="16"/>
              </w:rPr>
              <w:t>Staff can manage roster and open linked Locker records.</w:t>
            </w:r>
          </w:p>
        </w:tc>
      </w:tr>
      <w:tr>
        <w:tc>
          <w:tcPr>
            <w:tcW w:type="dxa" w:w="2088"/>
            <w:vAlign w:val="center"/>
            <w:tcMar>
              <w:top w:w="100" w:type="dxa"/>
              <w:start w:w="120" w:type="dxa"/>
              <w:bottom w:w="100" w:type="dxa"/>
              <w:end w:w="120" w:type="dxa"/>
            </w:tcMar>
          </w:tcPr>
          <w:p>
            <w:pPr>
              <w:spacing w:after="0"/>
            </w:pPr>
            <w:r>
              <w:rPr>
                <w:sz w:val="16"/>
              </w:rPr>
              <w:t>Phase 3 — Media &amp; Rights</w:t>
            </w:r>
          </w:p>
        </w:tc>
        <w:tc>
          <w:tcPr>
            <w:tcW w:type="dxa" w:w="4320"/>
            <w:vAlign w:val="center"/>
            <w:tcMar>
              <w:top w:w="100" w:type="dxa"/>
              <w:start w:w="120" w:type="dxa"/>
              <w:bottom w:w="100" w:type="dxa"/>
              <w:end w:w="120" w:type="dxa"/>
            </w:tcMar>
          </w:tcPr>
          <w:p>
            <w:pPr>
              <w:spacing w:after="0"/>
            </w:pPr>
            <w:r>
              <w:rPr>
                <w:sz w:val="16"/>
              </w:rPr>
              <w:t>Media intake, athlete links, rights records, approval rules.</w:t>
            </w:r>
          </w:p>
        </w:tc>
        <w:tc>
          <w:tcPr>
            <w:tcW w:type="dxa" w:w="4176"/>
            <w:vAlign w:val="center"/>
            <w:tcMar>
              <w:top w:w="100" w:type="dxa"/>
              <w:start w:w="120" w:type="dxa"/>
              <w:bottom w:w="100" w:type="dxa"/>
              <w:end w:w="120" w:type="dxa"/>
            </w:tcMar>
          </w:tcPr>
          <w:p>
            <w:pPr>
              <w:spacing w:after="0"/>
            </w:pPr>
            <w:r>
              <w:rPr>
                <w:sz w:val="16"/>
              </w:rPr>
              <w:t>Asset cannot publish until requirements are satisfied.</w:t>
            </w:r>
          </w:p>
        </w:tc>
      </w:tr>
      <w:tr>
        <w:tc>
          <w:tcPr>
            <w:tcW w:type="dxa" w:w="2088"/>
            <w:vAlign w:val="center"/>
            <w:tcMar>
              <w:top w:w="100" w:type="dxa"/>
              <w:start w:w="120" w:type="dxa"/>
              <w:bottom w:w="100" w:type="dxa"/>
              <w:end w:w="120" w:type="dxa"/>
            </w:tcMar>
            <w:shd w:fill="F4F6FA"/>
          </w:tcPr>
          <w:p>
            <w:pPr>
              <w:spacing w:after="0"/>
            </w:pPr>
            <w:r>
              <w:rPr>
                <w:sz w:val="16"/>
              </w:rPr>
              <w:t>Phase 4 — Approval &amp; Publishing</w:t>
            </w:r>
          </w:p>
        </w:tc>
        <w:tc>
          <w:tcPr>
            <w:tcW w:type="dxa" w:w="4320"/>
            <w:vAlign w:val="center"/>
            <w:tcMar>
              <w:top w:w="100" w:type="dxa"/>
              <w:start w:w="120" w:type="dxa"/>
              <w:bottom w:w="100" w:type="dxa"/>
              <w:end w:w="120" w:type="dxa"/>
            </w:tcMar>
            <w:shd w:fill="F4F6FA"/>
          </w:tcPr>
          <w:p>
            <w:pPr>
              <w:spacing w:after="0"/>
            </w:pPr>
            <w:r>
              <w:rPr>
                <w:sz w:val="16"/>
              </w:rPr>
              <w:t>Athlete responses, publication records, Locker rendering.</w:t>
            </w:r>
          </w:p>
        </w:tc>
        <w:tc>
          <w:tcPr>
            <w:tcW w:type="dxa" w:w="4176"/>
            <w:vAlign w:val="center"/>
            <w:tcMar>
              <w:top w:w="100" w:type="dxa"/>
              <w:start w:w="120" w:type="dxa"/>
              <w:bottom w:w="100" w:type="dxa"/>
              <w:end w:w="120" w:type="dxa"/>
            </w:tcMar>
            <w:shd w:fill="F4F6FA"/>
          </w:tcPr>
          <w:p>
            <w:pPr>
              <w:spacing w:after="0"/>
            </w:pPr>
            <w:r>
              <w:rPr>
                <w:sz w:val="16"/>
              </w:rPr>
              <w:t>Approved media appears in correct Lockers and can be unpublished.</w:t>
            </w:r>
          </w:p>
        </w:tc>
      </w:tr>
      <w:tr>
        <w:tc>
          <w:tcPr>
            <w:tcW w:type="dxa" w:w="2088"/>
            <w:vAlign w:val="center"/>
            <w:tcMar>
              <w:top w:w="100" w:type="dxa"/>
              <w:start w:w="120" w:type="dxa"/>
              <w:bottom w:w="100" w:type="dxa"/>
              <w:end w:w="120" w:type="dxa"/>
            </w:tcMar>
          </w:tcPr>
          <w:p>
            <w:pPr>
              <w:spacing w:after="0"/>
            </w:pPr>
            <w:r>
              <w:rPr>
                <w:sz w:val="16"/>
              </w:rPr>
              <w:t>Phase 5 — Campaigns &amp; Measurement</w:t>
            </w:r>
          </w:p>
        </w:tc>
        <w:tc>
          <w:tcPr>
            <w:tcW w:type="dxa" w:w="4320"/>
            <w:vAlign w:val="center"/>
            <w:tcMar>
              <w:top w:w="100" w:type="dxa"/>
              <w:start w:w="120" w:type="dxa"/>
              <w:bottom w:w="100" w:type="dxa"/>
              <w:end w:w="120" w:type="dxa"/>
            </w:tcMar>
          </w:tcPr>
          <w:p>
            <w:pPr>
              <w:spacing w:after="0"/>
            </w:pPr>
            <w:r>
              <w:rPr>
                <w:sz w:val="16"/>
              </w:rPr>
              <w:t>Campaign builder, analytics, revenue allocation.</w:t>
            </w:r>
          </w:p>
        </w:tc>
        <w:tc>
          <w:tcPr>
            <w:tcW w:type="dxa" w:w="4176"/>
            <w:vAlign w:val="center"/>
            <w:tcMar>
              <w:top w:w="100" w:type="dxa"/>
              <w:start w:w="120" w:type="dxa"/>
              <w:bottom w:w="100" w:type="dxa"/>
              <w:end w:w="120" w:type="dxa"/>
            </w:tcMar>
          </w:tcPr>
          <w:p>
            <w:pPr>
              <w:spacing w:after="0"/>
            </w:pPr>
            <w:r>
              <w:rPr>
                <w:sz w:val="16"/>
              </w:rPr>
              <w:t>One campaign produces measurable results and transparent allocations.</w:t>
            </w:r>
          </w:p>
        </w:tc>
      </w:tr>
      <w:tr>
        <w:tc>
          <w:tcPr>
            <w:tcW w:type="dxa" w:w="2088"/>
            <w:vAlign w:val="center"/>
            <w:tcMar>
              <w:top w:w="100" w:type="dxa"/>
              <w:start w:w="120" w:type="dxa"/>
              <w:bottom w:w="100" w:type="dxa"/>
              <w:end w:w="120" w:type="dxa"/>
            </w:tcMar>
            <w:shd w:fill="F4F6FA"/>
          </w:tcPr>
          <w:p>
            <w:pPr>
              <w:spacing w:after="0"/>
            </w:pPr>
            <w:r>
              <w:rPr>
                <w:sz w:val="16"/>
              </w:rPr>
              <w:t>Phase 6 — Pilot Hardening</w:t>
            </w:r>
          </w:p>
        </w:tc>
        <w:tc>
          <w:tcPr>
            <w:tcW w:type="dxa" w:w="4320"/>
            <w:vAlign w:val="center"/>
            <w:tcMar>
              <w:top w:w="100" w:type="dxa"/>
              <w:start w:w="120" w:type="dxa"/>
              <w:bottom w:w="100" w:type="dxa"/>
              <w:end w:w="120" w:type="dxa"/>
            </w:tcMar>
            <w:shd w:fill="F4F6FA"/>
          </w:tcPr>
          <w:p>
            <w:pPr>
              <w:spacing w:after="0"/>
            </w:pPr>
            <w:r>
              <w:rPr>
                <w:sz w:val="16"/>
              </w:rPr>
              <w:t>Exports, activity log, validation, responsive refinement.</w:t>
            </w:r>
          </w:p>
        </w:tc>
        <w:tc>
          <w:tcPr>
            <w:tcW w:type="dxa" w:w="4176"/>
            <w:vAlign w:val="center"/>
            <w:tcMar>
              <w:top w:w="100" w:type="dxa"/>
              <w:start w:w="120" w:type="dxa"/>
              <w:bottom w:w="100" w:type="dxa"/>
              <w:end w:w="120" w:type="dxa"/>
            </w:tcMar>
            <w:shd w:fill="F4F6FA"/>
          </w:tcPr>
          <w:p>
            <w:pPr>
              <w:spacing w:after="0"/>
            </w:pPr>
            <w:r>
              <w:rPr>
                <w:sz w:val="16"/>
              </w:rPr>
              <w:t>Pilot organization can complete core workflow with minimal guidance.</w:t>
            </w:r>
          </w:p>
        </w:tc>
      </w:tr>
    </w:tbl>
    <w:p/>
    <w:p>
      <w:pPr>
        <w:pStyle w:val="Heading1"/>
      </w:pPr>
      <w:r>
        <w:t>13. Acceptance Criteria for the Demonstrable MVP</w:t>
      </w:r>
    </w:p>
    <w:p>
      <w:r>
        <w:t>The MVP is complete when the product can tell a coherent operational story, not merely when every navigation item has a screen.</w:t>
      </w:r>
    </w:p>
    <w:p>
      <w:pPr>
        <w:pStyle w:val="ListBullet"/>
        <w:spacing w:after="40"/>
      </w:pPr>
      <w:r>
        <w:t>A user can create or select an organization and team.</w:t>
      </w:r>
    </w:p>
    <w:p>
      <w:pPr>
        <w:pStyle w:val="ListBullet"/>
        <w:spacing w:after="40"/>
      </w:pPr>
      <w:r>
        <w:t>A user can add an athlete and preview the athlete’s Locker.</w:t>
      </w:r>
    </w:p>
    <w:p>
      <w:pPr>
        <w:pStyle w:val="ListBullet"/>
        <w:spacing w:after="40"/>
      </w:pPr>
      <w:r>
        <w:t>A user can create a media asset and associate at least two athletes.</w:t>
      </w:r>
    </w:p>
    <w:p>
      <w:pPr>
        <w:pStyle w:val="ListBullet"/>
        <w:spacing w:after="40"/>
      </w:pPr>
      <w:r>
        <w:t>A user can add rights terms and see publication blocking for missing requirements.</w:t>
      </w:r>
    </w:p>
    <w:p>
      <w:pPr>
        <w:pStyle w:val="ListBullet"/>
        <w:spacing w:after="40"/>
      </w:pPr>
      <w:r>
        <w:t>An athlete role can approve or decline assigned content.</w:t>
      </w:r>
    </w:p>
    <w:p>
      <w:pPr>
        <w:pStyle w:val="ListBullet"/>
        <w:spacing w:after="40"/>
      </w:pPr>
      <w:r>
        <w:t>An authorized user can publish approved content to one or more Lockers.</w:t>
      </w:r>
    </w:p>
    <w:p>
      <w:pPr>
        <w:pStyle w:val="ListBullet"/>
        <w:spacing w:after="40"/>
      </w:pPr>
      <w:r>
        <w:t>The public Locker shows provenance and the correct media metadata.</w:t>
      </w:r>
    </w:p>
    <w:p>
      <w:pPr>
        <w:pStyle w:val="ListBullet"/>
        <w:spacing w:after="40"/>
      </w:pPr>
      <w:r>
        <w:t>The CRM shows engagement, direct revenue, estimated media value, and revenue allocations.</w:t>
      </w:r>
    </w:p>
    <w:p>
      <w:pPr>
        <w:pStyle w:val="ListBullet"/>
        <w:spacing w:after="40"/>
      </w:pPr>
      <w:r>
        <w:t>The system records an activity history for the workflow.</w:t>
      </w:r>
    </w:p>
    <w:p>
      <w:pPr>
        <w:pStyle w:val="ListBullet"/>
        <w:spacing w:after="40"/>
      </w:pPr>
      <w:r>
        <w:t>Unauthorized roles cannot perform restricted actions.</w:t>
      </w:r>
    </w:p>
    <w:p>
      <w:pPr>
        <w:pStyle w:val="Heading1"/>
      </w:pPr>
      <w:r>
        <w:t>14. Open Product Decisions</w:t>
      </w:r>
    </w:p>
    <w:p>
      <w:r>
        <w:t>These decisions should be resolved before production engineering but do not need to block the interactive MVP.</w:t>
      </w:r>
    </w:p>
    <w:p>
      <w:pPr>
        <w:pStyle w:val="ListBullet"/>
        <w:spacing w:after="40"/>
      </w:pPr>
      <w:r>
        <w:t>Whether organizations or athletes control final publishing authority for each media class.</w:t>
      </w:r>
    </w:p>
    <w:p>
      <w:pPr>
        <w:pStyle w:val="ListBullet"/>
        <w:spacing w:after="40"/>
      </w:pPr>
      <w:r>
        <w:t>Default teammate revenue-sharing formula and whether athletes may opt out.</w:t>
      </w:r>
    </w:p>
    <w:p>
      <w:pPr>
        <w:pStyle w:val="ListBullet"/>
        <w:spacing w:after="40"/>
      </w:pPr>
      <w:r>
        <w:t>Whether rights records apply at asset, collection, season, or contract level.</w:t>
      </w:r>
    </w:p>
    <w:p>
      <w:pPr>
        <w:pStyle w:val="ListBullet"/>
        <w:spacing w:after="40"/>
      </w:pPr>
      <w:r>
        <w:t>How BLTZ defines a qualified view and estimated media value.</w:t>
      </w:r>
    </w:p>
    <w:p>
      <w:pPr>
        <w:pStyle w:val="ListBullet"/>
        <w:spacing w:after="40"/>
      </w:pPr>
      <w:r>
        <w:t>Which source owns authoritative athlete identity and career statistics.</w:t>
      </w:r>
    </w:p>
    <w:p>
      <w:pPr>
        <w:pStyle w:val="ListBullet"/>
        <w:spacing w:after="40"/>
      </w:pPr>
      <w:r>
        <w:t>Whether unclaimed Lockers may be published publicly and under what notice rules.</w:t>
      </w:r>
    </w:p>
    <w:p>
      <w:pPr>
        <w:pStyle w:val="ListBullet"/>
        <w:spacing w:after="40"/>
      </w:pPr>
      <w:r>
        <w:t>Initial target customer: college athletic department, high school network, alumni program, or professional rights partner.</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5"/>
      </w:rPr>
      <w:t>CONFIDENTIAL  •  MVP PLANNING DOCUMENT</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E5EFF"/>
        <w:sz w:val="16"/>
      </w:rPr>
      <w:t>BLTZ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B122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5EF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B12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TZCallout">
    <w:name w:val="BLTZ Callout"/>
    <w:pPr>
      <w:spacing w:before="100" w:after="140"/>
      <w:ind w:left="259" w:right="173"/>
    </w:pPr>
    <w:rPr>
      <w:rFonts w:ascii="Aptos" w:hAnsi="Aptos"/>
      <w:b/>
      <w:color w:val="0B122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