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07" w:rsidRDefault="00277E07" w:rsidP="001F64FB">
      <w:pPr>
        <w:jc w:val="both"/>
        <w:rPr>
          <w:b/>
          <w:sz w:val="28"/>
        </w:rPr>
      </w:pPr>
    </w:p>
    <w:p w:rsidR="00277E07" w:rsidRDefault="00277E07" w:rsidP="001F64FB">
      <w:pPr>
        <w:jc w:val="both"/>
        <w:rPr>
          <w:b/>
          <w:sz w:val="28"/>
        </w:rPr>
      </w:pPr>
    </w:p>
    <w:p w:rsidR="00756CE4" w:rsidRPr="001F64FB" w:rsidRDefault="004F047D" w:rsidP="001F64FB">
      <w:pPr>
        <w:jc w:val="center"/>
        <w:rPr>
          <w:b/>
          <w:sz w:val="32"/>
        </w:rPr>
      </w:pPr>
      <w:r w:rsidRPr="001F64FB">
        <w:rPr>
          <w:b/>
          <w:sz w:val="32"/>
        </w:rPr>
        <w:t>Microbiome</w:t>
      </w:r>
      <w:r w:rsidR="00521326" w:rsidRPr="001F64FB">
        <w:rPr>
          <w:b/>
          <w:sz w:val="32"/>
        </w:rPr>
        <w:t xml:space="preserve"> Processing Pipeline</w:t>
      </w:r>
    </w:p>
    <w:p w:rsidR="00521326" w:rsidRDefault="00521326" w:rsidP="001F64FB">
      <w:pPr>
        <w:jc w:val="center"/>
        <w:rPr>
          <w:b/>
          <w:sz w:val="28"/>
        </w:rPr>
      </w:pPr>
      <w:r>
        <w:rPr>
          <w:b/>
          <w:sz w:val="28"/>
        </w:rPr>
        <w:t>Manual</w:t>
      </w:r>
    </w:p>
    <w:p w:rsidR="00BF4CD6" w:rsidRDefault="00BF4CD6" w:rsidP="001F64FB">
      <w:pPr>
        <w:jc w:val="center"/>
        <w:rPr>
          <w:b/>
          <w:sz w:val="28"/>
        </w:rPr>
      </w:pPr>
    </w:p>
    <w:p w:rsidR="00BF4CD6" w:rsidRDefault="00BF4CD6" w:rsidP="001F64FB">
      <w:pPr>
        <w:jc w:val="center"/>
        <w:rPr>
          <w:b/>
          <w:sz w:val="28"/>
        </w:rPr>
      </w:pPr>
    </w:p>
    <w:p w:rsidR="00BF4CD6" w:rsidRPr="00BF4CD6" w:rsidRDefault="00277E07" w:rsidP="001F64FB">
      <w:pPr>
        <w:jc w:val="center"/>
        <w:rPr>
          <w:b/>
          <w:sz w:val="24"/>
        </w:rPr>
      </w:pPr>
      <w:r w:rsidRPr="00BF4CD6">
        <w:rPr>
          <w:b/>
          <w:sz w:val="24"/>
        </w:rPr>
        <w:t xml:space="preserve">Author: </w:t>
      </w:r>
    </w:p>
    <w:p w:rsidR="00277E07" w:rsidRPr="00BF4CD6" w:rsidRDefault="00DB536F" w:rsidP="001F64FB">
      <w:pPr>
        <w:jc w:val="center"/>
        <w:rPr>
          <w:sz w:val="24"/>
        </w:rPr>
      </w:pPr>
      <w:proofErr w:type="spellStart"/>
      <w:r w:rsidRPr="00BF4CD6">
        <w:rPr>
          <w:sz w:val="24"/>
        </w:rPr>
        <w:t>Niyati</w:t>
      </w:r>
      <w:proofErr w:type="spellEnd"/>
      <w:r w:rsidRPr="00BF4CD6">
        <w:rPr>
          <w:sz w:val="24"/>
        </w:rPr>
        <w:t xml:space="preserve"> </w:t>
      </w:r>
      <w:proofErr w:type="spellStart"/>
      <w:r w:rsidRPr="00BF4CD6">
        <w:rPr>
          <w:sz w:val="24"/>
        </w:rPr>
        <w:t>U</w:t>
      </w:r>
      <w:r w:rsidR="00F12A6F">
        <w:rPr>
          <w:sz w:val="24"/>
        </w:rPr>
        <w:t>p</w:t>
      </w:r>
      <w:r w:rsidRPr="00BF4CD6">
        <w:rPr>
          <w:sz w:val="24"/>
        </w:rPr>
        <w:t>padh</w:t>
      </w:r>
      <w:r w:rsidR="00F12A6F">
        <w:rPr>
          <w:sz w:val="24"/>
        </w:rPr>
        <w:t>y</w:t>
      </w:r>
      <w:r w:rsidRPr="00BF4CD6">
        <w:rPr>
          <w:sz w:val="24"/>
        </w:rPr>
        <w:t>aya</w:t>
      </w:r>
      <w:proofErr w:type="spellEnd"/>
    </w:p>
    <w:p w:rsidR="00DB536F" w:rsidRDefault="00DB536F" w:rsidP="001F64FB">
      <w:pPr>
        <w:jc w:val="center"/>
        <w:rPr>
          <w:b/>
          <w:sz w:val="28"/>
        </w:rPr>
      </w:pPr>
      <w:r w:rsidRPr="00BF4CD6">
        <w:rPr>
          <w:sz w:val="24"/>
        </w:rPr>
        <w:t>Anirban Bhaduri</w:t>
      </w:r>
    </w:p>
    <w:p w:rsidR="00EF1430" w:rsidRDefault="00EF1430" w:rsidP="001F64FB">
      <w:pPr>
        <w:jc w:val="both"/>
        <w:rPr>
          <w:b/>
          <w:sz w:val="28"/>
        </w:rPr>
      </w:pPr>
      <w:r>
        <w:rPr>
          <w:b/>
          <w:sz w:val="28"/>
        </w:rPr>
        <w:br w:type="page"/>
      </w:r>
    </w:p>
    <w:sdt>
      <w:sdtPr>
        <w:rPr>
          <w:rFonts w:asciiTheme="minorHAnsi" w:eastAsiaTheme="minorHAnsi" w:hAnsiTheme="minorHAnsi" w:cstheme="minorBidi"/>
          <w:b w:val="0"/>
          <w:bCs w:val="0"/>
          <w:color w:val="auto"/>
          <w:sz w:val="22"/>
          <w:szCs w:val="22"/>
          <w:lang w:eastAsia="en-US"/>
        </w:rPr>
        <w:id w:val="-1231145485"/>
        <w:docPartObj>
          <w:docPartGallery w:val="Table of Contents"/>
          <w:docPartUnique/>
        </w:docPartObj>
      </w:sdtPr>
      <w:sdtEndPr>
        <w:rPr>
          <w:noProof/>
        </w:rPr>
      </w:sdtEndPr>
      <w:sdtContent>
        <w:p w:rsidR="00EF1430" w:rsidRDefault="00EF1430" w:rsidP="001F64FB">
          <w:pPr>
            <w:pStyle w:val="TOCHeading"/>
            <w:jc w:val="both"/>
          </w:pPr>
          <w:r>
            <w:t>Contents</w:t>
          </w:r>
        </w:p>
        <w:p w:rsidR="00BB035F" w:rsidRDefault="00EF1430" w:rsidP="001F64FB">
          <w:pPr>
            <w:pStyle w:val="TOC1"/>
            <w:tabs>
              <w:tab w:val="left" w:pos="440"/>
              <w:tab w:val="right" w:leader="dot" w:pos="9350"/>
            </w:tabs>
            <w:jc w:val="both"/>
            <w:rPr>
              <w:noProof/>
              <w:lang w:eastAsia="en-US"/>
            </w:rPr>
          </w:pPr>
          <w:r>
            <w:fldChar w:fldCharType="begin"/>
          </w:r>
          <w:r>
            <w:instrText xml:space="preserve"> TOC \o "1-3" \h \z \u </w:instrText>
          </w:r>
          <w:r>
            <w:fldChar w:fldCharType="separate"/>
          </w:r>
          <w:hyperlink w:anchor="_Toc517428403" w:history="1">
            <w:r w:rsidR="00BB035F" w:rsidRPr="00254770">
              <w:rPr>
                <w:rStyle w:val="Hyperlink"/>
                <w:noProof/>
              </w:rPr>
              <w:t>1.</w:t>
            </w:r>
            <w:r w:rsidR="00BB035F">
              <w:rPr>
                <w:noProof/>
                <w:lang w:eastAsia="en-US"/>
              </w:rPr>
              <w:tab/>
            </w:r>
            <w:r w:rsidR="00BB035F" w:rsidRPr="00254770">
              <w:rPr>
                <w:rStyle w:val="Hyperlink"/>
                <w:noProof/>
              </w:rPr>
              <w:t>Background</w:t>
            </w:r>
            <w:r w:rsidR="00BB035F">
              <w:rPr>
                <w:noProof/>
                <w:webHidden/>
              </w:rPr>
              <w:tab/>
            </w:r>
            <w:r w:rsidR="00BB035F">
              <w:rPr>
                <w:noProof/>
                <w:webHidden/>
              </w:rPr>
              <w:fldChar w:fldCharType="begin"/>
            </w:r>
            <w:r w:rsidR="00BB035F">
              <w:rPr>
                <w:noProof/>
                <w:webHidden/>
              </w:rPr>
              <w:instrText xml:space="preserve"> PAGEREF _Toc517428403 \h </w:instrText>
            </w:r>
            <w:r w:rsidR="00BB035F">
              <w:rPr>
                <w:noProof/>
                <w:webHidden/>
              </w:rPr>
            </w:r>
            <w:r w:rsidR="00BB035F">
              <w:rPr>
                <w:noProof/>
                <w:webHidden/>
              </w:rPr>
              <w:fldChar w:fldCharType="separate"/>
            </w:r>
            <w:r w:rsidR="00BB035F">
              <w:rPr>
                <w:noProof/>
                <w:webHidden/>
              </w:rPr>
              <w:t>3</w:t>
            </w:r>
            <w:r w:rsidR="00BB035F">
              <w:rPr>
                <w:noProof/>
                <w:webHidden/>
              </w:rPr>
              <w:fldChar w:fldCharType="end"/>
            </w:r>
          </w:hyperlink>
        </w:p>
        <w:p w:rsidR="00BB035F" w:rsidRDefault="00B73086" w:rsidP="001F64FB">
          <w:pPr>
            <w:pStyle w:val="TOC1"/>
            <w:tabs>
              <w:tab w:val="left" w:pos="440"/>
              <w:tab w:val="right" w:leader="dot" w:pos="9350"/>
            </w:tabs>
            <w:jc w:val="both"/>
            <w:rPr>
              <w:noProof/>
              <w:lang w:eastAsia="en-US"/>
            </w:rPr>
          </w:pPr>
          <w:hyperlink w:anchor="_Toc517428404" w:history="1">
            <w:r w:rsidR="00BB035F" w:rsidRPr="00254770">
              <w:rPr>
                <w:rStyle w:val="Hyperlink"/>
                <w:noProof/>
              </w:rPr>
              <w:t>2.</w:t>
            </w:r>
            <w:r w:rsidR="00BB035F">
              <w:rPr>
                <w:noProof/>
                <w:lang w:eastAsia="en-US"/>
              </w:rPr>
              <w:tab/>
            </w:r>
            <w:r w:rsidR="00BB035F" w:rsidRPr="00254770">
              <w:rPr>
                <w:rStyle w:val="Hyperlink"/>
                <w:noProof/>
              </w:rPr>
              <w:t>Approach</w:t>
            </w:r>
            <w:r w:rsidR="00BB035F">
              <w:rPr>
                <w:noProof/>
                <w:webHidden/>
              </w:rPr>
              <w:tab/>
            </w:r>
            <w:r w:rsidR="00BB035F">
              <w:rPr>
                <w:noProof/>
                <w:webHidden/>
              </w:rPr>
              <w:fldChar w:fldCharType="begin"/>
            </w:r>
            <w:r w:rsidR="00BB035F">
              <w:rPr>
                <w:noProof/>
                <w:webHidden/>
              </w:rPr>
              <w:instrText xml:space="preserve"> PAGEREF _Toc517428404 \h </w:instrText>
            </w:r>
            <w:r w:rsidR="00BB035F">
              <w:rPr>
                <w:noProof/>
                <w:webHidden/>
              </w:rPr>
            </w:r>
            <w:r w:rsidR="00BB035F">
              <w:rPr>
                <w:noProof/>
                <w:webHidden/>
              </w:rPr>
              <w:fldChar w:fldCharType="separate"/>
            </w:r>
            <w:r w:rsidR="00BB035F">
              <w:rPr>
                <w:noProof/>
                <w:webHidden/>
              </w:rPr>
              <w:t>3</w:t>
            </w:r>
            <w:r w:rsidR="00BB035F">
              <w:rPr>
                <w:noProof/>
                <w:webHidden/>
              </w:rPr>
              <w:fldChar w:fldCharType="end"/>
            </w:r>
          </w:hyperlink>
        </w:p>
        <w:p w:rsidR="00BB035F" w:rsidRDefault="00B73086" w:rsidP="001F64FB">
          <w:pPr>
            <w:pStyle w:val="TOC1"/>
            <w:tabs>
              <w:tab w:val="left" w:pos="440"/>
              <w:tab w:val="right" w:leader="dot" w:pos="9350"/>
            </w:tabs>
            <w:jc w:val="both"/>
            <w:rPr>
              <w:noProof/>
              <w:lang w:eastAsia="en-US"/>
            </w:rPr>
          </w:pPr>
          <w:hyperlink w:anchor="_Toc517428405" w:history="1">
            <w:r w:rsidR="00BB035F" w:rsidRPr="00254770">
              <w:rPr>
                <w:rStyle w:val="Hyperlink"/>
                <w:noProof/>
              </w:rPr>
              <w:t>3.</w:t>
            </w:r>
            <w:r w:rsidR="00BB035F">
              <w:rPr>
                <w:noProof/>
                <w:lang w:eastAsia="en-US"/>
              </w:rPr>
              <w:tab/>
            </w:r>
            <w:r w:rsidR="00BB035F" w:rsidRPr="00254770">
              <w:rPr>
                <w:rStyle w:val="Hyperlink"/>
                <w:noProof/>
              </w:rPr>
              <w:t>Requirements and Installation</w:t>
            </w:r>
            <w:r w:rsidR="00BB035F">
              <w:rPr>
                <w:noProof/>
                <w:webHidden/>
              </w:rPr>
              <w:tab/>
            </w:r>
            <w:r w:rsidR="00BB035F">
              <w:rPr>
                <w:noProof/>
                <w:webHidden/>
              </w:rPr>
              <w:fldChar w:fldCharType="begin"/>
            </w:r>
            <w:r w:rsidR="00BB035F">
              <w:rPr>
                <w:noProof/>
                <w:webHidden/>
              </w:rPr>
              <w:instrText xml:space="preserve"> PAGEREF _Toc517428405 \h </w:instrText>
            </w:r>
            <w:r w:rsidR="00BB035F">
              <w:rPr>
                <w:noProof/>
                <w:webHidden/>
              </w:rPr>
            </w:r>
            <w:r w:rsidR="00BB035F">
              <w:rPr>
                <w:noProof/>
                <w:webHidden/>
              </w:rPr>
              <w:fldChar w:fldCharType="separate"/>
            </w:r>
            <w:r w:rsidR="00BB035F">
              <w:rPr>
                <w:noProof/>
                <w:webHidden/>
              </w:rPr>
              <w:t>4</w:t>
            </w:r>
            <w:r w:rsidR="00BB035F">
              <w:rPr>
                <w:noProof/>
                <w:webHidden/>
              </w:rPr>
              <w:fldChar w:fldCharType="end"/>
            </w:r>
          </w:hyperlink>
        </w:p>
        <w:p w:rsidR="00BB035F" w:rsidRDefault="00B73086" w:rsidP="001F64FB">
          <w:pPr>
            <w:pStyle w:val="TOC1"/>
            <w:tabs>
              <w:tab w:val="left" w:pos="440"/>
              <w:tab w:val="right" w:leader="dot" w:pos="9350"/>
            </w:tabs>
            <w:jc w:val="both"/>
            <w:rPr>
              <w:noProof/>
              <w:lang w:eastAsia="en-US"/>
            </w:rPr>
          </w:pPr>
          <w:hyperlink w:anchor="_Toc517428406" w:history="1">
            <w:r w:rsidR="00BB035F" w:rsidRPr="00254770">
              <w:rPr>
                <w:rStyle w:val="Hyperlink"/>
                <w:noProof/>
              </w:rPr>
              <w:t>4.</w:t>
            </w:r>
            <w:r w:rsidR="00BB035F">
              <w:rPr>
                <w:noProof/>
                <w:lang w:eastAsia="en-US"/>
              </w:rPr>
              <w:tab/>
            </w:r>
            <w:r w:rsidR="00BB035F" w:rsidRPr="00254770">
              <w:rPr>
                <w:rStyle w:val="Hyperlink"/>
                <w:noProof/>
              </w:rPr>
              <w:t>Content and Processing</w:t>
            </w:r>
            <w:r w:rsidR="00BB035F">
              <w:rPr>
                <w:noProof/>
                <w:webHidden/>
              </w:rPr>
              <w:tab/>
            </w:r>
            <w:r w:rsidR="00BB035F">
              <w:rPr>
                <w:noProof/>
                <w:webHidden/>
              </w:rPr>
              <w:fldChar w:fldCharType="begin"/>
            </w:r>
            <w:r w:rsidR="00BB035F">
              <w:rPr>
                <w:noProof/>
                <w:webHidden/>
              </w:rPr>
              <w:instrText xml:space="preserve"> PAGEREF _Toc517428406 \h </w:instrText>
            </w:r>
            <w:r w:rsidR="00BB035F">
              <w:rPr>
                <w:noProof/>
                <w:webHidden/>
              </w:rPr>
            </w:r>
            <w:r w:rsidR="00BB035F">
              <w:rPr>
                <w:noProof/>
                <w:webHidden/>
              </w:rPr>
              <w:fldChar w:fldCharType="separate"/>
            </w:r>
            <w:r w:rsidR="00BB035F">
              <w:rPr>
                <w:noProof/>
                <w:webHidden/>
              </w:rPr>
              <w:t>4</w:t>
            </w:r>
            <w:r w:rsidR="00BB035F">
              <w:rPr>
                <w:noProof/>
                <w:webHidden/>
              </w:rPr>
              <w:fldChar w:fldCharType="end"/>
            </w:r>
          </w:hyperlink>
        </w:p>
        <w:p w:rsidR="00BB035F" w:rsidRDefault="00B73086" w:rsidP="001F64FB">
          <w:pPr>
            <w:pStyle w:val="TOC2"/>
            <w:tabs>
              <w:tab w:val="left" w:pos="880"/>
              <w:tab w:val="right" w:leader="dot" w:pos="9350"/>
            </w:tabs>
            <w:jc w:val="both"/>
            <w:rPr>
              <w:noProof/>
              <w:lang w:eastAsia="en-US"/>
            </w:rPr>
          </w:pPr>
          <w:hyperlink w:anchor="_Toc517428407" w:history="1">
            <w:r w:rsidR="00BB035F" w:rsidRPr="00254770">
              <w:rPr>
                <w:rStyle w:val="Hyperlink"/>
                <w:noProof/>
              </w:rPr>
              <w:t>4.1</w:t>
            </w:r>
            <w:r w:rsidR="00BB035F">
              <w:rPr>
                <w:noProof/>
                <w:lang w:eastAsia="en-US"/>
              </w:rPr>
              <w:tab/>
            </w:r>
            <w:r w:rsidR="00BB035F" w:rsidRPr="00254770">
              <w:rPr>
                <w:rStyle w:val="Hyperlink"/>
                <w:noProof/>
              </w:rPr>
              <w:t>Sample data and Execution</w:t>
            </w:r>
            <w:r w:rsidR="00BB035F">
              <w:rPr>
                <w:noProof/>
                <w:webHidden/>
              </w:rPr>
              <w:tab/>
            </w:r>
            <w:r w:rsidR="00BB035F">
              <w:rPr>
                <w:noProof/>
                <w:webHidden/>
              </w:rPr>
              <w:fldChar w:fldCharType="begin"/>
            </w:r>
            <w:r w:rsidR="00BB035F">
              <w:rPr>
                <w:noProof/>
                <w:webHidden/>
              </w:rPr>
              <w:instrText xml:space="preserve"> PAGEREF _Toc517428407 \h </w:instrText>
            </w:r>
            <w:r w:rsidR="00BB035F">
              <w:rPr>
                <w:noProof/>
                <w:webHidden/>
              </w:rPr>
            </w:r>
            <w:r w:rsidR="00BB035F">
              <w:rPr>
                <w:noProof/>
                <w:webHidden/>
              </w:rPr>
              <w:fldChar w:fldCharType="separate"/>
            </w:r>
            <w:r w:rsidR="00BB035F">
              <w:rPr>
                <w:noProof/>
                <w:webHidden/>
              </w:rPr>
              <w:t>5</w:t>
            </w:r>
            <w:r w:rsidR="00BB035F">
              <w:rPr>
                <w:noProof/>
                <w:webHidden/>
              </w:rPr>
              <w:fldChar w:fldCharType="end"/>
            </w:r>
          </w:hyperlink>
        </w:p>
        <w:p w:rsidR="00BB035F" w:rsidRDefault="00B73086" w:rsidP="001F64FB">
          <w:pPr>
            <w:pStyle w:val="TOC1"/>
            <w:tabs>
              <w:tab w:val="left" w:pos="440"/>
              <w:tab w:val="right" w:leader="dot" w:pos="9350"/>
            </w:tabs>
            <w:jc w:val="both"/>
            <w:rPr>
              <w:noProof/>
              <w:lang w:eastAsia="en-US"/>
            </w:rPr>
          </w:pPr>
          <w:hyperlink w:anchor="_Toc517428408" w:history="1">
            <w:r w:rsidR="00BB035F" w:rsidRPr="00254770">
              <w:rPr>
                <w:rStyle w:val="Hyperlink"/>
                <w:noProof/>
              </w:rPr>
              <w:t>5.</w:t>
            </w:r>
            <w:r w:rsidR="00BB035F">
              <w:rPr>
                <w:noProof/>
                <w:lang w:eastAsia="en-US"/>
              </w:rPr>
              <w:tab/>
            </w:r>
            <w:r w:rsidR="00BB035F" w:rsidRPr="00254770">
              <w:rPr>
                <w:rStyle w:val="Hyperlink"/>
                <w:noProof/>
              </w:rPr>
              <w:t>Reference</w:t>
            </w:r>
            <w:r w:rsidR="00BB035F">
              <w:rPr>
                <w:noProof/>
                <w:webHidden/>
              </w:rPr>
              <w:tab/>
            </w:r>
            <w:r w:rsidR="00BB035F">
              <w:rPr>
                <w:noProof/>
                <w:webHidden/>
              </w:rPr>
              <w:fldChar w:fldCharType="begin"/>
            </w:r>
            <w:r w:rsidR="00BB035F">
              <w:rPr>
                <w:noProof/>
                <w:webHidden/>
              </w:rPr>
              <w:instrText xml:space="preserve"> PAGEREF _Toc517428408 \h </w:instrText>
            </w:r>
            <w:r w:rsidR="00BB035F">
              <w:rPr>
                <w:noProof/>
                <w:webHidden/>
              </w:rPr>
            </w:r>
            <w:r w:rsidR="00BB035F">
              <w:rPr>
                <w:noProof/>
                <w:webHidden/>
              </w:rPr>
              <w:fldChar w:fldCharType="separate"/>
            </w:r>
            <w:r w:rsidR="00BB035F">
              <w:rPr>
                <w:noProof/>
                <w:webHidden/>
              </w:rPr>
              <w:t>5</w:t>
            </w:r>
            <w:r w:rsidR="00BB035F">
              <w:rPr>
                <w:noProof/>
                <w:webHidden/>
              </w:rPr>
              <w:fldChar w:fldCharType="end"/>
            </w:r>
          </w:hyperlink>
        </w:p>
        <w:p w:rsidR="00EF1430" w:rsidRDefault="00EF1430" w:rsidP="001F64FB">
          <w:pPr>
            <w:jc w:val="both"/>
          </w:pPr>
          <w:r>
            <w:rPr>
              <w:b/>
              <w:bCs/>
              <w:noProof/>
            </w:rPr>
            <w:fldChar w:fldCharType="end"/>
          </w:r>
        </w:p>
      </w:sdtContent>
    </w:sdt>
    <w:p w:rsidR="00EF1430" w:rsidRDefault="00EF1430" w:rsidP="001F64FB">
      <w:pPr>
        <w:jc w:val="both"/>
        <w:rPr>
          <w:b/>
          <w:sz w:val="28"/>
        </w:rPr>
      </w:pPr>
      <w:r>
        <w:rPr>
          <w:b/>
          <w:sz w:val="28"/>
        </w:rPr>
        <w:br w:type="page"/>
      </w:r>
    </w:p>
    <w:p w:rsidR="00EF1430" w:rsidRDefault="0073796D" w:rsidP="001F64FB">
      <w:pPr>
        <w:pStyle w:val="Heading1"/>
        <w:numPr>
          <w:ilvl w:val="0"/>
          <w:numId w:val="2"/>
        </w:numPr>
        <w:ind w:left="360"/>
        <w:jc w:val="both"/>
      </w:pPr>
      <w:bookmarkStart w:id="0" w:name="_Toc517428403"/>
      <w:r>
        <w:lastRenderedPageBreak/>
        <w:t>Background</w:t>
      </w:r>
      <w:bookmarkEnd w:id="0"/>
    </w:p>
    <w:p w:rsidR="00EF1430" w:rsidRDefault="0073796D" w:rsidP="001F64FB">
      <w:pPr>
        <w:ind w:left="360"/>
        <w:jc w:val="both"/>
      </w:pPr>
      <w:r>
        <w:t xml:space="preserve">The </w:t>
      </w:r>
      <w:r w:rsidR="00AB57CB">
        <w:t>Mic</w:t>
      </w:r>
      <w:r w:rsidR="001A6BC4" w:rsidRPr="001A6BC4">
        <w:t>r</w:t>
      </w:r>
      <w:r w:rsidR="00AB57CB">
        <w:t>o</w:t>
      </w:r>
      <w:r w:rsidR="001A6BC4" w:rsidRPr="001A6BC4">
        <w:t>biome Processing Pipeline</w:t>
      </w:r>
      <w:r w:rsidR="001A6BC4">
        <w:t xml:space="preserve"> aims</w:t>
      </w:r>
      <w:r w:rsidR="00F12A6F">
        <w:t xml:space="preserve"> to process </w:t>
      </w:r>
      <w:r>
        <w:t xml:space="preserve">16S RNA/DNA sequence data from different platforms. </w:t>
      </w:r>
      <w:r w:rsidR="00E16CD3">
        <w:t>It</w:t>
      </w:r>
      <w:r>
        <w:t xml:space="preserve"> considers raw sequenced data and reports out OTU (Operational Taxonomy Units) tables.</w:t>
      </w:r>
      <w:r w:rsidR="00E16CD3">
        <w:t xml:space="preserve"> The pipeline is customizable and </w:t>
      </w:r>
      <w:r w:rsidR="00D8411E">
        <w:t xml:space="preserve">options to </w:t>
      </w:r>
      <w:r w:rsidR="002B7600">
        <w:t xml:space="preserve">use </w:t>
      </w:r>
      <w:r w:rsidR="00D8411E">
        <w:t xml:space="preserve">two different </w:t>
      </w:r>
      <w:r w:rsidR="002B7600">
        <w:t xml:space="preserve">processing </w:t>
      </w:r>
      <w:r w:rsidR="00D8411E">
        <w:t xml:space="preserve">methods are provided. Further mapping of the input sequence onto various 16S </w:t>
      </w:r>
      <w:proofErr w:type="spellStart"/>
      <w:r w:rsidR="002B7600">
        <w:t>r</w:t>
      </w:r>
      <w:r w:rsidR="00D8411E">
        <w:t>RNA</w:t>
      </w:r>
      <w:proofErr w:type="spellEnd"/>
      <w:r w:rsidR="00D8411E">
        <w:t xml:space="preserve"> databases is possible.</w:t>
      </w:r>
      <w:r w:rsidR="00730514">
        <w:t xml:space="preserve"> It should be noted that considering potential liability owing to license requirements, end users are requested to obtain the individual methods and databases.</w:t>
      </w:r>
    </w:p>
    <w:p w:rsidR="00EF1430" w:rsidRDefault="00E16CD3" w:rsidP="001F64FB">
      <w:pPr>
        <w:pStyle w:val="Heading1"/>
        <w:numPr>
          <w:ilvl w:val="0"/>
          <w:numId w:val="2"/>
        </w:numPr>
        <w:ind w:left="360"/>
        <w:jc w:val="both"/>
      </w:pPr>
      <w:bookmarkStart w:id="1" w:name="_Toc517428404"/>
      <w:r>
        <w:t>Approach</w:t>
      </w:r>
      <w:bookmarkEnd w:id="1"/>
    </w:p>
    <w:p w:rsidR="00730514" w:rsidRPr="00144482" w:rsidRDefault="002B7600" w:rsidP="001F64FB">
      <w:pPr>
        <w:ind w:left="360"/>
        <w:jc w:val="both"/>
      </w:pPr>
      <w:r>
        <w:t>The pipeline</w:t>
      </w:r>
      <w:r w:rsidR="007429A6">
        <w:t xml:space="preserve"> processes input files based on the below flow diagram.</w:t>
      </w:r>
      <w:r w:rsidR="002B4C6C">
        <w:t xml:space="preserve"> Based on selection, the user could process </w:t>
      </w:r>
      <w:r>
        <w:t xml:space="preserve">an input </w:t>
      </w:r>
      <w:r w:rsidR="002B4C6C">
        <w:t xml:space="preserve">file </w:t>
      </w:r>
      <w:r>
        <w:t xml:space="preserve">using the </w:t>
      </w:r>
      <w:r w:rsidR="002B4C6C">
        <w:t xml:space="preserve">QIIME </w:t>
      </w:r>
      <w:r w:rsidR="00730514">
        <w:fldChar w:fldCharType="begin" w:fldLock="1"/>
      </w:r>
      <w:r w:rsidR="00730514">
        <w:instrText>ADDIN CSL_CITATION {"citationItems":[{"id":"ITEM-1","itemData":{"DOI":"10.1038/nmeth.f.303","ISSN":"1548-7105","PMID":"20383131","author":[{"dropping-particle":"","family":"Caporaso","given":"J Gregory","non-dropping-particle":"","parse-names":false,"suffix":""},{"dropping-particle":"","family":"Kuczynski","given":"Justin","non-dropping-particle":"","parse-names":false,"suffix":""},{"dropping-particle":"","family":"Stombaugh","given":"Jesse","non-dropping-particle":"","parse-names":false,"suffix":""},{"dropping-particle":"","family":"Bittinger","given":"Kyle","non-dropping-particle":"","parse-names":false,"suffix":""},{"dropping-particle":"","family":"Bushman","given":"Frederic D","non-dropping-particle":"","parse-names":false,"suffix":""},{"dropping-particle":"","family":"Costello","given":"Elizabeth K","non-dropping-particle":"","parse-names":false,"suffix":""},{"dropping-particle":"","family":"Fierer","given":"Noah","non-dropping-particle":"","parse-names":false,"suffix":""},{"dropping-particle":"","family":"Peña","given":"Antonio Gonzalez","non-dropping-particle":"","parse-names":false,"suffix":""},{"dropping-particle":"","family":"Goodrich","given":"Julia K","non-dropping-particle":"","parse-names":false,"suffix":""},{"dropping-particle":"","family":"Gordon","given":"Jeffrey I","non-dropping-particle":"","parse-names":false,"suffix":""},{"dropping-particle":"","family":"Huttley","given":"Gavin A","non-dropping-particle":"","parse-names":false,"suffix":""},{"dropping-particle":"","family":"Kelley","given":"Scott T","non-dropping-particle":"","parse-names":false,"suffix":""},{"dropping-particle":"","family":"Knights","given":"Dan","non-dropping-particle":"","parse-names":false,"suffix":""},{"dropping-particle":"","family":"Koenig","given":"Jeremy E","non-dropping-particle":"","parse-names":false,"suffix":""},{"dropping-particle":"","family":"Ley","given":"Ruth E","non-dropping-particle":"","parse-names":false,"suffix":""},{"dropping-particle":"","family":"Lozupone","given":"Catherine A","non-dropping-particle":"","parse-names":false,"suffix":""},{"dropping-particle":"","family":"McDonald","given":"Daniel","non-dropping-particle":"","parse-names":false,"suffix":""},{"dropping-particle":"","family":"Muegge","given":"Brian D","non-dropping-particle":"","parse-names":false,"suffix":""},{"dropping-particle":"","family":"Pirrung","given":"Meg","non-dropping-particle":"","parse-names":false,"suffix":""},{"dropping-particle":"","family":"Reeder","given":"Jens","non-dropping-particle":"","parse-names":false,"suffix":""},{"dropping-particle":"","family":"Sevinsky","given":"Joel R","non-dropping-particle":"","parse-names":false,"suffix":""},{"dropping-particle":"","family":"Turnbaugh","given":"Peter J","non-dropping-particle":"","parse-names":false,"suffix":""},{"dropping-particle":"","family":"Walters","given":"William A","non-dropping-particle":"","parse-names":false,"suffix":""},{"dropping-particle":"","family":"Widmann","given":"Jeremy","non-dropping-particle":"","parse-names":false,"suffix":""},{"dropping-particle":"","family":"Yatsunenko","given":"Tanya","non-dropping-particle":"","parse-names":false,"suffix":""},{"dropping-particle":"","family":"Zaneveld","given":"Jesse","non-dropping-particle":"","parse-names":false,"suffix":""},{"dropping-particle":"","family":"Knight","given":"Rob","non-dropping-particle":"","parse-names":false,"suffix":""}],"container-title":"Nature methods","id":"ITEM-1","issue":"5","issued":{"date-parts":[["2010","5"]]},"page":"335-6","title":"QIIME allows analysis of high-throughput community sequencing data.","type":"article-journal","volume":"7"},"uris":["http://www.mendeley.com/documents/?uuid=fa1eaca1-5508-40ac-a665-782fb16fa343"]}],"mendeley":{"formattedCitation":"&lt;sup&gt;1&lt;/sup&gt;","plainTextFormattedCitation":"1","previouslyFormattedCitation":"&lt;sup&gt;1&lt;/sup&gt;"},"properties":{"noteIndex":0},"schema":"https://github.com/citation-style-language/schema/raw/master/csl-citation.json"}</w:instrText>
      </w:r>
      <w:r w:rsidR="00730514">
        <w:fldChar w:fldCharType="separate"/>
      </w:r>
      <w:r w:rsidR="00730514" w:rsidRPr="00730514">
        <w:rPr>
          <w:noProof/>
          <w:vertAlign w:val="superscript"/>
        </w:rPr>
        <w:t>1</w:t>
      </w:r>
      <w:r w:rsidR="00730514">
        <w:fldChar w:fldCharType="end"/>
      </w:r>
      <w:r w:rsidR="002B4C6C">
        <w:t xml:space="preserve">or </w:t>
      </w:r>
      <w:r>
        <w:t xml:space="preserve">the </w:t>
      </w:r>
      <w:r w:rsidR="002B4C6C">
        <w:t>MOTHUR</w:t>
      </w:r>
      <w:r w:rsidR="00730514">
        <w:fldChar w:fldCharType="begin" w:fldLock="1"/>
      </w:r>
      <w:r w:rsidR="00730514">
        <w:instrText>ADDIN CSL_CITATION {"citationItems":[{"id":"ITEM-1","itemData":{"DOI":"10.1128/AEM.01541-09","ISSN":"1098-5336","PMID":"19801464","abstract":"mothur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microbiology","id":"ITEM-1","issue":"23","issued":{"date-parts":[["2009","12"]]},"page":"7537-41","title":"Introducing mothur: open-source, platform-independent, community-supported software for describing and comparing microbial communities.","type":"article-journal","volume":"75"},"uris":["http://www.mendeley.com/documents/?uuid=fb32747b-0366-4f3e-b2e7-77517c7ea7cc"]}],"mendeley":{"formattedCitation":"&lt;sup&gt;2&lt;/sup&gt;","plainTextFormattedCitation":"2","previouslyFormattedCitation":"&lt;sup&gt;2&lt;/sup&gt;"},"properties":{"noteIndex":0},"schema":"https://github.com/citation-style-language/schema/raw/master/csl-citation.json"}</w:instrText>
      </w:r>
      <w:r w:rsidR="00730514">
        <w:fldChar w:fldCharType="separate"/>
      </w:r>
      <w:r w:rsidR="00730514" w:rsidRPr="00730514">
        <w:rPr>
          <w:noProof/>
          <w:vertAlign w:val="superscript"/>
        </w:rPr>
        <w:t>2</w:t>
      </w:r>
      <w:r w:rsidR="00730514">
        <w:fldChar w:fldCharType="end"/>
      </w:r>
      <w:r w:rsidR="00730514">
        <w:rPr>
          <w:rStyle w:val="EndnoteReference"/>
        </w:rPr>
        <w:endnoteReference w:id="1"/>
      </w:r>
      <w:r w:rsidR="002B4C6C">
        <w:t xml:space="preserve"> approach</w:t>
      </w:r>
      <w:r w:rsidR="00730514">
        <w:t>. Choice of the database for assignin</w:t>
      </w:r>
      <w:r w:rsidR="004F047D">
        <w:t xml:space="preserve">g taxonomy rests with the user. </w:t>
      </w:r>
    </w:p>
    <w:p w:rsidR="007429A6" w:rsidRDefault="00E1638F" w:rsidP="001F64FB">
      <w:pPr>
        <w:ind w:left="360"/>
        <w:jc w:val="both"/>
        <w:rPr>
          <w:rFonts w:cstheme="minorHAnsi"/>
          <w:color w:val="24292E"/>
        </w:rPr>
      </w:pPr>
      <w:r w:rsidRPr="00754C90">
        <w:rPr>
          <w:noProof/>
        </w:rPr>
        <mc:AlternateContent>
          <mc:Choice Requires="wps">
            <w:drawing>
              <wp:anchor distT="0" distB="0" distL="114300" distR="114300" simplePos="0" relativeHeight="251659264" behindDoc="0" locked="0" layoutInCell="1" allowOverlap="1" wp14:anchorId="573B9A3D" wp14:editId="2499007C">
                <wp:simplePos x="0" y="0"/>
                <wp:positionH relativeFrom="column">
                  <wp:posOffset>1712422</wp:posOffset>
                </wp:positionH>
                <wp:positionV relativeFrom="paragraph">
                  <wp:posOffset>272646</wp:posOffset>
                </wp:positionV>
                <wp:extent cx="2035810" cy="423949"/>
                <wp:effectExtent l="0" t="0" r="21590" b="14605"/>
                <wp:wrapNone/>
                <wp:docPr id="2" name="Rounded Rectangle 2"/>
                <wp:cNvGraphicFramePr/>
                <a:graphic xmlns:a="http://schemas.openxmlformats.org/drawingml/2006/main">
                  <a:graphicData uri="http://schemas.microsoft.com/office/word/2010/wordprocessingShape">
                    <wps:wsp>
                      <wps:cNvSpPr/>
                      <wps:spPr>
                        <a:xfrm>
                          <a:off x="0" y="0"/>
                          <a:ext cx="2035810" cy="42394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A6F" w:rsidRPr="00754C90" w:rsidRDefault="00F12A6F" w:rsidP="00754C90">
                            <w:pPr>
                              <w:rPr>
                                <w:color w:val="000000" w:themeColor="text1"/>
                                <w:sz w:val="24"/>
                                <w:szCs w:val="24"/>
                              </w:rPr>
                            </w:pPr>
                            <w:r>
                              <w:rPr>
                                <w:color w:val="000000" w:themeColor="text1"/>
                                <w:sz w:val="24"/>
                                <w:szCs w:val="24"/>
                              </w:rPr>
                              <w:t xml:space="preserve">     </w:t>
                            </w:r>
                            <w:r w:rsidRPr="00752C7A">
                              <w:rPr>
                                <w:b/>
                                <w:color w:val="000000" w:themeColor="text1"/>
                                <w:sz w:val="24"/>
                                <w:szCs w:val="24"/>
                              </w:rPr>
                              <w:t>Input Data</w:t>
                            </w:r>
                            <w:r w:rsidRPr="00754C90">
                              <w:rPr>
                                <w:color w:val="000000" w:themeColor="text1"/>
                                <w:sz w:val="24"/>
                                <w:szCs w:val="24"/>
                              </w:rPr>
                              <w:t xml:space="preserve"> (FASTQ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134.85pt;margin-top:21.45pt;width:160.3pt;height: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" fillcolor="white [3212]" strokecolor="#243f60 [1604]" strokeweight="2pt">
                <v:textbox>
                  <w:txbxContent>
                    <w:p w:rsidR="00754C90" w:rsidRPr="00754C90" w:rsidRDefault="00752C7A" w:rsidP="00754C90">
                      <w:pPr>
                        <w:rPr>
                          <w:color w:val="000000" w:themeColor="text1"/>
                          <w:sz w:val="24"/>
                          <w:szCs w:val="24"/>
                        </w:rPr>
                      </w:pPr>
                      <w:r>
                        <w:rPr>
                          <w:color w:val="000000" w:themeColor="text1"/>
                          <w:sz w:val="24"/>
                          <w:szCs w:val="24"/>
                        </w:rPr>
                        <w:t xml:space="preserve">     </w:t>
                      </w:r>
                      <w:r w:rsidR="00754C90" w:rsidRPr="00752C7A">
                        <w:rPr>
                          <w:b/>
                          <w:color w:val="000000" w:themeColor="text1"/>
                          <w:sz w:val="24"/>
                          <w:szCs w:val="24"/>
                        </w:rPr>
                        <w:t>Input Data</w:t>
                      </w:r>
                      <w:r w:rsidR="00754C90" w:rsidRPr="00754C90">
                        <w:rPr>
                          <w:color w:val="000000" w:themeColor="text1"/>
                          <w:sz w:val="24"/>
                          <w:szCs w:val="24"/>
                        </w:rPr>
                        <w:t xml:space="preserve"> (FASTQ files)</w:t>
                      </w:r>
                    </w:p>
                  </w:txbxContent>
                </v:textbox>
              </v:roundrect>
            </w:pict>
          </mc:Fallback>
        </mc:AlternateContent>
      </w:r>
      <w:r w:rsidR="00730514" w:rsidRPr="005A63E1">
        <w:rPr>
          <w:rFonts w:cstheme="minorHAnsi"/>
          <w:b/>
          <w:color w:val="24292E"/>
        </w:rPr>
        <w:t xml:space="preserve">Figure1: </w:t>
      </w:r>
      <w:r w:rsidR="00235D13">
        <w:rPr>
          <w:rFonts w:cstheme="minorHAnsi"/>
          <w:color w:val="24292E"/>
        </w:rPr>
        <w:t>Overview of processing pipeline</w:t>
      </w:r>
    </w:p>
    <w:p w:rsidR="00754C90" w:rsidRDefault="00754C90" w:rsidP="001F64FB">
      <w:pPr>
        <w:ind w:left="360"/>
        <w:jc w:val="both"/>
      </w:pPr>
    </w:p>
    <w:p w:rsidR="001A6BC4" w:rsidRDefault="00B26AE0" w:rsidP="001F64FB">
      <w:pPr>
        <w:jc w:val="both"/>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5408" behindDoc="0" locked="0" layoutInCell="1" allowOverlap="1" wp14:anchorId="1CB46539" wp14:editId="4F9BFCD2">
                <wp:simplePos x="0" y="0"/>
                <wp:positionH relativeFrom="column">
                  <wp:posOffset>2766695</wp:posOffset>
                </wp:positionH>
                <wp:positionV relativeFrom="paragraph">
                  <wp:posOffset>2593975</wp:posOffset>
                </wp:positionV>
                <wp:extent cx="157480" cy="431800"/>
                <wp:effectExtent l="19050" t="0" r="13970" b="44450"/>
                <wp:wrapNone/>
                <wp:docPr id="8" name="Down Arrow 8"/>
                <wp:cNvGraphicFramePr/>
                <a:graphic xmlns:a="http://schemas.openxmlformats.org/drawingml/2006/main">
                  <a:graphicData uri="http://schemas.microsoft.com/office/word/2010/wordprocessingShape">
                    <wps:wsp>
                      <wps:cNvSpPr/>
                      <wps:spPr>
                        <a:xfrm>
                          <a:off x="0" y="0"/>
                          <a:ext cx="157480" cy="43180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17.85pt;margin-top:204.25pt;width:12.4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" adj="17661" fillcolor="white [3212]"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2E3ED836" wp14:editId="3BF953E1">
                <wp:simplePos x="0" y="0"/>
                <wp:positionH relativeFrom="column">
                  <wp:posOffset>2684780</wp:posOffset>
                </wp:positionH>
                <wp:positionV relativeFrom="paragraph">
                  <wp:posOffset>1172845</wp:posOffset>
                </wp:positionV>
                <wp:extent cx="173355" cy="440055"/>
                <wp:effectExtent l="19050" t="0" r="17145" b="36195"/>
                <wp:wrapNone/>
                <wp:docPr id="6" name="Down Arrow 6"/>
                <wp:cNvGraphicFramePr/>
                <a:graphic xmlns:a="http://schemas.openxmlformats.org/drawingml/2006/main">
                  <a:graphicData uri="http://schemas.microsoft.com/office/word/2010/wordprocessingShape">
                    <wps:wsp>
                      <wps:cNvSpPr/>
                      <wps:spPr>
                        <a:xfrm>
                          <a:off x="0" y="0"/>
                          <a:ext cx="173355" cy="4400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 o:spid="_x0000_s1026" type="#_x0000_t67" style="position:absolute;margin-left:211.4pt;margin-top:92.35pt;width:13.65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" adj="17345" fillcolor="white [3212]"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6713A46B" wp14:editId="77979A39">
                <wp:simplePos x="0" y="0"/>
                <wp:positionH relativeFrom="column">
                  <wp:posOffset>2626360</wp:posOffset>
                </wp:positionH>
                <wp:positionV relativeFrom="paragraph">
                  <wp:posOffset>50800</wp:posOffset>
                </wp:positionV>
                <wp:extent cx="140335" cy="349250"/>
                <wp:effectExtent l="19050" t="0" r="31115" b="31750"/>
                <wp:wrapNone/>
                <wp:docPr id="5" name="Down Arrow 5"/>
                <wp:cNvGraphicFramePr/>
                <a:graphic xmlns:a="http://schemas.openxmlformats.org/drawingml/2006/main">
                  <a:graphicData uri="http://schemas.microsoft.com/office/word/2010/wordprocessingShape">
                    <wps:wsp>
                      <wps:cNvSpPr/>
                      <wps:spPr>
                        <a:xfrm>
                          <a:off x="0" y="0"/>
                          <a:ext cx="140335" cy="349250"/>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 o:spid="_x0000_s1026" type="#_x0000_t67" style="position:absolute;margin-left:206.8pt;margin-top:4pt;width:11.05pt;height: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" adj="17260" fillcolor="white [3212]" strokecolor="#243f60 [1604]" strokeweight="2pt"/>
            </w:pict>
          </mc:Fallback>
        </mc:AlternateContent>
      </w:r>
      <w:r w:rsidRPr="00E1638F">
        <w:rPr>
          <w:noProof/>
          <w:color w:val="000000" w:themeColor="text1"/>
        </w:rPr>
        <mc:AlternateContent>
          <mc:Choice Requires="wps">
            <w:drawing>
              <wp:anchor distT="0" distB="0" distL="114300" distR="114300" simplePos="0" relativeHeight="251666432" behindDoc="0" locked="0" layoutInCell="1" allowOverlap="1" wp14:anchorId="0E04787E" wp14:editId="5C8F2FF2">
                <wp:simplePos x="0" y="0"/>
                <wp:positionH relativeFrom="column">
                  <wp:posOffset>889461</wp:posOffset>
                </wp:positionH>
                <wp:positionV relativeFrom="paragraph">
                  <wp:posOffset>3026756</wp:posOffset>
                </wp:positionV>
                <wp:extent cx="4056611" cy="797560"/>
                <wp:effectExtent l="0" t="0" r="20320" b="21590"/>
                <wp:wrapNone/>
                <wp:docPr id="9" name="Rounded Rectangle 9"/>
                <wp:cNvGraphicFramePr/>
                <a:graphic xmlns:a="http://schemas.openxmlformats.org/drawingml/2006/main">
                  <a:graphicData uri="http://schemas.microsoft.com/office/word/2010/wordprocessingShape">
                    <wps:wsp>
                      <wps:cNvSpPr/>
                      <wps:spPr>
                        <a:xfrm>
                          <a:off x="0" y="0"/>
                          <a:ext cx="4056611" cy="7975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A6F" w:rsidRPr="00B26AE0" w:rsidRDefault="00F12A6F" w:rsidP="00E1638F">
                            <w:pPr>
                              <w:rPr>
                                <w:color w:val="000000" w:themeColor="text1"/>
                                <w:sz w:val="24"/>
                                <w:szCs w:val="24"/>
                              </w:rPr>
                            </w:pPr>
                            <w:r w:rsidRPr="00B26AE0">
                              <w:rPr>
                                <w:b/>
                                <w:color w:val="000000" w:themeColor="text1"/>
                                <w:sz w:val="24"/>
                                <w:szCs w:val="24"/>
                              </w:rPr>
                              <w:t>Clustering / OTU Picking</w:t>
                            </w:r>
                            <w:r w:rsidRPr="00B26AE0">
                              <w:rPr>
                                <w:color w:val="000000" w:themeColor="text1"/>
                                <w:sz w:val="24"/>
                                <w:szCs w:val="24"/>
                              </w:rPr>
                              <w:t xml:space="preserve"> (OTU assignment commands which are clusters of different algorithm are responsible for forming these</w:t>
                            </w:r>
                            <w:r>
                              <w:rPr>
                                <w:color w:val="000000" w:themeColor="text1"/>
                                <w:sz w:val="24"/>
                                <w:szCs w:val="24"/>
                              </w:rPr>
                              <w:t xml:space="preserve"> taxonomic</w:t>
                            </w:r>
                            <w:r w:rsidRPr="00B26AE0">
                              <w:rPr>
                                <w:color w:val="000000" w:themeColor="text1"/>
                                <w:sz w:val="24"/>
                                <w:szCs w:val="24"/>
                              </w:rPr>
                              <w:t xml:space="preserve">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7" style="position:absolute;left:0;text-align:left;margin-left:70.05pt;margin-top:238.35pt;width:319.4pt;height:6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" fillcolor="white [3212]" strokecolor="#243f60 [1604]" strokeweight="2pt">
                <v:textbox>
                  <w:txbxContent>
                    <w:p w:rsidR="00E1638F" w:rsidRPr="00B26AE0" w:rsidRDefault="00E1638F" w:rsidP="00E1638F">
                      <w:pPr>
                        <w:rPr>
                          <w:color w:val="000000" w:themeColor="text1"/>
                          <w:sz w:val="24"/>
                          <w:szCs w:val="24"/>
                        </w:rPr>
                      </w:pPr>
                      <w:r w:rsidRPr="00B26AE0">
                        <w:rPr>
                          <w:b/>
                          <w:color w:val="000000" w:themeColor="text1"/>
                          <w:sz w:val="24"/>
                          <w:szCs w:val="24"/>
                        </w:rPr>
                        <w:t>Clustering</w:t>
                      </w:r>
                      <w:r w:rsidR="00B26AE0" w:rsidRPr="00B26AE0">
                        <w:rPr>
                          <w:b/>
                          <w:color w:val="000000" w:themeColor="text1"/>
                          <w:sz w:val="24"/>
                          <w:szCs w:val="24"/>
                        </w:rPr>
                        <w:t xml:space="preserve"> </w:t>
                      </w:r>
                      <w:r w:rsidRPr="00B26AE0">
                        <w:rPr>
                          <w:b/>
                          <w:color w:val="000000" w:themeColor="text1"/>
                          <w:sz w:val="24"/>
                          <w:szCs w:val="24"/>
                        </w:rPr>
                        <w:t>/ OTU Picking</w:t>
                      </w:r>
                      <w:r w:rsidRPr="00B26AE0">
                        <w:rPr>
                          <w:color w:val="000000" w:themeColor="text1"/>
                          <w:sz w:val="24"/>
                          <w:szCs w:val="24"/>
                        </w:rPr>
                        <w:t xml:space="preserve"> (</w:t>
                      </w:r>
                      <w:r w:rsidR="00B26AE0" w:rsidRPr="00B26AE0">
                        <w:rPr>
                          <w:color w:val="000000" w:themeColor="text1"/>
                          <w:sz w:val="24"/>
                          <w:szCs w:val="24"/>
                        </w:rPr>
                        <w:t>OTU assignment commands which are clusters of different algorithm are responsible for forming these</w:t>
                      </w:r>
                      <w:r w:rsidR="004B7B1E">
                        <w:rPr>
                          <w:color w:val="000000" w:themeColor="text1"/>
                          <w:sz w:val="24"/>
                          <w:szCs w:val="24"/>
                        </w:rPr>
                        <w:t xml:space="preserve"> taxonomic</w:t>
                      </w:r>
                      <w:r w:rsidR="00B26AE0" w:rsidRPr="00B26AE0">
                        <w:rPr>
                          <w:color w:val="000000" w:themeColor="text1"/>
                          <w:sz w:val="24"/>
                          <w:szCs w:val="24"/>
                        </w:rPr>
                        <w:t xml:space="preserve"> tables) </w:t>
                      </w:r>
                    </w:p>
                  </w:txbxContent>
                </v:textbox>
              </v:roundrect>
            </w:pict>
          </mc:Fallback>
        </mc:AlternateContent>
      </w:r>
      <w:r w:rsidR="00E1638F">
        <w:rPr>
          <w:noProof/>
        </w:rPr>
        <mc:AlternateContent>
          <mc:Choice Requires="wps">
            <w:drawing>
              <wp:anchor distT="0" distB="0" distL="114300" distR="114300" simplePos="0" relativeHeight="251661312" behindDoc="0" locked="0" layoutInCell="1" allowOverlap="1" wp14:anchorId="7C2F3D43" wp14:editId="3B4E3830">
                <wp:simplePos x="0" y="0"/>
                <wp:positionH relativeFrom="column">
                  <wp:posOffset>99753</wp:posOffset>
                </wp:positionH>
                <wp:positionV relativeFrom="paragraph">
                  <wp:posOffset>399935</wp:posOffset>
                </wp:positionV>
                <wp:extent cx="5494251" cy="772795"/>
                <wp:effectExtent l="0" t="0" r="11430" b="27305"/>
                <wp:wrapNone/>
                <wp:docPr id="4" name="Rounded Rectangle 4"/>
                <wp:cNvGraphicFramePr/>
                <a:graphic xmlns:a="http://schemas.openxmlformats.org/drawingml/2006/main">
                  <a:graphicData uri="http://schemas.microsoft.com/office/word/2010/wordprocessingShape">
                    <wps:wsp>
                      <wps:cNvSpPr/>
                      <wps:spPr>
                        <a:xfrm>
                          <a:off x="0" y="0"/>
                          <a:ext cx="5494251" cy="7727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A6F" w:rsidRPr="00E1638F" w:rsidRDefault="00F12A6F" w:rsidP="001474AF">
                            <w:pPr>
                              <w:jc w:val="center"/>
                              <w:rPr>
                                <w:sz w:val="24"/>
                                <w:szCs w:val="24"/>
                              </w:rPr>
                            </w:pPr>
                            <w:r w:rsidRPr="00E1638F">
                              <w:rPr>
                                <w:b/>
                                <w:color w:val="000000" w:themeColor="text1"/>
                                <w:sz w:val="24"/>
                                <w:szCs w:val="24"/>
                              </w:rPr>
                              <w:t>Filtering</w:t>
                            </w:r>
                            <w:r>
                              <w:rPr>
                                <w:color w:val="000000" w:themeColor="text1"/>
                                <w:sz w:val="24"/>
                                <w:szCs w:val="24"/>
                              </w:rPr>
                              <w:t xml:space="preserve"> (In QIIME; </w:t>
                            </w:r>
                            <w:proofErr w:type="spellStart"/>
                            <w:r>
                              <w:rPr>
                                <w:color w:val="000000" w:themeColor="text1"/>
                                <w:sz w:val="24"/>
                                <w:szCs w:val="24"/>
                              </w:rPr>
                              <w:t>P</w:t>
                            </w:r>
                            <w:r w:rsidRPr="00E1638F">
                              <w:rPr>
                                <w:color w:val="000000" w:themeColor="text1"/>
                                <w:sz w:val="24"/>
                                <w:szCs w:val="24"/>
                              </w:rPr>
                              <w:t>hred</w:t>
                            </w:r>
                            <w:proofErr w:type="spellEnd"/>
                            <w:r w:rsidRPr="00E1638F">
                              <w:rPr>
                                <w:color w:val="000000" w:themeColor="text1"/>
                                <w:sz w:val="24"/>
                                <w:szCs w:val="24"/>
                              </w:rPr>
                              <w:t xml:space="preserve"> score is used and in MOTHUR; FASTQ files are split first and duplicate sequences are removed through </w:t>
                            </w:r>
                            <w:r>
                              <w:rPr>
                                <w:color w:val="000000" w:themeColor="text1"/>
                                <w:sz w:val="24"/>
                                <w:szCs w:val="24"/>
                              </w:rPr>
                              <w:t>unique command</w:t>
                            </w:r>
                            <w:r w:rsidRPr="00E1638F">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left:0;text-align:left;margin-left:7.85pt;margin-top:31.5pt;width:432.6pt;height:6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" fillcolor="white [3212]" strokecolor="#243f60 [1604]" strokeweight="2pt">
                <v:textbox>
                  <w:txbxContent>
                    <w:p w:rsidR="001474AF" w:rsidRPr="00E1638F" w:rsidRDefault="001474AF" w:rsidP="001474AF">
                      <w:pPr>
                        <w:jc w:val="center"/>
                        <w:rPr>
                          <w:sz w:val="24"/>
                          <w:szCs w:val="24"/>
                        </w:rPr>
                      </w:pPr>
                      <w:r w:rsidRPr="00E1638F">
                        <w:rPr>
                          <w:b/>
                          <w:color w:val="000000" w:themeColor="text1"/>
                          <w:sz w:val="24"/>
                          <w:szCs w:val="24"/>
                        </w:rPr>
                        <w:t>Filtering</w:t>
                      </w:r>
                      <w:r w:rsidR="002B7600">
                        <w:rPr>
                          <w:color w:val="000000" w:themeColor="text1"/>
                          <w:sz w:val="24"/>
                          <w:szCs w:val="24"/>
                        </w:rPr>
                        <w:t xml:space="preserve"> (In QIIME; </w:t>
                      </w:r>
                      <w:proofErr w:type="spellStart"/>
                      <w:r w:rsidR="002B7600">
                        <w:rPr>
                          <w:color w:val="000000" w:themeColor="text1"/>
                          <w:sz w:val="24"/>
                          <w:szCs w:val="24"/>
                        </w:rPr>
                        <w:t>P</w:t>
                      </w:r>
                      <w:r w:rsidRPr="00E1638F">
                        <w:rPr>
                          <w:color w:val="000000" w:themeColor="text1"/>
                          <w:sz w:val="24"/>
                          <w:szCs w:val="24"/>
                        </w:rPr>
                        <w:t>hred</w:t>
                      </w:r>
                      <w:proofErr w:type="spellEnd"/>
                      <w:r w:rsidRPr="00E1638F">
                        <w:rPr>
                          <w:color w:val="000000" w:themeColor="text1"/>
                          <w:sz w:val="24"/>
                          <w:szCs w:val="24"/>
                        </w:rPr>
                        <w:t xml:space="preserve"> score is used and in MOTHUR</w:t>
                      </w:r>
                      <w:r w:rsidR="00752C7A" w:rsidRPr="00E1638F">
                        <w:rPr>
                          <w:color w:val="000000" w:themeColor="text1"/>
                          <w:sz w:val="24"/>
                          <w:szCs w:val="24"/>
                        </w:rPr>
                        <w:t>;</w:t>
                      </w:r>
                      <w:r w:rsidRPr="00E1638F">
                        <w:rPr>
                          <w:color w:val="000000" w:themeColor="text1"/>
                          <w:sz w:val="24"/>
                          <w:szCs w:val="24"/>
                        </w:rPr>
                        <w:t xml:space="preserve"> </w:t>
                      </w:r>
                      <w:r w:rsidR="00752C7A" w:rsidRPr="00E1638F">
                        <w:rPr>
                          <w:color w:val="000000" w:themeColor="text1"/>
                          <w:sz w:val="24"/>
                          <w:szCs w:val="24"/>
                        </w:rPr>
                        <w:t xml:space="preserve">FASTQ files are split first and duplicate sequences are removed through </w:t>
                      </w:r>
                      <w:r w:rsidR="00B26AE0">
                        <w:rPr>
                          <w:color w:val="000000" w:themeColor="text1"/>
                          <w:sz w:val="24"/>
                          <w:szCs w:val="24"/>
                        </w:rPr>
                        <w:t>unique command</w:t>
                      </w:r>
                      <w:r w:rsidR="00752C7A" w:rsidRPr="00E1638F">
                        <w:rPr>
                          <w:color w:val="000000" w:themeColor="text1"/>
                          <w:sz w:val="24"/>
                          <w:szCs w:val="24"/>
                        </w:rPr>
                        <w:t>)</w:t>
                      </w:r>
                    </w:p>
                  </w:txbxContent>
                </v:textbox>
              </v:roundrect>
            </w:pict>
          </mc:Fallback>
        </mc:AlternateContent>
      </w:r>
      <w:r w:rsidR="00E1638F" w:rsidRPr="00752C7A">
        <w:rPr>
          <w:noProof/>
          <w:color w:val="000000" w:themeColor="text1"/>
        </w:rPr>
        <mc:AlternateContent>
          <mc:Choice Requires="wps">
            <w:drawing>
              <wp:anchor distT="0" distB="0" distL="114300" distR="114300" simplePos="0" relativeHeight="251664384" behindDoc="0" locked="0" layoutInCell="1" allowOverlap="1" wp14:anchorId="42CE653A" wp14:editId="030E291B">
                <wp:simplePos x="0" y="0"/>
                <wp:positionH relativeFrom="column">
                  <wp:posOffset>182880</wp:posOffset>
                </wp:positionH>
                <wp:positionV relativeFrom="paragraph">
                  <wp:posOffset>1613593</wp:posOffset>
                </wp:positionV>
                <wp:extent cx="5494193" cy="980902"/>
                <wp:effectExtent l="0" t="0" r="11430" b="10160"/>
                <wp:wrapNone/>
                <wp:docPr id="7" name="Rounded Rectangle 7"/>
                <wp:cNvGraphicFramePr/>
                <a:graphic xmlns:a="http://schemas.openxmlformats.org/drawingml/2006/main">
                  <a:graphicData uri="http://schemas.microsoft.com/office/word/2010/wordprocessingShape">
                    <wps:wsp>
                      <wps:cNvSpPr/>
                      <wps:spPr>
                        <a:xfrm>
                          <a:off x="0" y="0"/>
                          <a:ext cx="5494193" cy="98090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2A6F" w:rsidRPr="00E1638F" w:rsidRDefault="00F12A6F" w:rsidP="00752C7A">
                            <w:pPr>
                              <w:jc w:val="center"/>
                              <w:rPr>
                                <w:rFonts w:cstheme="minorHAnsi"/>
                                <w:color w:val="000000" w:themeColor="text1"/>
                                <w:sz w:val="24"/>
                                <w:szCs w:val="24"/>
                              </w:rPr>
                            </w:pPr>
                            <w:r w:rsidRPr="00E1638F">
                              <w:rPr>
                                <w:rFonts w:cstheme="minorHAnsi"/>
                                <w:b/>
                                <w:color w:val="000000" w:themeColor="text1"/>
                                <w:sz w:val="24"/>
                                <w:szCs w:val="24"/>
                              </w:rPr>
                              <w:t>Processing</w:t>
                            </w:r>
                            <w:r w:rsidRPr="00E1638F">
                              <w:rPr>
                                <w:rFonts w:cstheme="minorHAnsi"/>
                                <w:color w:val="000000" w:themeColor="text1"/>
                                <w:sz w:val="24"/>
                                <w:szCs w:val="24"/>
                              </w:rPr>
                              <w:t xml:space="preserve"> (MOTHUR has 145 commands, m</w:t>
                            </w:r>
                            <w:r w:rsidRPr="00E1638F">
                              <w:rPr>
                                <w:rFonts w:cstheme="minorHAnsi"/>
                                <w:color w:val="000000"/>
                                <w:sz w:val="24"/>
                                <w:szCs w:val="24"/>
                                <w:shd w:val="clear" w:color="auto" w:fill="FFFFFF"/>
                              </w:rPr>
                              <w:t>any of these commands implement various methods to do the same thing while generating the same output formats</w:t>
                            </w:r>
                            <w:r>
                              <w:rPr>
                                <w:rFonts w:cstheme="minorHAnsi"/>
                                <w:color w:val="000000"/>
                                <w:sz w:val="24"/>
                                <w:szCs w:val="24"/>
                                <w:shd w:val="clear" w:color="auto" w:fill="FFFFFF"/>
                              </w:rPr>
                              <w:t xml:space="preserve"> and </w:t>
                            </w:r>
                            <w:r w:rsidRPr="00E1638F">
                              <w:rPr>
                                <w:rFonts w:cstheme="minorHAnsi"/>
                                <w:color w:val="000000"/>
                                <w:sz w:val="24"/>
                                <w:szCs w:val="24"/>
                                <w:shd w:val="clear" w:color="auto" w:fill="FFFFFF"/>
                              </w:rPr>
                              <w:t>in QIIME</w:t>
                            </w:r>
                            <w:r>
                              <w:rPr>
                                <w:rFonts w:cstheme="minorHAnsi"/>
                                <w:color w:val="000000"/>
                                <w:sz w:val="24"/>
                                <w:szCs w:val="24"/>
                                <w:shd w:val="clear" w:color="auto" w:fill="FFFFFF"/>
                              </w:rPr>
                              <w:t xml:space="preserve">, various python </w:t>
                            </w:r>
                            <w:r w:rsidRPr="00E1638F">
                              <w:rPr>
                                <w:rFonts w:cstheme="minorHAnsi"/>
                                <w:color w:val="000000"/>
                                <w:sz w:val="24"/>
                                <w:szCs w:val="24"/>
                                <w:shd w:val="clear" w:color="auto" w:fill="FFFFFF"/>
                              </w:rPr>
                              <w:t>functions are used for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left:0;text-align:left;margin-left:14.4pt;margin-top:127.05pt;width:432.6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" fillcolor="white [3212]" strokecolor="#243f60 [1604]" strokeweight="2pt">
                <v:textbox>
                  <w:txbxContent>
                    <w:p w:rsidR="00752C7A" w:rsidRPr="00E1638F" w:rsidRDefault="00E1638F" w:rsidP="00752C7A">
                      <w:pPr>
                        <w:jc w:val="center"/>
                        <w:rPr>
                          <w:rFonts w:cstheme="minorHAnsi"/>
                          <w:color w:val="000000" w:themeColor="text1"/>
                          <w:sz w:val="24"/>
                          <w:szCs w:val="24"/>
                        </w:rPr>
                      </w:pPr>
                      <w:r w:rsidRPr="00E1638F">
                        <w:rPr>
                          <w:rFonts w:cstheme="minorHAnsi"/>
                          <w:b/>
                          <w:color w:val="000000" w:themeColor="text1"/>
                          <w:sz w:val="24"/>
                          <w:szCs w:val="24"/>
                        </w:rPr>
                        <w:t>Processing</w:t>
                      </w:r>
                      <w:r w:rsidRPr="00E1638F">
                        <w:rPr>
                          <w:rFonts w:cstheme="minorHAnsi"/>
                          <w:color w:val="000000" w:themeColor="text1"/>
                          <w:sz w:val="24"/>
                          <w:szCs w:val="24"/>
                        </w:rPr>
                        <w:t xml:space="preserve"> (MOTHUR has 145 commands, m</w:t>
                      </w:r>
                      <w:r w:rsidRPr="00E1638F">
                        <w:rPr>
                          <w:rFonts w:cstheme="minorHAnsi"/>
                          <w:color w:val="000000"/>
                          <w:sz w:val="24"/>
                          <w:szCs w:val="24"/>
                          <w:shd w:val="clear" w:color="auto" w:fill="FFFFFF"/>
                        </w:rPr>
                        <w:t>any of these commands implement various methods to do the same thing while generating the same output formats</w:t>
                      </w:r>
                      <w:r>
                        <w:rPr>
                          <w:rFonts w:cstheme="minorHAnsi"/>
                          <w:color w:val="000000"/>
                          <w:sz w:val="24"/>
                          <w:szCs w:val="24"/>
                          <w:shd w:val="clear" w:color="auto" w:fill="FFFFFF"/>
                        </w:rPr>
                        <w:t xml:space="preserve"> and </w:t>
                      </w:r>
                      <w:r w:rsidRPr="00E1638F">
                        <w:rPr>
                          <w:rFonts w:cstheme="minorHAnsi"/>
                          <w:color w:val="000000"/>
                          <w:sz w:val="24"/>
                          <w:szCs w:val="24"/>
                          <w:shd w:val="clear" w:color="auto" w:fill="FFFFFF"/>
                        </w:rPr>
                        <w:t>in QIIME</w:t>
                      </w:r>
                      <w:r>
                        <w:rPr>
                          <w:rFonts w:cstheme="minorHAnsi"/>
                          <w:color w:val="000000"/>
                          <w:sz w:val="24"/>
                          <w:szCs w:val="24"/>
                          <w:shd w:val="clear" w:color="auto" w:fill="FFFFFF"/>
                        </w:rPr>
                        <w:t xml:space="preserve">, various </w:t>
                      </w:r>
                      <w:r w:rsidR="00B26AE0">
                        <w:rPr>
                          <w:rFonts w:cstheme="minorHAnsi"/>
                          <w:color w:val="000000"/>
                          <w:sz w:val="24"/>
                          <w:szCs w:val="24"/>
                          <w:shd w:val="clear" w:color="auto" w:fill="FFFFFF"/>
                        </w:rPr>
                        <w:t xml:space="preserve">python </w:t>
                      </w:r>
                      <w:r w:rsidRPr="00E1638F">
                        <w:rPr>
                          <w:rFonts w:cstheme="minorHAnsi"/>
                          <w:color w:val="000000"/>
                          <w:sz w:val="24"/>
                          <w:szCs w:val="24"/>
                          <w:shd w:val="clear" w:color="auto" w:fill="FFFFFF"/>
                        </w:rPr>
                        <w:t>functions are used for processing)</w:t>
                      </w:r>
                    </w:p>
                  </w:txbxContent>
                </v:textbox>
              </v:roundrect>
            </w:pict>
          </mc:Fallback>
        </mc:AlternateContent>
      </w:r>
      <w:r w:rsidR="001A6BC4">
        <w:br w:type="page"/>
      </w:r>
    </w:p>
    <w:p w:rsidR="00EF1430" w:rsidRDefault="00EF1430" w:rsidP="001F64FB">
      <w:pPr>
        <w:pStyle w:val="Heading1"/>
        <w:numPr>
          <w:ilvl w:val="0"/>
          <w:numId w:val="2"/>
        </w:numPr>
        <w:ind w:left="360"/>
        <w:jc w:val="both"/>
      </w:pPr>
      <w:bookmarkStart w:id="2" w:name="_Toc517428405"/>
      <w:r>
        <w:lastRenderedPageBreak/>
        <w:t>Requirements and Installation</w:t>
      </w:r>
      <w:bookmarkEnd w:id="2"/>
    </w:p>
    <w:p w:rsidR="00EF1430" w:rsidRDefault="00F12A6F" w:rsidP="001F64FB">
      <w:pPr>
        <w:ind w:left="360"/>
        <w:jc w:val="both"/>
      </w:pPr>
      <w:r>
        <w:t>The</w:t>
      </w:r>
      <w:r w:rsidR="002B7600">
        <w:t xml:space="preserve"> Mic</w:t>
      </w:r>
      <w:r w:rsidR="002B7600" w:rsidRPr="001A6BC4">
        <w:t>r</w:t>
      </w:r>
      <w:r w:rsidR="002B7600">
        <w:t>o</w:t>
      </w:r>
      <w:r w:rsidR="002B7600" w:rsidRPr="001A6BC4">
        <w:t>biome Processing Pipeline</w:t>
      </w:r>
      <w:r w:rsidR="002B7600">
        <w:t xml:space="preserve"> is </w:t>
      </w:r>
      <w:r w:rsidR="001A6BC4">
        <w:t xml:space="preserve">developed in python and </w:t>
      </w:r>
      <w:r w:rsidR="002B7600">
        <w:t>is</w:t>
      </w:r>
      <w:r w:rsidR="001A6BC4">
        <w:t xml:space="preserve"> executable across all operating systems having a python interpreter. The pipeline was tested on </w:t>
      </w:r>
      <w:r w:rsidR="00B73086">
        <w:t>Intel(R) Core i3 processor</w:t>
      </w:r>
      <w:r w:rsidR="00B73086">
        <w:t xml:space="preserve"> supported on </w:t>
      </w:r>
      <w:r w:rsidR="00EA0598">
        <w:t>Microsoft Windows 10 desktop</w:t>
      </w:r>
      <w:r w:rsidR="0011502A">
        <w:t>,</w:t>
      </w:r>
      <w:r w:rsidR="00B73086" w:rsidRPr="00B73086">
        <w:t xml:space="preserve"> </w:t>
      </w:r>
      <w:r w:rsidR="00B73086">
        <w:t>64-bit</w:t>
      </w:r>
      <w:r w:rsidR="00B73086">
        <w:t xml:space="preserve"> platform</w:t>
      </w:r>
      <w:r w:rsidR="002B7600">
        <w:t xml:space="preserve">. </w:t>
      </w:r>
      <w:r w:rsidR="001A6BC4">
        <w:t>It is advised that the user considers a configuration equivalent or higher.</w:t>
      </w:r>
      <w:bookmarkStart w:id="3" w:name="_GoBack"/>
      <w:bookmarkEnd w:id="3"/>
    </w:p>
    <w:p w:rsidR="001A6BC4" w:rsidRDefault="001A6BC4" w:rsidP="001F64FB">
      <w:pPr>
        <w:ind w:left="360"/>
        <w:jc w:val="both"/>
      </w:pPr>
      <w:r>
        <w:t xml:space="preserve">The </w:t>
      </w:r>
      <w:r w:rsidR="003B22CC">
        <w:t>Mic</w:t>
      </w:r>
      <w:r w:rsidRPr="001A6BC4">
        <w:t>r</w:t>
      </w:r>
      <w:r w:rsidR="003B22CC">
        <w:t>o</w:t>
      </w:r>
      <w:r w:rsidRPr="001A6BC4">
        <w:t>biome Processing Pipeline</w:t>
      </w:r>
      <w:r>
        <w:t xml:space="preserve"> provides an option of processing the data using 2 different methods, QIIME and MOTHUR.</w:t>
      </w:r>
      <w:r w:rsidR="001B7C89">
        <w:t xml:space="preserve"> To plug them into the pipeline, user is required to download the methods from the below mentioned cites and comply with the license requirements.</w:t>
      </w:r>
    </w:p>
    <w:p w:rsidR="00154A89" w:rsidRDefault="00154A89" w:rsidP="001F64FB">
      <w:pPr>
        <w:ind w:left="360"/>
        <w:jc w:val="both"/>
      </w:pPr>
      <w:r>
        <w:t>-</w:t>
      </w:r>
      <w:r>
        <w:tab/>
      </w:r>
      <w:proofErr w:type="gramStart"/>
      <w:r>
        <w:t>MOTHUR :</w:t>
      </w:r>
      <w:proofErr w:type="gramEnd"/>
      <w:r>
        <w:t xml:space="preserve">  </w:t>
      </w:r>
      <w:hyperlink r:id="rId9" w:history="1">
        <w:r w:rsidRPr="00235D13">
          <w:rPr>
            <w:rStyle w:val="Hyperlink"/>
          </w:rPr>
          <w:t>http://www.mothur.org</w:t>
        </w:r>
      </w:hyperlink>
    </w:p>
    <w:p w:rsidR="001B7C89" w:rsidRDefault="00154A89" w:rsidP="001F64FB">
      <w:pPr>
        <w:ind w:left="360"/>
        <w:jc w:val="both"/>
      </w:pPr>
      <w:r>
        <w:t>-</w:t>
      </w:r>
      <w:r>
        <w:tab/>
      </w:r>
      <w:proofErr w:type="gramStart"/>
      <w:r>
        <w:t>QIIME  :</w:t>
      </w:r>
      <w:proofErr w:type="gramEnd"/>
      <w:r>
        <w:t xml:space="preserve">  </w:t>
      </w:r>
      <w:hyperlink r:id="rId10" w:history="1">
        <w:r w:rsidR="00710E54" w:rsidRPr="009F76D4">
          <w:rPr>
            <w:rStyle w:val="Hyperlink"/>
          </w:rPr>
          <w:t>http://qiime.org/install/install.html</w:t>
        </w:r>
      </w:hyperlink>
    </w:p>
    <w:p w:rsidR="00710E54" w:rsidRDefault="00710E54" w:rsidP="001F64FB">
      <w:pPr>
        <w:ind w:left="360"/>
        <w:jc w:val="both"/>
      </w:pPr>
      <w:r>
        <w:t xml:space="preserve">The different methods could be functionalized by referencing the respective installation instructions. </w:t>
      </w:r>
      <w:r w:rsidR="00496E2B">
        <w:t>Please make sure that the software’s are properly installed and configured in the system</w:t>
      </w:r>
      <w:r>
        <w:t>.</w:t>
      </w:r>
    </w:p>
    <w:p w:rsidR="00710E54" w:rsidRDefault="00710E54" w:rsidP="001F64FB">
      <w:pPr>
        <w:ind w:left="360"/>
        <w:jc w:val="both"/>
      </w:pPr>
      <w:r>
        <w:t>The Microbiome Processing Pipeline is enabled to process multiple reference sequence databases. Standard database</w:t>
      </w:r>
      <w:r w:rsidR="003A1136">
        <w:t>s</w:t>
      </w:r>
      <w:r>
        <w:t xml:space="preserve"> such as </w:t>
      </w:r>
      <w:r>
        <w:rPr>
          <w:rFonts w:eastAsia="Times New Roman" w:cstheme="minorHAnsi"/>
          <w:color w:val="24292E"/>
        </w:rPr>
        <w:t>Greengenes</w:t>
      </w:r>
      <w:r w:rsidR="003A1136">
        <w:rPr>
          <w:rFonts w:eastAsia="Times New Roman" w:cstheme="minorHAnsi"/>
          <w:color w:val="24292E"/>
        </w:rPr>
        <w:fldChar w:fldCharType="begin" w:fldLock="1"/>
      </w:r>
      <w:r w:rsidR="003A1136">
        <w:rPr>
          <w:rFonts w:eastAsia="Times New Roman" w:cstheme="minorHAnsi"/>
          <w:color w:val="24292E"/>
        </w:rPr>
        <w:instrText>ADDIN CSL_CITATION {"citationItems":[{"id":"ITEM-1","itemData":{"ISSN":"2000-2297","PMID":"26426306","abstract":"BACKGROUND Usefulness of next-generation sequencing (NGS) in assessing bacteria associated with oral squamous cell carcinoma (OSCC) has been undermined by inability to classify reads to the species level. OBJECTIVE The purpose of this study was to develop a robust algorithm for species-level classification of NGS reads from oral samples and to pilot test it for profiling bacteria within OSCC tissues. METHODS Bacterial 16S V1-V3 libraries were prepared from three OSCC DNA samples and sequenced using 454's FLX chemistry. High-quality, well-aligned, and non-chimeric reads ≥350 bp were classified using a novel, multi-stage algorithm that involves matching reads to reference sequences in revised versions of the Human Oral Microbiome Database (HOMD), HOMD extended (HOMDEXT), and Greengene Gold (GGG) at alignment coverage and percentage identity ≥98%, followed by assignment to species level based on top hit reference sequences. Priority was given to hits in HOMD, then HOMDEXT and finally GGG. Unmatched reads were subject to operational taxonomic unit analysis. RESULTS Nearly, 92.8% of the reads were matched to updated-HOMD 13.2, 1.83% to trusted-HOMDEXT, and 1.36% to modified-GGG. Of all matched reads, 99.6% were classified to species level. A total of 228 species-level taxa were identified, representing 11 phyla; the most abundant were Proteobacteria, Bacteroidetes, Firmicutes, Fusobacteria, and Actinobacteria. Thirty-five species-level taxa were detected in all samples. On average, Prevotella oris, Neisseria flava, Neisseria flavescens/subflava, Fusobacterium nucleatum ss polymorphum, Aggregatibacter segnis, Streptococcus mitis, and Fusobacterium periodontium were the most abundant. Bacteroides fragilis, a species rarely isolated from the oral cavity, was detected in two samples. CONCLUSION This multi-stage algorithm maximizes the fraction of reads classified to the species level while ensuring reliable classification by giving priority to the human, oral reference set. Applying the algorithm to OSCC samples revealed high diversity. In addition to oral taxa, a number of human, non-oral taxa were also identified, some of which are rarely detected in the oral cavity.","author":[{"dropping-particle":"","family":"Al-Hebshi","given":"Nezar Noor","non-dropping-particle":"","parse-names":false,"suffix":""},{"dropping-particle":"","family":"Nasher","given":"Akram Thabet","non-dropping-particle":"","parse-names":false,"suffix":""},{"dropping-particle":"","family":"Idris","given":"Ali Mohamed","non-dropping-particle":"","parse-names":false,"suffix":""},{"dropping-particle":"","family":"Chen","given":"Tsute","non-dropping-particle":"","parse-names":false,"suffix":""}],"container-title":"Journal of oral microbiology","id":"ITEM-1","issued":{"date-parts":[["2015"]]},"page":"28934","title":"Robust species taxonomy assignment algorithm for 16S rRNA NGS reads: application to oral carcinoma samples.","type":"article-journal","volume":"7"},"uris":["http://www.mendeley.com/documents/?uuid=e4a6ec8d-2ea2-441f-be94-396f34074150"]}],"mendeley":{"formattedCitation":"&lt;sup&gt;3&lt;/sup&gt;","plainTextFormattedCitation":"3","previouslyFormattedCitation":"&lt;sup&gt;3&lt;/sup&gt;"},"properties":{"noteIndex":0},"schema":"https://github.com/citation-style-language/schema/raw/master/csl-citation.json"}</w:instrText>
      </w:r>
      <w:r w:rsidR="003A1136">
        <w:rPr>
          <w:rFonts w:eastAsia="Times New Roman" w:cstheme="minorHAnsi"/>
          <w:color w:val="24292E"/>
        </w:rPr>
        <w:fldChar w:fldCharType="separate"/>
      </w:r>
      <w:r w:rsidR="003A1136" w:rsidRPr="003A1136">
        <w:rPr>
          <w:rFonts w:eastAsia="Times New Roman" w:cstheme="minorHAnsi"/>
          <w:noProof/>
          <w:color w:val="24292E"/>
          <w:vertAlign w:val="superscript"/>
        </w:rPr>
        <w:t>3</w:t>
      </w:r>
      <w:r w:rsidR="003A1136">
        <w:rPr>
          <w:rFonts w:eastAsia="Times New Roman" w:cstheme="minorHAnsi"/>
          <w:color w:val="24292E"/>
        </w:rPr>
        <w:fldChar w:fldCharType="end"/>
      </w:r>
      <w:r>
        <w:rPr>
          <w:rFonts w:eastAsia="Times New Roman" w:cstheme="minorHAnsi"/>
          <w:color w:val="24292E"/>
        </w:rPr>
        <w:t>, Silva</w:t>
      </w:r>
      <w:r w:rsidR="003A1136">
        <w:rPr>
          <w:rFonts w:eastAsia="Times New Roman" w:cstheme="minorHAnsi"/>
          <w:color w:val="24292E"/>
        </w:rPr>
        <w:fldChar w:fldCharType="begin" w:fldLock="1"/>
      </w:r>
      <w:r w:rsidR="003A1136">
        <w:rPr>
          <w:rFonts w:eastAsia="Times New Roman" w:cstheme="minorHAnsi"/>
          <w:color w:val="24292E"/>
        </w:rPr>
        <w:instrText>ADDIN CSL_CITATION {"citationItems":[{"id":"ITEM-1","itemData":{"ISSN":"1462-2920","PMID":"25229098","abstract":"Quantitative PCR (qPCR) and community fingerprinting methods, such as the Terminal Restriction Fragment Length Polymorphism (T-RFLP) analysis,are well-suited techniques for the examination of microbial community structures. The use of phylum and class-specific primers can provide enhanced sensitivity and phylogenetic resolution as compared with domain-specific primers. To date, several phylum- and class-specific primers targeting the 16S ribosomal RNA gene have been published. However, many of these primers exhibit low discriminatory power against non-target bacteria in PCR. In this study, we evaluated the precision of certain published primers in silico and via specific PCR. We designed new qPCR and T-RFLP primer pairs (for the classes Alphaproteobacteria and Betaproteobacteria, and the phyla Bacteroidetes, Firmicutes and Actinobacteria) by combining the sequence information from a public dataset (SILVA SSU Ref 102 NR) with manual primer design. We evaluated the primer pairs via PCR using isolates of the above-mentioned groups and via screening of clone libraries from environmental soil samples and human faecal samples. As observed through theoretical and practical evaluation, the primers developed in this study showed a higher level of precision than previously published primers, thus allowing a deeper insight into microbial community dynamics.","author":[{"dropping-particle":"","family":"Pfeiffer","given":"Stefan","non-dropping-particle":"","parse-names":false,"suffix":""},{"dropping-particle":"","family":"Pastar","given":"Milica","non-dropping-particle":"","parse-names":false,"suffix":""},{"dropping-particle":"","family":"Mitter","given":"Birgit","non-dropping-particle":"","parse-names":false,"suffix":""},{"dropping-particle":"","family":"Lippert","given":"Kathrin","non-dropping-particle":"","parse-names":false,"suffix":""},{"dropping-particle":"","family":"Hackl","given":"Evelyn","non-dropping-particle":"","parse-names":false,"suffix":""},{"dropping-particle":"","family":"Lojan","given":"Paul","non-dropping-particle":"","parse-names":false,"suffix":""},{"dropping-particle":"","family":"Oswald","given":"Andreas","non-dropping-particle":"","parse-names":false,"suffix":""},{"dropping-particle":"","family":"Sessitsch","given":"Angela","non-dropping-particle":"","parse-names":false,"suffix":""}],"container-title":"Environmental microbiology","id":"ITEM-1","issue":"8","issued":{"date-parts":[["2014","8"]]},"page":"2389-407","title":"Improved group-specific primers based on the full SILVA 16S rRNA gene reference database.","type":"article-journal","volume":"16"},"uris":["http://www.mendeley.com/documents/?uuid=be36ccb5-1409-4882-80e1-f40c29416587"]}],"mendeley":{"formattedCitation":"&lt;sup&gt;4&lt;/sup&gt;","plainTextFormattedCitation":"4","previouslyFormattedCitation":"&lt;sup&gt;4&lt;/sup&gt;"},"properties":{"noteIndex":0},"schema":"https://github.com/citation-style-language/schema/raw/master/csl-citation.json"}</w:instrText>
      </w:r>
      <w:r w:rsidR="003A1136">
        <w:rPr>
          <w:rFonts w:eastAsia="Times New Roman" w:cstheme="minorHAnsi"/>
          <w:color w:val="24292E"/>
        </w:rPr>
        <w:fldChar w:fldCharType="separate"/>
      </w:r>
      <w:r w:rsidR="003A1136" w:rsidRPr="003A1136">
        <w:rPr>
          <w:rFonts w:eastAsia="Times New Roman" w:cstheme="minorHAnsi"/>
          <w:noProof/>
          <w:color w:val="24292E"/>
          <w:vertAlign w:val="superscript"/>
        </w:rPr>
        <w:t>4</w:t>
      </w:r>
      <w:r w:rsidR="003A1136">
        <w:rPr>
          <w:rFonts w:eastAsia="Times New Roman" w:cstheme="minorHAnsi"/>
          <w:color w:val="24292E"/>
        </w:rPr>
        <w:fldChar w:fldCharType="end"/>
      </w:r>
      <w:r>
        <w:rPr>
          <w:rFonts w:eastAsia="Times New Roman" w:cstheme="minorHAnsi"/>
          <w:color w:val="24292E"/>
        </w:rPr>
        <w:t xml:space="preserve"> and</w:t>
      </w:r>
      <w:r w:rsidR="003A1136">
        <w:rPr>
          <w:rFonts w:eastAsia="Times New Roman" w:cstheme="minorHAnsi"/>
          <w:color w:val="24292E"/>
        </w:rPr>
        <w:t xml:space="preserve"> RDP</w:t>
      </w:r>
      <w:r w:rsidR="003A1136">
        <w:rPr>
          <w:rFonts w:eastAsia="Times New Roman" w:cstheme="minorHAnsi"/>
          <w:color w:val="24292E"/>
        </w:rPr>
        <w:fldChar w:fldCharType="begin" w:fldLock="1"/>
      </w:r>
      <w:r w:rsidR="003A1136">
        <w:rPr>
          <w:rFonts w:eastAsia="Times New Roman" w:cstheme="minorHAnsi"/>
          <w:color w:val="24292E"/>
        </w:rPr>
        <w:instrText>ADDIN CSL_CITATION {"citationItems":[{"id":"ITEM-1","itemData":{"DOI":"10.7150/jgen.9204","ISSN":"1839-9940","PMID":"25653722","abstract":"Here we report a benchmark of the effect of bootstrap cut-off values of the RDP Classifier tool in terms of data retention along the different taxonomic ranks by using Illumina reads. Results provide guidelines for planning sequencing depths and selection of bootstrap cut-off in taxonomic assignments.","author":[{"dropping-particle":"","family":"Bacci","given":"Giovanni","non-dropping-particle":"","parse-names":false,"suffix":""},{"dropping-particle":"","family":"Bani","given":"Alessia","non-dropping-particle":"","parse-names":false,"suffix":""},{"dropping-particle":"","family":"Bazzicalupo","given":"Marco","non-dropping-particle":"","parse-names":false,"suffix":""},{"dropping-particle":"","family":"Ceccherini","given":"Maria Teresa","non-dropping-particle":"","parse-names":false,"suffix":""},{"dropping-particle":"","family":"Galardini","given":"Marco","non-dropping-particle":"","parse-names":false,"suffix":""},{"dropping-particle":"","family":"Nannipieri","given":"Paolo","non-dropping-particle":"","parse-names":false,"suffix":""},{"dropping-particle":"","family":"Pietramellara","given":"Giacomo","non-dropping-particle":"","parse-names":false,"suffix":""},{"dropping-particle":"","family":"Mengoni","given":"Alessio","non-dropping-particle":"","parse-names":false,"suffix":""}],"container-title":"Journal of genomics","id":"ITEM-1","issued":{"date-parts":[["2015"]]},"page":"36-9","title":"Evaluation of the Performances of Ribosomal Database Project (RDP) Classifier for Taxonomic Assignment of 16S rRNA Metabarcoding Sequences Generated from Illumina-Solexa NGS.","type":"article-journal","volume":"3"},"uris":["http://www.mendeley.com/documents/?uuid=84d4110d-0f23-43ea-b8f9-6625ca80052e"]}],"mendeley":{"formattedCitation":"&lt;sup&gt;5&lt;/sup&gt;","plainTextFormattedCitation":"5"},"properties":{"noteIndex":0},"schema":"https://github.com/citation-style-language/schema/raw/master/csl-citation.json"}</w:instrText>
      </w:r>
      <w:r w:rsidR="003A1136">
        <w:rPr>
          <w:rFonts w:eastAsia="Times New Roman" w:cstheme="minorHAnsi"/>
          <w:color w:val="24292E"/>
        </w:rPr>
        <w:fldChar w:fldCharType="separate"/>
      </w:r>
      <w:r w:rsidR="003A1136" w:rsidRPr="003A1136">
        <w:rPr>
          <w:rFonts w:eastAsia="Times New Roman" w:cstheme="minorHAnsi"/>
          <w:noProof/>
          <w:color w:val="24292E"/>
          <w:vertAlign w:val="superscript"/>
        </w:rPr>
        <w:t>5</w:t>
      </w:r>
      <w:r w:rsidR="003A1136">
        <w:rPr>
          <w:rFonts w:eastAsia="Times New Roman" w:cstheme="minorHAnsi"/>
          <w:color w:val="24292E"/>
        </w:rPr>
        <w:fldChar w:fldCharType="end"/>
      </w:r>
      <w:r w:rsidR="003A1136">
        <w:rPr>
          <w:rFonts w:eastAsia="Times New Roman" w:cstheme="minorHAnsi"/>
          <w:color w:val="24292E"/>
        </w:rPr>
        <w:t xml:space="preserve"> d</w:t>
      </w:r>
      <w:r>
        <w:rPr>
          <w:rFonts w:eastAsia="Times New Roman" w:cstheme="minorHAnsi"/>
          <w:color w:val="24292E"/>
        </w:rPr>
        <w:t>atabase</w:t>
      </w:r>
      <w:r w:rsidR="003A1136">
        <w:rPr>
          <w:rFonts w:eastAsia="Times New Roman" w:cstheme="minorHAnsi"/>
          <w:color w:val="24292E"/>
        </w:rPr>
        <w:t xml:space="preserve"> could be plugged in. To plug in users would require the taxonomy information file and FAS</w:t>
      </w:r>
      <w:r w:rsidR="00496E2B">
        <w:rPr>
          <w:rFonts w:eastAsia="Times New Roman" w:cstheme="minorHAnsi"/>
          <w:color w:val="24292E"/>
        </w:rPr>
        <w:t>TA format sequence information</w:t>
      </w:r>
      <w:r w:rsidR="003A1136">
        <w:rPr>
          <w:rFonts w:eastAsia="Times New Roman" w:cstheme="minorHAnsi"/>
          <w:color w:val="24292E"/>
        </w:rPr>
        <w:t xml:space="preserve">. </w:t>
      </w:r>
    </w:p>
    <w:p w:rsidR="00EF1430" w:rsidRDefault="00EF1430" w:rsidP="001F64FB">
      <w:pPr>
        <w:pStyle w:val="Heading1"/>
        <w:numPr>
          <w:ilvl w:val="0"/>
          <w:numId w:val="2"/>
        </w:numPr>
        <w:ind w:left="360"/>
        <w:jc w:val="both"/>
      </w:pPr>
      <w:bookmarkStart w:id="4" w:name="_Toc517428406"/>
      <w:r>
        <w:t>Content and Processing</w:t>
      </w:r>
      <w:bookmarkEnd w:id="4"/>
    </w:p>
    <w:p w:rsidR="0063255F" w:rsidRDefault="00511E67" w:rsidP="001F64FB">
      <w:pPr>
        <w:ind w:left="360"/>
        <w:jc w:val="both"/>
      </w:pPr>
      <w:r>
        <w:t xml:space="preserve">The </w:t>
      </w:r>
      <w:r w:rsidRPr="001A6BC4">
        <w:t>Micr</w:t>
      </w:r>
      <w:r w:rsidR="006C5648">
        <w:t>o</w:t>
      </w:r>
      <w:r w:rsidRPr="001A6BC4">
        <w:t>biome Processing Pipeline</w:t>
      </w:r>
      <w:r>
        <w:t xml:space="preserve"> comprises of 3 key python script. They are ‘Main.py’, ‘Qiime</w:t>
      </w:r>
      <w:r w:rsidR="00496E2B">
        <w:t>.py’</w:t>
      </w:r>
      <w:r w:rsidR="0063255F">
        <w:t xml:space="preserve"> </w:t>
      </w:r>
      <w:r>
        <w:t xml:space="preserve">and ‘Mothur.py’. </w:t>
      </w:r>
      <w:r w:rsidR="0063255F">
        <w:t xml:space="preserve">Main.py file is the user interfacing </w:t>
      </w:r>
      <w:r w:rsidR="0061311F">
        <w:t>script</w:t>
      </w:r>
      <w:r w:rsidR="0063255F">
        <w:t xml:space="preserve"> and based in the inputs provided by the users forwards the informat</w:t>
      </w:r>
      <w:r w:rsidR="0061311F">
        <w:t>ion to either Qiime.py or Mothur.py. Based on the user inputs Qiime</w:t>
      </w:r>
      <w:r w:rsidR="0063255F">
        <w:t xml:space="preserve">.py script </w:t>
      </w:r>
      <w:r w:rsidR="0063255F" w:rsidRPr="009272D3">
        <w:rPr>
          <w:rFonts w:eastAsia="Times New Roman" w:cstheme="minorHAnsi"/>
          <w:color w:val="24292E"/>
        </w:rPr>
        <w:t>perform</w:t>
      </w:r>
      <w:r w:rsidR="0063255F">
        <w:rPr>
          <w:rFonts w:eastAsia="Times New Roman" w:cstheme="minorHAnsi"/>
          <w:color w:val="24292E"/>
        </w:rPr>
        <w:t>s</w:t>
      </w:r>
      <w:r w:rsidR="0063255F" w:rsidRPr="009272D3">
        <w:rPr>
          <w:rFonts w:eastAsia="Times New Roman" w:cstheme="minorHAnsi"/>
          <w:color w:val="24292E"/>
        </w:rPr>
        <w:t xml:space="preserve"> analysis using </w:t>
      </w:r>
      <w:r w:rsidR="00EA0598" w:rsidRPr="009272D3">
        <w:rPr>
          <w:rFonts w:eastAsia="Times New Roman" w:cstheme="minorHAnsi"/>
          <w:color w:val="24292E"/>
        </w:rPr>
        <w:t xml:space="preserve">QIIME </w:t>
      </w:r>
      <w:r w:rsidR="00EA0598">
        <w:rPr>
          <w:rFonts w:eastAsia="Times New Roman" w:cstheme="minorHAnsi"/>
          <w:color w:val="24292E"/>
        </w:rPr>
        <w:t>method</w:t>
      </w:r>
      <w:r w:rsidR="0063255F">
        <w:rPr>
          <w:rFonts w:eastAsia="Times New Roman" w:cstheme="minorHAnsi"/>
          <w:color w:val="24292E"/>
        </w:rPr>
        <w:t xml:space="preserve">. </w:t>
      </w:r>
      <w:r w:rsidR="0063255F">
        <w:t>Mothur.py</w:t>
      </w:r>
      <w:r w:rsidR="0063255F" w:rsidRPr="0063255F">
        <w:rPr>
          <w:rFonts w:eastAsia="Times New Roman" w:cstheme="minorHAnsi"/>
          <w:color w:val="24292E"/>
        </w:rPr>
        <w:t xml:space="preserve"> </w:t>
      </w:r>
      <w:r w:rsidR="0063255F">
        <w:rPr>
          <w:rFonts w:eastAsia="Times New Roman" w:cstheme="minorHAnsi"/>
          <w:color w:val="24292E"/>
        </w:rPr>
        <w:t>analyzes</w:t>
      </w:r>
      <w:r w:rsidR="0063255F" w:rsidRPr="00500245">
        <w:rPr>
          <w:rFonts w:eastAsia="Times New Roman" w:cstheme="minorHAnsi"/>
          <w:color w:val="24292E"/>
        </w:rPr>
        <w:t xml:space="preserve"> </w:t>
      </w:r>
      <w:r w:rsidR="0063255F">
        <w:rPr>
          <w:rFonts w:eastAsia="Times New Roman" w:cstheme="minorHAnsi"/>
          <w:color w:val="24292E"/>
        </w:rPr>
        <w:t xml:space="preserve">data </w:t>
      </w:r>
      <w:r w:rsidR="0063255F" w:rsidRPr="00500245">
        <w:rPr>
          <w:rFonts w:eastAsia="Times New Roman" w:cstheme="minorHAnsi"/>
          <w:color w:val="24292E"/>
        </w:rPr>
        <w:t xml:space="preserve">using MOTHUR </w:t>
      </w:r>
      <w:r w:rsidR="0061311F">
        <w:rPr>
          <w:rFonts w:eastAsia="Times New Roman" w:cstheme="minorHAnsi"/>
          <w:color w:val="24292E"/>
        </w:rPr>
        <w:t>approach for the assessment</w:t>
      </w:r>
      <w:r w:rsidR="0063255F">
        <w:rPr>
          <w:rFonts w:eastAsia="Times New Roman" w:cstheme="minorHAnsi"/>
          <w:color w:val="24292E"/>
        </w:rPr>
        <w:t>.</w:t>
      </w:r>
    </w:p>
    <w:p w:rsidR="0063255F" w:rsidRDefault="00511E67" w:rsidP="001F64FB">
      <w:pPr>
        <w:ind w:left="360"/>
        <w:jc w:val="both"/>
      </w:pPr>
      <w:r>
        <w:t>Input to the pipeline is a FASTQ file</w:t>
      </w:r>
      <w:r w:rsidR="0063255F">
        <w:t xml:space="preserve">. To customize the processing, advanced users </w:t>
      </w:r>
      <w:r w:rsidR="0061311F">
        <w:t>may</w:t>
      </w:r>
      <w:r w:rsidR="0063255F">
        <w:t xml:space="preserve"> set values to spec</w:t>
      </w:r>
      <w:r w:rsidR="00496E2B">
        <w:t xml:space="preserve">ific parameters of the pipeline. </w:t>
      </w:r>
      <w:r w:rsidR="0061311F">
        <w:t>T</w:t>
      </w:r>
      <w:r w:rsidR="00496E2B">
        <w:t xml:space="preserve">he </w:t>
      </w:r>
      <w:r w:rsidR="0061311F">
        <w:t xml:space="preserve">current pipeline </w:t>
      </w:r>
      <w:r w:rsidR="00496E2B">
        <w:t xml:space="preserve">is customized </w:t>
      </w:r>
      <w:r w:rsidR="0061311F">
        <w:t>to process</w:t>
      </w:r>
      <w:r w:rsidR="00496E2B">
        <w:t xml:space="preserve"> single end files.</w:t>
      </w:r>
      <w:r w:rsidR="0063255F">
        <w:t xml:space="preserve"> </w:t>
      </w:r>
    </w:p>
    <w:p w:rsidR="00EF1430" w:rsidRDefault="0063255F" w:rsidP="001F64FB">
      <w:pPr>
        <w:ind w:left="360"/>
        <w:jc w:val="both"/>
      </w:pPr>
      <w:r>
        <w:t>A high-level flow diagram of the pipeline in provided below.</w:t>
      </w:r>
    </w:p>
    <w:p w:rsidR="0063255F" w:rsidRDefault="0063255F" w:rsidP="001F64FB">
      <w:pPr>
        <w:ind w:left="360"/>
        <w:jc w:val="both"/>
      </w:pPr>
      <w:r>
        <w:rPr>
          <w:rFonts w:cstheme="minorHAnsi"/>
          <w:noProof/>
          <w:color w:val="24292E"/>
        </w:rPr>
        <w:lastRenderedPageBreak/>
        <w:drawing>
          <wp:inline distT="0" distB="0" distL="0" distR="0" wp14:anchorId="514BABC7" wp14:editId="5F09C942">
            <wp:extent cx="4871258" cy="35661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77995" cy="3571092"/>
                    </a:xfrm>
                    <a:prstGeom prst="rect">
                      <a:avLst/>
                    </a:prstGeom>
                  </pic:spPr>
                </pic:pic>
              </a:graphicData>
            </a:graphic>
          </wp:inline>
        </w:drawing>
      </w:r>
    </w:p>
    <w:p w:rsidR="00EF1430" w:rsidRDefault="005A2C80" w:rsidP="001F64FB">
      <w:pPr>
        <w:pStyle w:val="Heading2"/>
        <w:numPr>
          <w:ilvl w:val="1"/>
          <w:numId w:val="2"/>
        </w:numPr>
        <w:ind w:left="360"/>
        <w:jc w:val="both"/>
      </w:pPr>
      <w:bookmarkStart w:id="5" w:name="_Toc517428407"/>
      <w:r>
        <w:t>Sample data and Execution</w:t>
      </w:r>
      <w:bookmarkEnd w:id="5"/>
    </w:p>
    <w:p w:rsidR="005A2C80" w:rsidRDefault="005A2C80" w:rsidP="001F64FB">
      <w:pPr>
        <w:jc w:val="both"/>
      </w:pPr>
      <w:r>
        <w:t>A sample input data embedded below.</w:t>
      </w:r>
    </w:p>
    <w:p w:rsidR="005A2C80" w:rsidRDefault="00AE4FB1" w:rsidP="001F64FB">
      <w:pPr>
        <w:jc w:val="both"/>
      </w:pPr>
      <w:r>
        <w:t>01_20.fastq</w:t>
      </w:r>
    </w:p>
    <w:p w:rsidR="00920780" w:rsidRDefault="00920780" w:rsidP="001F64FB">
      <w:pPr>
        <w:jc w:val="both"/>
      </w:pPr>
      <w:r>
        <w:t>Place this file in folder</w:t>
      </w:r>
      <w:r w:rsidR="00232681">
        <w:t xml:space="preserve"> </w:t>
      </w:r>
      <w:r w:rsidR="00404131">
        <w:t xml:space="preserve">in </w:t>
      </w:r>
      <w:r w:rsidR="00232681">
        <w:t>named 16SDATA</w:t>
      </w:r>
      <w:r w:rsidR="00404131">
        <w:t xml:space="preserve"> in a particular location</w:t>
      </w:r>
      <w:r>
        <w:t>.</w:t>
      </w:r>
    </w:p>
    <w:p w:rsidR="005A2C80" w:rsidRDefault="005A2C80" w:rsidP="001F64FB">
      <w:pPr>
        <w:jc w:val="both"/>
      </w:pPr>
      <w:r>
        <w:t>To execute the pipeline please follow the below mentioned steps:</w:t>
      </w:r>
    </w:p>
    <w:p w:rsidR="00EF1430" w:rsidRDefault="00920780" w:rsidP="001F64FB">
      <w:pPr>
        <w:jc w:val="both"/>
      </w:pPr>
      <w:r>
        <w:t>Execute main script as:  python main.py</w:t>
      </w:r>
    </w:p>
    <w:p w:rsidR="00404131" w:rsidRDefault="00404131" w:rsidP="001F64FB">
      <w:pPr>
        <w:jc w:val="both"/>
      </w:pPr>
      <w:r>
        <w:t>The script will run and execute as follows.</w:t>
      </w:r>
    </w:p>
    <w:p w:rsidR="00920780" w:rsidRDefault="00232681" w:rsidP="001F64FB">
      <w:pPr>
        <w:jc w:val="both"/>
      </w:pPr>
      <w:r>
        <w:rPr>
          <w:noProof/>
        </w:rPr>
        <w:drawing>
          <wp:inline distT="0" distB="0" distL="0" distR="0" wp14:anchorId="157AE343" wp14:editId="266D459A">
            <wp:extent cx="6425738" cy="1438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425738" cy="1438102"/>
                    </a:xfrm>
                    <a:prstGeom prst="rect">
                      <a:avLst/>
                    </a:prstGeom>
                  </pic:spPr>
                </pic:pic>
              </a:graphicData>
            </a:graphic>
          </wp:inline>
        </w:drawing>
      </w:r>
    </w:p>
    <w:p w:rsidR="00920780" w:rsidRDefault="00920780" w:rsidP="001F64FB">
      <w:pPr>
        <w:jc w:val="both"/>
      </w:pPr>
    </w:p>
    <w:p w:rsidR="00920780" w:rsidRDefault="00232681" w:rsidP="001F64FB">
      <w:pPr>
        <w:jc w:val="both"/>
      </w:pPr>
      <w:r>
        <w:t xml:space="preserve">The above figure represents the steps and the </w:t>
      </w:r>
      <w:r w:rsidR="00355905">
        <w:t>information provided</w:t>
      </w:r>
      <w:r>
        <w:t xml:space="preserve"> by user when QIIME is considered for analysis purpose.</w:t>
      </w:r>
    </w:p>
    <w:p w:rsidR="00355905" w:rsidRDefault="00355905" w:rsidP="001F64FB">
      <w:pPr>
        <w:jc w:val="both"/>
      </w:pPr>
    </w:p>
    <w:p w:rsidR="00355905" w:rsidRDefault="00355905" w:rsidP="001F64FB">
      <w:pPr>
        <w:jc w:val="both"/>
      </w:pPr>
      <w:r>
        <w:rPr>
          <w:noProof/>
        </w:rPr>
        <w:drawing>
          <wp:inline distT="0" distB="0" distL="0" distR="0" wp14:anchorId="4913EAA1" wp14:editId="1C1CF97C">
            <wp:extent cx="6425737" cy="1529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6443856" cy="1533855"/>
                    </a:xfrm>
                    <a:prstGeom prst="rect">
                      <a:avLst/>
                    </a:prstGeom>
                  </pic:spPr>
                </pic:pic>
              </a:graphicData>
            </a:graphic>
          </wp:inline>
        </w:drawing>
      </w:r>
    </w:p>
    <w:p w:rsidR="00355905" w:rsidRDefault="00355905" w:rsidP="001F64FB">
      <w:pPr>
        <w:jc w:val="both"/>
      </w:pPr>
      <w:r>
        <w:t xml:space="preserve"> </w:t>
      </w:r>
    </w:p>
    <w:p w:rsidR="00355905" w:rsidRDefault="00355905" w:rsidP="001F64FB">
      <w:pPr>
        <w:jc w:val="both"/>
      </w:pPr>
      <w:r>
        <w:t>The figure depicts the steps to be followed when MOTHUR is considered for analysis.</w:t>
      </w:r>
    </w:p>
    <w:p w:rsidR="00EF1430" w:rsidRPr="00EF1430" w:rsidRDefault="00730514" w:rsidP="001F64FB">
      <w:pPr>
        <w:pStyle w:val="Heading1"/>
        <w:numPr>
          <w:ilvl w:val="0"/>
          <w:numId w:val="2"/>
        </w:numPr>
        <w:ind w:left="360"/>
        <w:jc w:val="both"/>
      </w:pPr>
      <w:bookmarkStart w:id="6" w:name="_Toc517428408"/>
      <w:r>
        <w:t>Reference</w:t>
      </w:r>
      <w:bookmarkEnd w:id="6"/>
    </w:p>
    <w:p w:rsidR="003A1136" w:rsidRPr="003A1136" w:rsidRDefault="00EF1430" w:rsidP="001F64FB">
      <w:pPr>
        <w:widowControl w:val="0"/>
        <w:autoSpaceDE w:val="0"/>
        <w:autoSpaceDN w:val="0"/>
        <w:adjustRightInd w:val="0"/>
        <w:spacing w:line="240" w:lineRule="auto"/>
        <w:ind w:left="640" w:hanging="640"/>
        <w:jc w:val="both"/>
        <w:rPr>
          <w:rFonts w:ascii="Calibri" w:hAnsi="Calibri" w:cs="Calibri"/>
          <w:noProof/>
          <w:szCs w:val="24"/>
        </w:rPr>
      </w:pPr>
      <w:r>
        <w:rPr>
          <w:rFonts w:cstheme="minorHAnsi"/>
          <w:u w:val="dotted"/>
        </w:rPr>
        <w:t xml:space="preserve"> </w:t>
      </w:r>
      <w:r w:rsidR="00730514">
        <w:rPr>
          <w:rFonts w:cstheme="minorHAnsi"/>
          <w:u w:val="dotted"/>
        </w:rPr>
        <w:fldChar w:fldCharType="begin" w:fldLock="1"/>
      </w:r>
      <w:r w:rsidR="00730514">
        <w:rPr>
          <w:rFonts w:cstheme="minorHAnsi"/>
          <w:u w:val="dotted"/>
        </w:rPr>
        <w:instrText xml:space="preserve">ADDIN Mendeley Bibliography CSL_BIBLIOGRAPHY </w:instrText>
      </w:r>
      <w:r w:rsidR="00730514">
        <w:rPr>
          <w:rFonts w:cstheme="minorHAnsi"/>
          <w:u w:val="dotted"/>
        </w:rPr>
        <w:fldChar w:fldCharType="separate"/>
      </w:r>
      <w:r w:rsidR="003A1136" w:rsidRPr="003A1136">
        <w:rPr>
          <w:rFonts w:ascii="Calibri" w:hAnsi="Calibri" w:cs="Calibri"/>
          <w:noProof/>
          <w:szCs w:val="24"/>
        </w:rPr>
        <w:t>1.</w:t>
      </w:r>
      <w:r w:rsidR="003A1136" w:rsidRPr="003A1136">
        <w:rPr>
          <w:rFonts w:ascii="Calibri" w:hAnsi="Calibri" w:cs="Calibri"/>
          <w:noProof/>
          <w:szCs w:val="24"/>
        </w:rPr>
        <w:tab/>
        <w:t xml:space="preserve">Caporaso, J. G. </w:t>
      </w:r>
      <w:r w:rsidR="003A1136" w:rsidRPr="003A1136">
        <w:rPr>
          <w:rFonts w:ascii="Calibri" w:hAnsi="Calibri" w:cs="Calibri"/>
          <w:i/>
          <w:iCs/>
          <w:noProof/>
          <w:szCs w:val="24"/>
        </w:rPr>
        <w:t>et al.</w:t>
      </w:r>
      <w:r w:rsidR="003A1136" w:rsidRPr="003A1136">
        <w:rPr>
          <w:rFonts w:ascii="Calibri" w:hAnsi="Calibri" w:cs="Calibri"/>
          <w:noProof/>
          <w:szCs w:val="24"/>
        </w:rPr>
        <w:t xml:space="preserve"> QIIME allows analysis of high-throughput community sequencing data. </w:t>
      </w:r>
      <w:r w:rsidR="003A1136" w:rsidRPr="003A1136">
        <w:rPr>
          <w:rFonts w:ascii="Calibri" w:hAnsi="Calibri" w:cs="Calibri"/>
          <w:i/>
          <w:iCs/>
          <w:noProof/>
          <w:szCs w:val="24"/>
        </w:rPr>
        <w:t>Nat. Methods</w:t>
      </w:r>
      <w:r w:rsidR="003A1136" w:rsidRPr="003A1136">
        <w:rPr>
          <w:rFonts w:ascii="Calibri" w:hAnsi="Calibri" w:cs="Calibri"/>
          <w:noProof/>
          <w:szCs w:val="24"/>
        </w:rPr>
        <w:t xml:space="preserve"> </w:t>
      </w:r>
      <w:r w:rsidR="003A1136" w:rsidRPr="003A1136">
        <w:rPr>
          <w:rFonts w:ascii="Calibri" w:hAnsi="Calibri" w:cs="Calibri"/>
          <w:b/>
          <w:bCs/>
          <w:noProof/>
          <w:szCs w:val="24"/>
        </w:rPr>
        <w:t>7,</w:t>
      </w:r>
      <w:r w:rsidR="003A1136" w:rsidRPr="003A1136">
        <w:rPr>
          <w:rFonts w:ascii="Calibri" w:hAnsi="Calibri" w:cs="Calibri"/>
          <w:noProof/>
          <w:szCs w:val="24"/>
        </w:rPr>
        <w:t xml:space="preserve"> 335–6 (2010).</w:t>
      </w:r>
    </w:p>
    <w:p w:rsidR="003A1136" w:rsidRPr="003A1136" w:rsidRDefault="003A1136" w:rsidP="001F64FB">
      <w:pPr>
        <w:widowControl w:val="0"/>
        <w:autoSpaceDE w:val="0"/>
        <w:autoSpaceDN w:val="0"/>
        <w:adjustRightInd w:val="0"/>
        <w:spacing w:line="240" w:lineRule="auto"/>
        <w:ind w:left="640" w:hanging="640"/>
        <w:jc w:val="both"/>
        <w:rPr>
          <w:rFonts w:ascii="Calibri" w:hAnsi="Calibri" w:cs="Calibri"/>
          <w:noProof/>
          <w:szCs w:val="24"/>
        </w:rPr>
      </w:pPr>
      <w:r w:rsidRPr="003A1136">
        <w:rPr>
          <w:rFonts w:ascii="Calibri" w:hAnsi="Calibri" w:cs="Calibri"/>
          <w:noProof/>
          <w:szCs w:val="24"/>
        </w:rPr>
        <w:t>2.</w:t>
      </w:r>
      <w:r w:rsidRPr="003A1136">
        <w:rPr>
          <w:rFonts w:ascii="Calibri" w:hAnsi="Calibri" w:cs="Calibri"/>
          <w:noProof/>
          <w:szCs w:val="24"/>
        </w:rPr>
        <w:tab/>
        <w:t xml:space="preserve">Schloss, P. D. </w:t>
      </w:r>
      <w:r w:rsidRPr="003A1136">
        <w:rPr>
          <w:rFonts w:ascii="Calibri" w:hAnsi="Calibri" w:cs="Calibri"/>
          <w:i/>
          <w:iCs/>
          <w:noProof/>
          <w:szCs w:val="24"/>
        </w:rPr>
        <w:t>et al.</w:t>
      </w:r>
      <w:r w:rsidRPr="003A1136">
        <w:rPr>
          <w:rFonts w:ascii="Calibri" w:hAnsi="Calibri" w:cs="Calibri"/>
          <w:noProof/>
          <w:szCs w:val="24"/>
        </w:rPr>
        <w:t xml:space="preserve"> Introducing mothur: open-source, platform-independent, community-supported software for describing and comparing microbial communities. </w:t>
      </w:r>
      <w:r w:rsidRPr="003A1136">
        <w:rPr>
          <w:rFonts w:ascii="Calibri" w:hAnsi="Calibri" w:cs="Calibri"/>
          <w:i/>
          <w:iCs/>
          <w:noProof/>
          <w:szCs w:val="24"/>
        </w:rPr>
        <w:t>Appl. Environ. Microbiol.</w:t>
      </w:r>
      <w:r w:rsidRPr="003A1136">
        <w:rPr>
          <w:rFonts w:ascii="Calibri" w:hAnsi="Calibri" w:cs="Calibri"/>
          <w:noProof/>
          <w:szCs w:val="24"/>
        </w:rPr>
        <w:t xml:space="preserve"> </w:t>
      </w:r>
      <w:r w:rsidRPr="003A1136">
        <w:rPr>
          <w:rFonts w:ascii="Calibri" w:hAnsi="Calibri" w:cs="Calibri"/>
          <w:b/>
          <w:bCs/>
          <w:noProof/>
          <w:szCs w:val="24"/>
        </w:rPr>
        <w:t>75,</w:t>
      </w:r>
      <w:r w:rsidRPr="003A1136">
        <w:rPr>
          <w:rFonts w:ascii="Calibri" w:hAnsi="Calibri" w:cs="Calibri"/>
          <w:noProof/>
          <w:szCs w:val="24"/>
        </w:rPr>
        <w:t xml:space="preserve"> 7537–41 (2009).</w:t>
      </w:r>
    </w:p>
    <w:p w:rsidR="003A1136" w:rsidRPr="003A1136" w:rsidRDefault="003A1136" w:rsidP="001F64FB">
      <w:pPr>
        <w:widowControl w:val="0"/>
        <w:autoSpaceDE w:val="0"/>
        <w:autoSpaceDN w:val="0"/>
        <w:adjustRightInd w:val="0"/>
        <w:spacing w:line="240" w:lineRule="auto"/>
        <w:ind w:left="640" w:hanging="640"/>
        <w:jc w:val="both"/>
        <w:rPr>
          <w:rFonts w:ascii="Calibri" w:hAnsi="Calibri" w:cs="Calibri"/>
          <w:noProof/>
          <w:szCs w:val="24"/>
        </w:rPr>
      </w:pPr>
      <w:r w:rsidRPr="003A1136">
        <w:rPr>
          <w:rFonts w:ascii="Calibri" w:hAnsi="Calibri" w:cs="Calibri"/>
          <w:noProof/>
          <w:szCs w:val="24"/>
        </w:rPr>
        <w:t>3.</w:t>
      </w:r>
      <w:r w:rsidRPr="003A1136">
        <w:rPr>
          <w:rFonts w:ascii="Calibri" w:hAnsi="Calibri" w:cs="Calibri"/>
          <w:noProof/>
          <w:szCs w:val="24"/>
        </w:rPr>
        <w:tab/>
        <w:t xml:space="preserve">Al-Hebshi, N. N., Nasher, A. T., Idris, A. M. &amp; Chen, T. Robust species taxonomy assignment algorithm for 16S rRNA NGS reads: application to oral carcinoma samples. </w:t>
      </w:r>
      <w:r w:rsidRPr="003A1136">
        <w:rPr>
          <w:rFonts w:ascii="Calibri" w:hAnsi="Calibri" w:cs="Calibri"/>
          <w:i/>
          <w:iCs/>
          <w:noProof/>
          <w:szCs w:val="24"/>
        </w:rPr>
        <w:t>J. Oral Microbiol.</w:t>
      </w:r>
      <w:r w:rsidRPr="003A1136">
        <w:rPr>
          <w:rFonts w:ascii="Calibri" w:hAnsi="Calibri" w:cs="Calibri"/>
          <w:noProof/>
          <w:szCs w:val="24"/>
        </w:rPr>
        <w:t xml:space="preserve"> </w:t>
      </w:r>
      <w:r w:rsidRPr="003A1136">
        <w:rPr>
          <w:rFonts w:ascii="Calibri" w:hAnsi="Calibri" w:cs="Calibri"/>
          <w:b/>
          <w:bCs/>
          <w:noProof/>
          <w:szCs w:val="24"/>
        </w:rPr>
        <w:t>7,</w:t>
      </w:r>
      <w:r w:rsidRPr="003A1136">
        <w:rPr>
          <w:rFonts w:ascii="Calibri" w:hAnsi="Calibri" w:cs="Calibri"/>
          <w:noProof/>
          <w:szCs w:val="24"/>
        </w:rPr>
        <w:t xml:space="preserve"> 28934 (2015).</w:t>
      </w:r>
    </w:p>
    <w:p w:rsidR="003A1136" w:rsidRPr="003A1136" w:rsidRDefault="003A1136" w:rsidP="001F64FB">
      <w:pPr>
        <w:widowControl w:val="0"/>
        <w:autoSpaceDE w:val="0"/>
        <w:autoSpaceDN w:val="0"/>
        <w:adjustRightInd w:val="0"/>
        <w:spacing w:line="240" w:lineRule="auto"/>
        <w:ind w:left="640" w:hanging="640"/>
        <w:jc w:val="both"/>
        <w:rPr>
          <w:rFonts w:ascii="Calibri" w:hAnsi="Calibri" w:cs="Calibri"/>
          <w:noProof/>
          <w:szCs w:val="24"/>
        </w:rPr>
      </w:pPr>
      <w:r w:rsidRPr="003A1136">
        <w:rPr>
          <w:rFonts w:ascii="Calibri" w:hAnsi="Calibri" w:cs="Calibri"/>
          <w:noProof/>
          <w:szCs w:val="24"/>
        </w:rPr>
        <w:t>4.</w:t>
      </w:r>
      <w:r w:rsidRPr="003A1136">
        <w:rPr>
          <w:rFonts w:ascii="Calibri" w:hAnsi="Calibri" w:cs="Calibri"/>
          <w:noProof/>
          <w:szCs w:val="24"/>
        </w:rPr>
        <w:tab/>
        <w:t xml:space="preserve">Pfeiffer, S. </w:t>
      </w:r>
      <w:r w:rsidRPr="003A1136">
        <w:rPr>
          <w:rFonts w:ascii="Calibri" w:hAnsi="Calibri" w:cs="Calibri"/>
          <w:i/>
          <w:iCs/>
          <w:noProof/>
          <w:szCs w:val="24"/>
        </w:rPr>
        <w:t>et al.</w:t>
      </w:r>
      <w:r w:rsidRPr="003A1136">
        <w:rPr>
          <w:rFonts w:ascii="Calibri" w:hAnsi="Calibri" w:cs="Calibri"/>
          <w:noProof/>
          <w:szCs w:val="24"/>
        </w:rPr>
        <w:t xml:space="preserve"> Improved group-specific primers based on the full SILVA 16S rRNA gene reference database. </w:t>
      </w:r>
      <w:r w:rsidRPr="003A1136">
        <w:rPr>
          <w:rFonts w:ascii="Calibri" w:hAnsi="Calibri" w:cs="Calibri"/>
          <w:i/>
          <w:iCs/>
          <w:noProof/>
          <w:szCs w:val="24"/>
        </w:rPr>
        <w:t>Environ. Microbiol.</w:t>
      </w:r>
      <w:r w:rsidRPr="003A1136">
        <w:rPr>
          <w:rFonts w:ascii="Calibri" w:hAnsi="Calibri" w:cs="Calibri"/>
          <w:noProof/>
          <w:szCs w:val="24"/>
        </w:rPr>
        <w:t xml:space="preserve"> </w:t>
      </w:r>
      <w:r w:rsidRPr="003A1136">
        <w:rPr>
          <w:rFonts w:ascii="Calibri" w:hAnsi="Calibri" w:cs="Calibri"/>
          <w:b/>
          <w:bCs/>
          <w:noProof/>
          <w:szCs w:val="24"/>
        </w:rPr>
        <w:t>16,</w:t>
      </w:r>
      <w:r w:rsidRPr="003A1136">
        <w:rPr>
          <w:rFonts w:ascii="Calibri" w:hAnsi="Calibri" w:cs="Calibri"/>
          <w:noProof/>
          <w:szCs w:val="24"/>
        </w:rPr>
        <w:t xml:space="preserve"> 2389–407 (2014).</w:t>
      </w:r>
    </w:p>
    <w:p w:rsidR="003A1136" w:rsidRPr="003A1136" w:rsidRDefault="003A1136" w:rsidP="001F64FB">
      <w:pPr>
        <w:widowControl w:val="0"/>
        <w:autoSpaceDE w:val="0"/>
        <w:autoSpaceDN w:val="0"/>
        <w:adjustRightInd w:val="0"/>
        <w:spacing w:line="240" w:lineRule="auto"/>
        <w:ind w:left="640" w:hanging="640"/>
        <w:jc w:val="both"/>
        <w:rPr>
          <w:rFonts w:ascii="Calibri" w:hAnsi="Calibri" w:cs="Calibri"/>
          <w:noProof/>
        </w:rPr>
      </w:pPr>
      <w:r w:rsidRPr="003A1136">
        <w:rPr>
          <w:rFonts w:ascii="Calibri" w:hAnsi="Calibri" w:cs="Calibri"/>
          <w:noProof/>
          <w:szCs w:val="24"/>
        </w:rPr>
        <w:t>5.</w:t>
      </w:r>
      <w:r w:rsidRPr="003A1136">
        <w:rPr>
          <w:rFonts w:ascii="Calibri" w:hAnsi="Calibri" w:cs="Calibri"/>
          <w:noProof/>
          <w:szCs w:val="24"/>
        </w:rPr>
        <w:tab/>
        <w:t xml:space="preserve">Bacci, G. </w:t>
      </w:r>
      <w:r w:rsidRPr="003A1136">
        <w:rPr>
          <w:rFonts w:ascii="Calibri" w:hAnsi="Calibri" w:cs="Calibri"/>
          <w:i/>
          <w:iCs/>
          <w:noProof/>
          <w:szCs w:val="24"/>
        </w:rPr>
        <w:t>et al.</w:t>
      </w:r>
      <w:r w:rsidRPr="003A1136">
        <w:rPr>
          <w:rFonts w:ascii="Calibri" w:hAnsi="Calibri" w:cs="Calibri"/>
          <w:noProof/>
          <w:szCs w:val="24"/>
        </w:rPr>
        <w:t xml:space="preserve"> Evaluation of the Performances of Ribosomal Database Project (RDP) Classifier for Taxonomic Assignment of 16S rRNA Metabarcoding Sequences Generated from Illumina-Solexa NGS. </w:t>
      </w:r>
      <w:r w:rsidRPr="003A1136">
        <w:rPr>
          <w:rFonts w:ascii="Calibri" w:hAnsi="Calibri" w:cs="Calibri"/>
          <w:i/>
          <w:iCs/>
          <w:noProof/>
          <w:szCs w:val="24"/>
        </w:rPr>
        <w:t>J. genomics</w:t>
      </w:r>
      <w:r w:rsidRPr="003A1136">
        <w:rPr>
          <w:rFonts w:ascii="Calibri" w:hAnsi="Calibri" w:cs="Calibri"/>
          <w:noProof/>
          <w:szCs w:val="24"/>
        </w:rPr>
        <w:t xml:space="preserve"> </w:t>
      </w:r>
      <w:r w:rsidRPr="003A1136">
        <w:rPr>
          <w:rFonts w:ascii="Calibri" w:hAnsi="Calibri" w:cs="Calibri"/>
          <w:b/>
          <w:bCs/>
          <w:noProof/>
          <w:szCs w:val="24"/>
        </w:rPr>
        <w:t>3,</w:t>
      </w:r>
      <w:r w:rsidRPr="003A1136">
        <w:rPr>
          <w:rFonts w:ascii="Calibri" w:hAnsi="Calibri" w:cs="Calibri"/>
          <w:noProof/>
          <w:szCs w:val="24"/>
        </w:rPr>
        <w:t xml:space="preserve"> 36–9 (2015).</w:t>
      </w:r>
    </w:p>
    <w:p w:rsidR="00EF1430" w:rsidRPr="00521326" w:rsidRDefault="00730514" w:rsidP="001F64FB">
      <w:pPr>
        <w:widowControl w:val="0"/>
        <w:autoSpaceDE w:val="0"/>
        <w:autoSpaceDN w:val="0"/>
        <w:adjustRightInd w:val="0"/>
        <w:spacing w:line="240" w:lineRule="auto"/>
        <w:ind w:left="640" w:hanging="640"/>
        <w:jc w:val="both"/>
        <w:rPr>
          <w:b/>
          <w:sz w:val="28"/>
        </w:rPr>
      </w:pPr>
      <w:r>
        <w:rPr>
          <w:rFonts w:cstheme="minorHAnsi"/>
          <w:u w:val="dotted"/>
        </w:rPr>
        <w:fldChar w:fldCharType="end"/>
      </w:r>
    </w:p>
    <w:sectPr w:rsidR="00EF1430" w:rsidRPr="0052132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6F" w:rsidRDefault="00F12A6F" w:rsidP="00730514">
      <w:pPr>
        <w:spacing w:after="0" w:line="240" w:lineRule="auto"/>
      </w:pPr>
      <w:r>
        <w:separator/>
      </w:r>
    </w:p>
  </w:endnote>
  <w:endnote w:type="continuationSeparator" w:id="0">
    <w:p w:rsidR="00F12A6F" w:rsidRDefault="00F12A6F" w:rsidP="00730514">
      <w:pPr>
        <w:spacing w:after="0" w:line="240" w:lineRule="auto"/>
      </w:pPr>
      <w:r>
        <w:continuationSeparator/>
      </w:r>
    </w:p>
  </w:endnote>
  <w:endnote w:id="1">
    <w:p w:rsidR="00F12A6F" w:rsidRDefault="00F12A6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A6F" w:rsidRDefault="00F12A6F">
    <w:pPr>
      <w:pStyle w:val="Footer"/>
    </w:pPr>
  </w:p>
  <w:p w:rsidR="00F12A6F" w:rsidRDefault="00F12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6F" w:rsidRDefault="00F12A6F" w:rsidP="00730514">
      <w:pPr>
        <w:spacing w:after="0" w:line="240" w:lineRule="auto"/>
      </w:pPr>
      <w:r>
        <w:separator/>
      </w:r>
    </w:p>
  </w:footnote>
  <w:footnote w:type="continuationSeparator" w:id="0">
    <w:p w:rsidR="00F12A6F" w:rsidRDefault="00F12A6F" w:rsidP="007305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16DBC"/>
    <w:multiLevelType w:val="hybridMultilevel"/>
    <w:tmpl w:val="6BDC6EAE"/>
    <w:lvl w:ilvl="0" w:tplc="69D0AD22">
      <w:numFmt w:val="bullet"/>
      <w:lvlText w:val="-"/>
      <w:lvlJc w:val="left"/>
      <w:pPr>
        <w:ind w:left="1275" w:hanging="360"/>
      </w:pPr>
      <w:rPr>
        <w:rFonts w:ascii="Calibri" w:eastAsia="Times New Roman"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nsid w:val="444F415F"/>
    <w:multiLevelType w:val="multilevel"/>
    <w:tmpl w:val="FAF2C0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27327A5"/>
    <w:multiLevelType w:val="hybridMultilevel"/>
    <w:tmpl w:val="1974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81B18"/>
    <w:multiLevelType w:val="hybridMultilevel"/>
    <w:tmpl w:val="F1587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26"/>
    <w:rsid w:val="00002807"/>
    <w:rsid w:val="00022DF3"/>
    <w:rsid w:val="0011502A"/>
    <w:rsid w:val="00144482"/>
    <w:rsid w:val="001474AF"/>
    <w:rsid w:val="00154A89"/>
    <w:rsid w:val="00154DF3"/>
    <w:rsid w:val="001A6BC4"/>
    <w:rsid w:val="001B0D18"/>
    <w:rsid w:val="001B7C89"/>
    <w:rsid w:val="001F64FB"/>
    <w:rsid w:val="00232681"/>
    <w:rsid w:val="00235D13"/>
    <w:rsid w:val="00277E07"/>
    <w:rsid w:val="002B4C6C"/>
    <w:rsid w:val="002B7600"/>
    <w:rsid w:val="00355905"/>
    <w:rsid w:val="003A1136"/>
    <w:rsid w:val="003B22CC"/>
    <w:rsid w:val="003C5343"/>
    <w:rsid w:val="00404131"/>
    <w:rsid w:val="00496E2B"/>
    <w:rsid w:val="004B7B1E"/>
    <w:rsid w:val="004E1A14"/>
    <w:rsid w:val="004F047D"/>
    <w:rsid w:val="004F47CB"/>
    <w:rsid w:val="00511E67"/>
    <w:rsid w:val="00521326"/>
    <w:rsid w:val="005A2C80"/>
    <w:rsid w:val="0061311F"/>
    <w:rsid w:val="0063255F"/>
    <w:rsid w:val="006C5648"/>
    <w:rsid w:val="00710E54"/>
    <w:rsid w:val="00730514"/>
    <w:rsid w:val="0073796D"/>
    <w:rsid w:val="007429A6"/>
    <w:rsid w:val="00752C7A"/>
    <w:rsid w:val="00754C90"/>
    <w:rsid w:val="00756CE4"/>
    <w:rsid w:val="008953C5"/>
    <w:rsid w:val="008B4A4E"/>
    <w:rsid w:val="00920780"/>
    <w:rsid w:val="00A12D74"/>
    <w:rsid w:val="00A24588"/>
    <w:rsid w:val="00AB57CB"/>
    <w:rsid w:val="00AE4FB1"/>
    <w:rsid w:val="00B235CC"/>
    <w:rsid w:val="00B26AE0"/>
    <w:rsid w:val="00B73086"/>
    <w:rsid w:val="00BB035F"/>
    <w:rsid w:val="00BF4CD6"/>
    <w:rsid w:val="00D8411E"/>
    <w:rsid w:val="00DB536F"/>
    <w:rsid w:val="00E1638F"/>
    <w:rsid w:val="00E16CD3"/>
    <w:rsid w:val="00EA0598"/>
    <w:rsid w:val="00EF1430"/>
    <w:rsid w:val="00F12A6F"/>
    <w:rsid w:val="00F2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1430"/>
    <w:pPr>
      <w:outlineLvl w:val="9"/>
    </w:pPr>
    <w:rPr>
      <w:lang w:eastAsia="ja-JP"/>
    </w:rPr>
  </w:style>
  <w:style w:type="paragraph" w:styleId="TOC2">
    <w:name w:val="toc 2"/>
    <w:basedOn w:val="Normal"/>
    <w:next w:val="Normal"/>
    <w:autoRedefine/>
    <w:uiPriority w:val="39"/>
    <w:unhideWhenUsed/>
    <w:qFormat/>
    <w:rsid w:val="00EF1430"/>
    <w:pPr>
      <w:spacing w:after="100"/>
      <w:ind w:left="220"/>
    </w:pPr>
    <w:rPr>
      <w:rFonts w:eastAsiaTheme="minorEastAsia"/>
      <w:lang w:eastAsia="ja-JP"/>
    </w:rPr>
  </w:style>
  <w:style w:type="paragraph" w:styleId="TOC1">
    <w:name w:val="toc 1"/>
    <w:basedOn w:val="Normal"/>
    <w:next w:val="Normal"/>
    <w:autoRedefine/>
    <w:uiPriority w:val="39"/>
    <w:unhideWhenUsed/>
    <w:qFormat/>
    <w:rsid w:val="00EF1430"/>
    <w:pPr>
      <w:spacing w:after="100"/>
    </w:pPr>
    <w:rPr>
      <w:rFonts w:eastAsiaTheme="minorEastAsia"/>
      <w:lang w:eastAsia="ja-JP"/>
    </w:rPr>
  </w:style>
  <w:style w:type="paragraph" w:styleId="TOC3">
    <w:name w:val="toc 3"/>
    <w:basedOn w:val="Normal"/>
    <w:next w:val="Normal"/>
    <w:autoRedefine/>
    <w:uiPriority w:val="39"/>
    <w:semiHidden/>
    <w:unhideWhenUsed/>
    <w:qFormat/>
    <w:rsid w:val="00EF143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F1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30"/>
    <w:rPr>
      <w:rFonts w:ascii="Tahoma" w:hAnsi="Tahoma" w:cs="Tahoma"/>
      <w:sz w:val="16"/>
      <w:szCs w:val="16"/>
    </w:rPr>
  </w:style>
  <w:style w:type="paragraph" w:styleId="ListParagraph">
    <w:name w:val="List Paragraph"/>
    <w:basedOn w:val="Normal"/>
    <w:uiPriority w:val="34"/>
    <w:qFormat/>
    <w:rsid w:val="00EF1430"/>
    <w:pPr>
      <w:ind w:left="720"/>
      <w:contextualSpacing/>
    </w:pPr>
  </w:style>
  <w:style w:type="character" w:customStyle="1" w:styleId="Heading2Char">
    <w:name w:val="Heading 2 Char"/>
    <w:basedOn w:val="DefaultParagraphFont"/>
    <w:link w:val="Heading2"/>
    <w:uiPriority w:val="9"/>
    <w:rsid w:val="00EF143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F1430"/>
    <w:rPr>
      <w:color w:val="0000FF" w:themeColor="hyperlink"/>
      <w:u w:val="single"/>
    </w:rPr>
  </w:style>
  <w:style w:type="paragraph" w:styleId="EndnoteText">
    <w:name w:val="endnote text"/>
    <w:basedOn w:val="Normal"/>
    <w:link w:val="EndnoteTextChar"/>
    <w:uiPriority w:val="99"/>
    <w:semiHidden/>
    <w:unhideWhenUsed/>
    <w:rsid w:val="007305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0514"/>
    <w:rPr>
      <w:sz w:val="20"/>
      <w:szCs w:val="20"/>
    </w:rPr>
  </w:style>
  <w:style w:type="character" w:styleId="EndnoteReference">
    <w:name w:val="endnote reference"/>
    <w:basedOn w:val="DefaultParagraphFont"/>
    <w:uiPriority w:val="99"/>
    <w:semiHidden/>
    <w:unhideWhenUsed/>
    <w:rsid w:val="00730514"/>
    <w:rPr>
      <w:vertAlign w:val="superscript"/>
    </w:rPr>
  </w:style>
  <w:style w:type="character" w:styleId="FollowedHyperlink">
    <w:name w:val="FollowedHyperlink"/>
    <w:basedOn w:val="DefaultParagraphFont"/>
    <w:uiPriority w:val="99"/>
    <w:semiHidden/>
    <w:unhideWhenUsed/>
    <w:rsid w:val="00144482"/>
    <w:rPr>
      <w:color w:val="800080" w:themeColor="followedHyperlink"/>
      <w:u w:val="single"/>
    </w:rPr>
  </w:style>
  <w:style w:type="paragraph" w:styleId="Header">
    <w:name w:val="header"/>
    <w:basedOn w:val="Normal"/>
    <w:link w:val="HeaderChar"/>
    <w:uiPriority w:val="99"/>
    <w:unhideWhenUsed/>
    <w:rsid w:val="0061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1F"/>
  </w:style>
  <w:style w:type="paragraph" w:styleId="Footer">
    <w:name w:val="footer"/>
    <w:basedOn w:val="Normal"/>
    <w:link w:val="FooterChar"/>
    <w:uiPriority w:val="99"/>
    <w:unhideWhenUsed/>
    <w:rsid w:val="0061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4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1430"/>
    <w:pPr>
      <w:outlineLvl w:val="9"/>
    </w:pPr>
    <w:rPr>
      <w:lang w:eastAsia="ja-JP"/>
    </w:rPr>
  </w:style>
  <w:style w:type="paragraph" w:styleId="TOC2">
    <w:name w:val="toc 2"/>
    <w:basedOn w:val="Normal"/>
    <w:next w:val="Normal"/>
    <w:autoRedefine/>
    <w:uiPriority w:val="39"/>
    <w:unhideWhenUsed/>
    <w:qFormat/>
    <w:rsid w:val="00EF1430"/>
    <w:pPr>
      <w:spacing w:after="100"/>
      <w:ind w:left="220"/>
    </w:pPr>
    <w:rPr>
      <w:rFonts w:eastAsiaTheme="minorEastAsia"/>
      <w:lang w:eastAsia="ja-JP"/>
    </w:rPr>
  </w:style>
  <w:style w:type="paragraph" w:styleId="TOC1">
    <w:name w:val="toc 1"/>
    <w:basedOn w:val="Normal"/>
    <w:next w:val="Normal"/>
    <w:autoRedefine/>
    <w:uiPriority w:val="39"/>
    <w:unhideWhenUsed/>
    <w:qFormat/>
    <w:rsid w:val="00EF1430"/>
    <w:pPr>
      <w:spacing w:after="100"/>
    </w:pPr>
    <w:rPr>
      <w:rFonts w:eastAsiaTheme="minorEastAsia"/>
      <w:lang w:eastAsia="ja-JP"/>
    </w:rPr>
  </w:style>
  <w:style w:type="paragraph" w:styleId="TOC3">
    <w:name w:val="toc 3"/>
    <w:basedOn w:val="Normal"/>
    <w:next w:val="Normal"/>
    <w:autoRedefine/>
    <w:uiPriority w:val="39"/>
    <w:semiHidden/>
    <w:unhideWhenUsed/>
    <w:qFormat/>
    <w:rsid w:val="00EF143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F1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30"/>
    <w:rPr>
      <w:rFonts w:ascii="Tahoma" w:hAnsi="Tahoma" w:cs="Tahoma"/>
      <w:sz w:val="16"/>
      <w:szCs w:val="16"/>
    </w:rPr>
  </w:style>
  <w:style w:type="paragraph" w:styleId="ListParagraph">
    <w:name w:val="List Paragraph"/>
    <w:basedOn w:val="Normal"/>
    <w:uiPriority w:val="34"/>
    <w:qFormat/>
    <w:rsid w:val="00EF1430"/>
    <w:pPr>
      <w:ind w:left="720"/>
      <w:contextualSpacing/>
    </w:pPr>
  </w:style>
  <w:style w:type="character" w:customStyle="1" w:styleId="Heading2Char">
    <w:name w:val="Heading 2 Char"/>
    <w:basedOn w:val="DefaultParagraphFont"/>
    <w:link w:val="Heading2"/>
    <w:uiPriority w:val="9"/>
    <w:rsid w:val="00EF143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F1430"/>
    <w:rPr>
      <w:color w:val="0000FF" w:themeColor="hyperlink"/>
      <w:u w:val="single"/>
    </w:rPr>
  </w:style>
  <w:style w:type="paragraph" w:styleId="EndnoteText">
    <w:name w:val="endnote text"/>
    <w:basedOn w:val="Normal"/>
    <w:link w:val="EndnoteTextChar"/>
    <w:uiPriority w:val="99"/>
    <w:semiHidden/>
    <w:unhideWhenUsed/>
    <w:rsid w:val="007305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0514"/>
    <w:rPr>
      <w:sz w:val="20"/>
      <w:szCs w:val="20"/>
    </w:rPr>
  </w:style>
  <w:style w:type="character" w:styleId="EndnoteReference">
    <w:name w:val="endnote reference"/>
    <w:basedOn w:val="DefaultParagraphFont"/>
    <w:uiPriority w:val="99"/>
    <w:semiHidden/>
    <w:unhideWhenUsed/>
    <w:rsid w:val="00730514"/>
    <w:rPr>
      <w:vertAlign w:val="superscript"/>
    </w:rPr>
  </w:style>
  <w:style w:type="character" w:styleId="FollowedHyperlink">
    <w:name w:val="FollowedHyperlink"/>
    <w:basedOn w:val="DefaultParagraphFont"/>
    <w:uiPriority w:val="99"/>
    <w:semiHidden/>
    <w:unhideWhenUsed/>
    <w:rsid w:val="00144482"/>
    <w:rPr>
      <w:color w:val="800080" w:themeColor="followedHyperlink"/>
      <w:u w:val="single"/>
    </w:rPr>
  </w:style>
  <w:style w:type="paragraph" w:styleId="Header">
    <w:name w:val="header"/>
    <w:basedOn w:val="Normal"/>
    <w:link w:val="HeaderChar"/>
    <w:uiPriority w:val="99"/>
    <w:unhideWhenUsed/>
    <w:rsid w:val="0061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1F"/>
  </w:style>
  <w:style w:type="paragraph" w:styleId="Footer">
    <w:name w:val="footer"/>
    <w:basedOn w:val="Normal"/>
    <w:link w:val="FooterChar"/>
    <w:uiPriority w:val="99"/>
    <w:unhideWhenUsed/>
    <w:rsid w:val="0061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qiime.org/install/install.html" TargetMode="External"/><Relationship Id="rId4" Type="http://schemas.microsoft.com/office/2007/relationships/stylesWithEffects" Target="stylesWithEffects.xml"/><Relationship Id="rId9" Type="http://schemas.openxmlformats.org/officeDocument/2006/relationships/hyperlink" Target="http://www.mothur.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1AFFF-01E4-4617-9FF1-7D1B8F60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Anirban Bhaduri</dc:creator>
  <cp:lastModifiedBy>Research Assistant 24</cp:lastModifiedBy>
  <cp:revision>7</cp:revision>
  <dcterms:created xsi:type="dcterms:W3CDTF">2018-06-25T08:50:00Z</dcterms:created>
  <dcterms:modified xsi:type="dcterms:W3CDTF">2018-06-25T11:16:00Z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7c62bef2-7ea7-3f0e-b5e9-c8f04ac389f0</vt:lpwstr>
  </property>
</Properties>
</file>