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before="0" w:after="120" w:lineRule="auto" w:line="276"/>
        <w:jc w:val="center"/>
        <w:rPr/>
      </w:pPr>
      <w:r>
        <w:rPr>
          <w:b/>
          <w:color w:val="36454f"/>
          <w:sz w:val="36"/>
        </w:rPr>
        <w:t>Cosmology, Boundaries, and Resistance</w:t>
      </w:r>
    </w:p>
    <w:p>
      <w:pPr>
        <w:pStyle w:val="style0"/>
        <w:spacing w:before="0" w:after="120" w:lineRule="auto" w:line="276"/>
        <w:rPr/>
      </w:pPr>
    </w:p>
    <w:p>
      <w:pPr>
        <w:pStyle w:val="style0"/>
        <w:spacing w:before="0" w:after="120" w:lineRule="auto" w:line="276"/>
        <w:jc w:val="center"/>
        <w:rPr/>
      </w:pPr>
      <w:r>
        <w:rPr>
          <w:b w:val="false"/>
          <w:i/>
          <w:color w:val="36454f"/>
          <w:sz w:val="24"/>
        </w:rPr>
        <w:t>A boundary-interpretation document that reframes cosmological observations through resistance, constraint, thermodynamics, and geometry — without introducing new entities or modifying existing equations.</w:t>
      </w:r>
    </w:p>
    <w:p>
      <w:pPr>
        <w:pStyle w:val="style0"/>
        <w:spacing w:before="0" w:after="120" w:lineRule="auto" w:line="276"/>
        <w:rPr/>
      </w:pPr>
      <w:r>
        <w:rPr>
          <w:color w:val="36454f"/>
          <w:sz w:val="24"/>
        </w:rPr>
        <w:t>Abstract</w:t>
      </w:r>
      <w:r>
        <w:rPr>
          <w:color w:val="36454f"/>
          <w:sz w:val="24"/>
        </w:rPr>
        <w:br/>
      </w:r>
      <w:r>
        <w:rPr>
          <w:color w:val="36454f"/>
          <w:sz w:val="24"/>
        </w:rPr>
        <w:br/>
      </w:r>
      <w:r>
        <w:rPr>
          <w:color w:val="36454f"/>
          <w:sz w:val="24"/>
        </w:rPr>
        <w:t>This document reframes cosmological observations using resistance, constraint, thermodynamic flow, and geometric boundary conditions. It does not introduce new entities or modify existing equations, and it remains fully within established physics. Its purpose is to reduce interpretive ambiguity by enforcing contextual discipline when reading large-scale cosmological parameters.</w:t>
      </w:r>
    </w:p>
    <w:p>
      <w:pPr>
        <w:pStyle w:val="style0"/>
        <w:spacing w:before="0" w:after="120" w:lineRule="auto" w:line="276"/>
        <w:rPr/>
      </w:pPr>
      <w:r>
        <w:rPr>
          <w:color w:val="36454f"/>
          <w:sz w:val="24"/>
        </w:rPr>
        <w:t>Non-Claims</w:t>
      </w:r>
      <w:r>
        <w:rPr>
          <w:color w:val="36454f"/>
          <w:sz w:val="24"/>
        </w:rPr>
        <w:br/>
      </w:r>
      <w:r>
        <w:rPr>
          <w:color w:val="36454f"/>
          <w:sz w:val="24"/>
        </w:rPr>
        <w:t>• Does not propose new particles, forces, constants, or dimensions.</w:t>
      </w:r>
      <w:r>
        <w:rPr>
          <w:color w:val="36454f"/>
          <w:sz w:val="24"/>
        </w:rPr>
        <w:br/>
      </w:r>
      <w:r>
        <w:rPr>
          <w:color w:val="36454f"/>
          <w:sz w:val="24"/>
        </w:rPr>
        <w:t>• Does not modify or falsify general relativity, quantum field theory, or ΛCDM.</w:t>
      </w:r>
      <w:r>
        <w:rPr>
          <w:color w:val="36454f"/>
          <w:sz w:val="24"/>
        </w:rPr>
        <w:br/>
      </w:r>
      <w:r>
        <w:rPr>
          <w:color w:val="36454f"/>
          <w:sz w:val="24"/>
        </w:rPr>
        <w:t>• Does not claim experimental proof or predictive novelty.</w:t>
      </w:r>
      <w:r>
        <w:rPr>
          <w:color w:val="36454f"/>
          <w:sz w:val="24"/>
        </w:rPr>
        <w:br/>
      </w:r>
      <w:r>
        <w:rPr>
          <w:color w:val="36454f"/>
          <w:sz w:val="24"/>
        </w:rPr>
        <w:t>• Does not invoke metaphysics, consciousness, or multiverse structures.</w:t>
      </w:r>
    </w:p>
    <w:p>
      <w:pPr>
        <w:pStyle w:val="style0"/>
        <w:spacing w:before="0" w:after="120" w:lineRule="auto" w:line="276"/>
        <w:rPr/>
      </w:pPr>
    </w:p>
    <w:p>
      <w:pPr>
        <w:pStyle w:val="style0"/>
        <w:spacing w:before="0" w:after="120" w:lineRule="auto" w:line="276"/>
        <w:rPr/>
      </w:pPr>
      <w:r>
        <w:rPr>
          <w:b/>
          <w:color w:val="36454f"/>
          <w:sz w:val="28"/>
        </w:rPr>
        <w:t>1) Purpose and Scope</w:t>
      </w:r>
    </w:p>
    <w:p>
      <w:pPr>
        <w:pStyle w:val="style0"/>
        <w:spacing w:before="0" w:after="120" w:lineRule="auto" w:line="276"/>
        <w:rPr/>
      </w:pPr>
    </w:p>
    <w:p>
      <w:pPr>
        <w:pStyle w:val="style0"/>
        <w:spacing w:before="0" w:after="120" w:lineRule="auto" w:line="276"/>
        <w:rPr/>
      </w:pPr>
      <w:r>
        <w:rPr>
          <w:b w:val="false"/>
          <w:color w:val="36454f"/>
          <w:sz w:val="24"/>
        </w:rPr>
        <w:t>This document assembles and expands a cosmological boundary interpretation aligned with the established project authority stack. It is not a new cosmological model, nor a revision of existing ones. Its purpose is to clarify how several persistent cosmological tensions arise from interpretive assumptions rather than from demonstrable physical contradictions.</w:t>
      </w:r>
    </w:p>
    <w:p>
      <w:pPr>
        <w:pStyle w:val="style0"/>
        <w:spacing w:before="0" w:after="120" w:lineRule="auto" w:line="276"/>
        <w:rPr/>
      </w:pPr>
    </w:p>
    <w:p>
      <w:pPr>
        <w:pStyle w:val="style0"/>
        <w:spacing w:before="0" w:after="120" w:lineRule="auto" w:line="276"/>
        <w:rPr/>
      </w:pPr>
      <w:r>
        <w:rPr>
          <w:b w:val="false"/>
          <w:color w:val="36454f"/>
          <w:sz w:val="24"/>
        </w:rPr>
        <w:t>The document reframes standard observations using resistance, constraint, thermodynamic flow, and geometric boundary conditions. All discussion remains within the domain of existing physics. No new entities are proposed, no equations are modified, and no experimental claims are made.</w:t>
      </w:r>
    </w:p>
    <w:p>
      <w:pPr>
        <w:pStyle w:val="style0"/>
        <w:spacing w:before="0" w:after="120" w:lineRule="auto" w:line="276"/>
        <w:rPr/>
      </w:pPr>
    </w:p>
    <w:p>
      <w:pPr>
        <w:pStyle w:val="style0"/>
        <w:spacing w:before="0" w:after="120" w:lineRule="auto" w:line="276"/>
        <w:rPr/>
      </w:pPr>
      <w:r>
        <w:rPr>
          <w:b/>
          <w:color w:val="36454f"/>
          <w:sz w:val="28"/>
        </w:rPr>
        <w:t>2) Interpretive Context and Framing Discipline</w:t>
      </w:r>
    </w:p>
    <w:p>
      <w:pPr>
        <w:pStyle w:val="style0"/>
        <w:spacing w:before="0" w:after="120" w:lineRule="auto" w:line="276"/>
        <w:rPr/>
      </w:pPr>
    </w:p>
    <w:p>
      <w:pPr>
        <w:pStyle w:val="style0"/>
        <w:spacing w:before="0" w:after="120" w:lineRule="auto" w:line="276"/>
        <w:rPr/>
      </w:pPr>
      <w:r>
        <w:rPr>
          <w:b w:val="false"/>
          <w:color w:val="36454f"/>
          <w:sz w:val="24"/>
        </w:rPr>
        <w:t>Cosmological observation necessarily samples spacetime unevenly. Measurements are dominated by regions of relatively low constraint, low density, and high transmissivity. Interpretive difficulty arises when results from these regimes are implicitly generalized to regions governed by markedly different resistance and boundary conditions.</w:t>
      </w:r>
    </w:p>
    <w:p>
      <w:pPr>
        <w:pStyle w:val="style0"/>
        <w:spacing w:before="0" w:after="120" w:lineRule="auto" w:line="276"/>
        <w:rPr/>
      </w:pPr>
    </w:p>
    <w:p>
      <w:pPr>
        <w:pStyle w:val="style0"/>
        <w:spacing w:before="0" w:after="120" w:lineRule="auto" w:line="276"/>
        <w:rPr/>
      </w:pPr>
      <w:r>
        <w:rPr>
          <w:b w:val="false"/>
          <w:color w:val="36454f"/>
          <w:sz w:val="24"/>
        </w:rPr>
        <w:t>This document adopts a framing discipline in which inferred quantities are treated as descriptive parameters tied to observational context, not as universal drivers unless independently justified. The goal is not to challenge standard fits, but to constrain how their meaning is read.</w:t>
      </w:r>
    </w:p>
    <w:p>
      <w:pPr>
        <w:pStyle w:val="style0"/>
        <w:spacing w:before="0" w:after="120" w:lineRule="auto" w:line="276"/>
        <w:rPr/>
      </w:pPr>
    </w:p>
    <w:p>
      <w:pPr>
        <w:pStyle w:val="style0"/>
        <w:spacing w:before="0" w:after="120" w:lineRule="auto" w:line="276"/>
        <w:rPr/>
      </w:pPr>
      <w:r>
        <w:rPr>
          <w:b/>
          <w:color w:val="36454f"/>
          <w:sz w:val="28"/>
        </w:rPr>
        <w:t>3) Expansion as Observational Averaging Over Resistance</w:t>
      </w:r>
    </w:p>
    <w:p>
      <w:pPr>
        <w:pStyle w:val="style0"/>
        <w:spacing w:before="0" w:after="120" w:lineRule="auto" w:line="276"/>
        <w:rPr/>
      </w:pPr>
    </w:p>
    <w:p>
      <w:pPr>
        <w:pStyle w:val="style0"/>
        <w:spacing w:before="0" w:after="120" w:lineRule="auto" w:line="276"/>
        <w:rPr/>
      </w:pPr>
      <w:r>
        <w:rPr>
          <w:b w:val="false"/>
          <w:color w:val="36454f"/>
          <w:sz w:val="24"/>
        </w:rPr>
        <w:t>Cosmic expansion is conventionally modeled as a global property of spacetime. Observationally, however, expansion rates are inferred from signal propagation through heterogeneous regions with non-uniform resistance and constraint.</w:t>
      </w:r>
    </w:p>
    <w:p>
      <w:pPr>
        <w:pStyle w:val="style0"/>
        <w:spacing w:before="0" w:after="120" w:lineRule="auto" w:line="276"/>
        <w:rPr/>
      </w:pPr>
    </w:p>
    <w:p>
      <w:pPr>
        <w:pStyle w:val="style0"/>
        <w:spacing w:before="0" w:after="120" w:lineRule="auto" w:line="276"/>
        <w:rPr/>
      </w:pPr>
      <w:r>
        <w:rPr>
          <w:b w:val="false"/>
          <w:color w:val="36454f"/>
          <w:sz w:val="24"/>
        </w:rPr>
        <w:t>Within this boundary framing, expansion measurements are interpreted as averaged outcomes of propagation across mixed regimes. Low-resistance regions contribute disproportionately to large-scale averages, while high-resistance or highly constrained regions alter signal paths, rates, and apparent distances.</w:t>
      </w:r>
    </w:p>
    <w:p>
      <w:pPr>
        <w:pStyle w:val="style0"/>
        <w:spacing w:before="0" w:after="120" w:lineRule="auto" w:line="276"/>
        <w:rPr/>
      </w:pPr>
    </w:p>
    <w:p>
      <w:pPr>
        <w:pStyle w:val="style0"/>
        <w:spacing w:before="0" w:after="120" w:lineRule="auto" w:line="276"/>
        <w:rPr/>
      </w:pPr>
      <w:r>
        <w:rPr>
          <w:b w:val="false"/>
          <w:color w:val="36454f"/>
          <w:sz w:val="24"/>
        </w:rPr>
        <w:t>This interpretation does not deny expansion, acceleration, or standard parameterization. It limits the inference that such parameters must correspond to a uniform physical driver acting identically across all regimes.</w:t>
      </w:r>
    </w:p>
    <w:p>
      <w:pPr>
        <w:pStyle w:val="style0"/>
        <w:spacing w:before="0" w:after="120" w:lineRule="auto" w:line="276"/>
        <w:rPr/>
      </w:pPr>
    </w:p>
    <w:p>
      <w:pPr>
        <w:pStyle w:val="style0"/>
        <w:spacing w:before="0" w:after="120" w:lineRule="auto" w:line="276"/>
        <w:rPr/>
      </w:pPr>
      <w:r>
        <w:rPr>
          <w:b/>
          <w:color w:val="36454f"/>
          <w:sz w:val="28"/>
        </w:rPr>
        <w:t>4) Thermodynamics Under Constraint</w:t>
      </w:r>
    </w:p>
    <w:p>
      <w:pPr>
        <w:pStyle w:val="style0"/>
        <w:spacing w:before="0" w:after="120" w:lineRule="auto" w:line="276"/>
        <w:rPr/>
      </w:pPr>
    </w:p>
    <w:p>
      <w:pPr>
        <w:pStyle w:val="style0"/>
        <w:spacing w:before="0" w:after="120" w:lineRule="auto" w:line="276"/>
        <w:rPr/>
      </w:pPr>
      <w:r>
        <w:rPr>
          <w:b w:val="false"/>
          <w:color w:val="36454f"/>
          <w:sz w:val="24"/>
        </w:rPr>
        <w:t>Thermodynamic behavior at cosmological scales reflects energy flow under constraint rather than free equilibration. Energy gradients evolve within boundary-defined channels, not across unconstrained volumes.</w:t>
      </w:r>
    </w:p>
    <w:p>
      <w:pPr>
        <w:pStyle w:val="style0"/>
        <w:spacing w:before="0" w:after="120" w:lineRule="auto" w:line="276"/>
        <w:rPr/>
      </w:pPr>
    </w:p>
    <w:p>
      <w:pPr>
        <w:pStyle w:val="style0"/>
        <w:spacing w:before="0" w:after="120" w:lineRule="auto" w:line="276"/>
        <w:rPr/>
      </w:pPr>
      <w:r>
        <w:rPr>
          <w:b w:val="false"/>
          <w:color w:val="36454f"/>
          <w:sz w:val="24"/>
        </w:rPr>
        <w:t>Structure formation follows naturally from this condition. Density variation, clustering, and filamentary geometry arise as consequences of constrained energy redistribution, not as independent drivers imposing structure on spacetime. Thermodynamic irreversibility remains intact, but its manifestation depends on resistance profiles and available degrees of freedom.</w:t>
      </w:r>
    </w:p>
    <w:p>
      <w:pPr>
        <w:pStyle w:val="style0"/>
        <w:spacing w:before="0" w:after="120" w:lineRule="auto" w:line="276"/>
        <w:rPr/>
      </w:pPr>
    </w:p>
    <w:p>
      <w:pPr>
        <w:pStyle w:val="style0"/>
        <w:spacing w:before="0" w:after="120" w:lineRule="auto" w:line="276"/>
        <w:rPr/>
      </w:pPr>
      <w:r>
        <w:rPr>
          <w:b w:val="false"/>
          <w:color w:val="36454f"/>
          <w:sz w:val="24"/>
        </w:rPr>
        <w:t>This framing treats large-scale order as an outcome of constrained dissipation rather than as evidence of additional organizing agents.</w:t>
      </w:r>
    </w:p>
    <w:p>
      <w:pPr>
        <w:pStyle w:val="style0"/>
        <w:spacing w:before="0" w:after="120" w:lineRule="auto" w:line="276"/>
        <w:rPr/>
      </w:pPr>
    </w:p>
    <w:p>
      <w:pPr>
        <w:pStyle w:val="style0"/>
        <w:spacing w:before="0" w:after="120" w:lineRule="auto" w:line="276"/>
        <w:rPr/>
      </w:pPr>
      <w:r>
        <w:rPr>
          <w:b/>
          <w:color w:val="36454f"/>
          <w:sz w:val="28"/>
        </w:rPr>
        <w:t>5) Structure Formation as Consequence, Not Driver</w:t>
      </w:r>
    </w:p>
    <w:p>
      <w:pPr>
        <w:pStyle w:val="style0"/>
        <w:spacing w:before="0" w:after="120" w:lineRule="auto" w:line="276"/>
        <w:rPr/>
      </w:pPr>
    </w:p>
    <w:p>
      <w:pPr>
        <w:pStyle w:val="style0"/>
        <w:spacing w:before="0" w:after="120" w:lineRule="auto" w:line="276"/>
        <w:rPr/>
      </w:pPr>
      <w:r>
        <w:rPr>
          <w:b w:val="false"/>
          <w:color w:val="36454f"/>
          <w:sz w:val="24"/>
        </w:rPr>
        <w:t>Gravitational aggregation and cosmic structure are often treated as causal agents shaping expansion behavior. In this document, structure formation is instead treated as a response to pre-existing resistance gradients and boundary conditions.</w:t>
      </w:r>
    </w:p>
    <w:p>
      <w:pPr>
        <w:pStyle w:val="style0"/>
        <w:spacing w:before="0" w:after="120" w:lineRule="auto" w:line="276"/>
        <w:rPr/>
      </w:pPr>
    </w:p>
    <w:p>
      <w:pPr>
        <w:pStyle w:val="style0"/>
        <w:spacing w:before="0" w:after="120" w:lineRule="auto" w:line="276"/>
        <w:rPr/>
      </w:pPr>
      <w:r>
        <w:rPr>
          <w:b w:val="false"/>
          <w:color w:val="36454f"/>
          <w:sz w:val="24"/>
        </w:rPr>
        <w:t>Once formed, structures modify local propagation and measurement, but they do not initiate global dynamics. Their role is contextual rather than generative. This distinction reduces circular explanations in which structure both explains and is explained by inferred expansion behavior.</w:t>
      </w:r>
    </w:p>
    <w:p>
      <w:pPr>
        <w:pStyle w:val="style0"/>
        <w:spacing w:before="0" w:after="120" w:lineRule="auto" w:line="276"/>
        <w:rPr/>
      </w:pPr>
    </w:p>
    <w:p>
      <w:pPr>
        <w:pStyle w:val="style0"/>
        <w:spacing w:before="0" w:after="120" w:lineRule="auto" w:line="276"/>
        <w:rPr/>
      </w:pPr>
      <w:r>
        <w:rPr>
          <w:b/>
          <w:color w:val="36454f"/>
          <w:sz w:val="28"/>
        </w:rPr>
        <w:t>6) Black Holes as Boundary Geometry</w:t>
      </w:r>
    </w:p>
    <w:p>
      <w:pPr>
        <w:pStyle w:val="style0"/>
        <w:spacing w:before="0" w:after="120" w:lineRule="auto" w:line="276"/>
        <w:rPr/>
      </w:pPr>
    </w:p>
    <w:p>
      <w:pPr>
        <w:pStyle w:val="style0"/>
        <w:spacing w:before="0" w:after="120" w:lineRule="auto" w:line="276"/>
        <w:rPr/>
      </w:pPr>
      <w:r>
        <w:rPr>
          <w:b w:val="false"/>
          <w:color w:val="36454f"/>
          <w:sz w:val="24"/>
        </w:rPr>
        <w:t>Black holes are treated as extreme cases of boundary geometry arising from maximal constraint. They are not assigned special ontological status beyond that provided by existing gravitational theory.</w:t>
      </w:r>
    </w:p>
    <w:p>
      <w:pPr>
        <w:pStyle w:val="style0"/>
        <w:spacing w:before="0" w:after="120" w:lineRule="auto" w:line="276"/>
        <w:rPr/>
      </w:pPr>
    </w:p>
    <w:p>
      <w:pPr>
        <w:pStyle w:val="style0"/>
        <w:spacing w:before="0" w:after="120" w:lineRule="auto" w:line="276"/>
        <w:rPr/>
      </w:pPr>
      <w:r>
        <w:rPr>
          <w:b w:val="false"/>
          <w:color w:val="36454f"/>
          <w:sz w:val="24"/>
        </w:rPr>
        <w:t>Event horizons function as boundary conditions governing interaction, propagation, and observability. They are not physical surfaces or containers. Observable phenomena associated with black holes follow from constrained causal structure and directional collapse of degrees of freedom.</w:t>
      </w:r>
    </w:p>
    <w:p>
      <w:pPr>
        <w:pStyle w:val="style0"/>
        <w:spacing w:before="0" w:after="120" w:lineRule="auto" w:line="276"/>
        <w:rPr/>
      </w:pPr>
    </w:p>
    <w:p>
      <w:pPr>
        <w:pStyle w:val="style0"/>
        <w:spacing w:before="0" w:after="120" w:lineRule="auto" w:line="276"/>
        <w:rPr/>
      </w:pPr>
      <w:r>
        <w:rPr>
          <w:b w:val="false"/>
          <w:color w:val="36454f"/>
          <w:sz w:val="24"/>
        </w:rPr>
        <w:t>This treatment preserves standard relativistic descriptions while removing the need to treat horizons as objects with independent physical agency.</w:t>
      </w:r>
    </w:p>
    <w:p>
      <w:pPr>
        <w:pStyle w:val="style0"/>
        <w:spacing w:before="0" w:after="120" w:lineRule="auto" w:line="276"/>
        <w:rPr/>
      </w:pPr>
    </w:p>
    <w:p>
      <w:pPr>
        <w:pStyle w:val="style0"/>
        <w:spacing w:before="0" w:after="120" w:lineRule="auto" w:line="276"/>
        <w:rPr/>
      </w:pPr>
      <w:r>
        <w:rPr>
          <w:b/>
          <w:color w:val="36454f"/>
          <w:sz w:val="28"/>
        </w:rPr>
        <w:t>7) Horizons and Limits of Observability</w:t>
      </w:r>
    </w:p>
    <w:p>
      <w:pPr>
        <w:pStyle w:val="style0"/>
        <w:spacing w:before="0" w:after="120" w:lineRule="auto" w:line="276"/>
        <w:rPr/>
      </w:pPr>
    </w:p>
    <w:p>
      <w:pPr>
        <w:pStyle w:val="style0"/>
        <w:spacing w:before="0" w:after="120" w:lineRule="auto" w:line="276"/>
        <w:rPr/>
      </w:pPr>
      <w:r>
        <w:rPr>
          <w:b w:val="false"/>
          <w:color w:val="36454f"/>
          <w:sz w:val="24"/>
        </w:rPr>
        <w:t>Cosmological horizons are likewise treated as boundary conditions imposed by finite propagation speed, expansion history, and accumulated constraint. They define limits of observation, not limits of existence.</w:t>
      </w:r>
    </w:p>
    <w:p>
      <w:pPr>
        <w:pStyle w:val="style0"/>
        <w:spacing w:before="0" w:after="120" w:lineRule="auto" w:line="276"/>
        <w:rPr/>
      </w:pPr>
    </w:p>
    <w:p>
      <w:pPr>
        <w:pStyle w:val="style0"/>
        <w:spacing w:before="0" w:after="120" w:lineRule="auto" w:line="276"/>
        <w:rPr/>
      </w:pPr>
      <w:r>
        <w:rPr>
          <w:b w:val="false"/>
          <w:color w:val="36454f"/>
          <w:sz w:val="24"/>
        </w:rPr>
        <w:t>Misinterpretation arises when horizons are treated as physical edges or when observational absence is mistaken for ontological absence. Boundary framing maintains a distinction between what cannot be observed and what cannot exist.</w:t>
      </w:r>
    </w:p>
    <w:p>
      <w:pPr>
        <w:pStyle w:val="style0"/>
        <w:spacing w:before="0" w:after="120" w:lineRule="auto" w:line="276"/>
        <w:rPr/>
      </w:pPr>
    </w:p>
    <w:p>
      <w:pPr>
        <w:pStyle w:val="style0"/>
        <w:spacing w:before="0" w:after="120" w:lineRule="auto" w:line="276"/>
        <w:rPr/>
      </w:pPr>
      <w:r>
        <w:rPr>
          <w:b/>
          <w:color w:val="36454f"/>
          <w:sz w:val="28"/>
        </w:rPr>
        <w:t>8) GR–QFT Interface as Transfer Regime</w:t>
      </w:r>
    </w:p>
    <w:p>
      <w:pPr>
        <w:pStyle w:val="style0"/>
        <w:spacing w:before="0" w:after="120" w:lineRule="auto" w:line="276"/>
        <w:rPr/>
      </w:pPr>
    </w:p>
    <w:p>
      <w:pPr>
        <w:pStyle w:val="style0"/>
        <w:spacing w:before="0" w:after="120" w:lineRule="auto" w:line="276"/>
        <w:rPr/>
      </w:pPr>
      <w:r>
        <w:rPr>
          <w:b w:val="false"/>
          <w:color w:val="36454f"/>
          <w:sz w:val="24"/>
        </w:rPr>
        <w:t>The relationship between general relativity and quantum field theory is treated here as a transfer regime between descriptive domains. Each framework applies successfully within scale- and constraint-defined limits.</w:t>
      </w:r>
    </w:p>
    <w:p>
      <w:pPr>
        <w:pStyle w:val="style0"/>
        <w:spacing w:before="0" w:after="120" w:lineRule="auto" w:line="276"/>
        <w:rPr/>
      </w:pPr>
    </w:p>
    <w:p>
      <w:pPr>
        <w:pStyle w:val="style0"/>
        <w:spacing w:before="0" w:after="120" w:lineRule="auto" w:line="276"/>
        <w:rPr/>
      </w:pPr>
      <w:r>
        <w:rPr>
          <w:b w:val="false"/>
          <w:color w:val="36454f"/>
          <w:sz w:val="24"/>
        </w:rPr>
        <w:t>At their interface, effective descriptions shift due to changing dominance of geometric versus interaction-based constraints. This shift does not require new particles, dimensions, or unifying entities. References to string-like or filamentary behavior are limited strictly to transitional geometric description, not ontological commitment.</w:t>
      </w:r>
    </w:p>
    <w:p>
      <w:pPr>
        <w:pStyle w:val="style0"/>
        <w:spacing w:before="0" w:after="120" w:lineRule="auto" w:line="276"/>
        <w:rPr/>
      </w:pPr>
    </w:p>
    <w:p>
      <w:pPr>
        <w:pStyle w:val="style0"/>
        <w:spacing w:before="0" w:after="120" w:lineRule="auto" w:line="276"/>
        <w:rPr/>
      </w:pPr>
      <w:r>
        <w:rPr>
          <w:b w:val="false"/>
          <w:color w:val="36454f"/>
          <w:sz w:val="24"/>
        </w:rPr>
        <w:t>The apparent incompatibility between GR and QFT is framed as a domain transition problem rather than a fundamental contradiction.</w:t>
      </w:r>
    </w:p>
    <w:p>
      <w:pPr>
        <w:pStyle w:val="style0"/>
        <w:spacing w:before="0" w:after="120" w:lineRule="auto" w:line="276"/>
        <w:rPr/>
      </w:pPr>
    </w:p>
    <w:p>
      <w:pPr>
        <w:pStyle w:val="style0"/>
        <w:spacing w:before="0" w:after="120" w:lineRule="auto" w:line="276"/>
        <w:rPr/>
      </w:pPr>
      <w:r>
        <w:rPr>
          <w:b/>
          <w:color w:val="36454f"/>
          <w:sz w:val="28"/>
        </w:rPr>
        <w:t>9) Implications for Cosmological Tensions</w:t>
      </w:r>
    </w:p>
    <w:p>
      <w:pPr>
        <w:pStyle w:val="style0"/>
        <w:spacing w:before="0" w:after="120" w:lineRule="auto" w:line="276"/>
        <w:rPr/>
      </w:pPr>
    </w:p>
    <w:p>
      <w:pPr>
        <w:pStyle w:val="style0"/>
        <w:spacing w:before="0" w:after="120" w:lineRule="auto" w:line="276"/>
        <w:rPr/>
      </w:pPr>
      <w:r>
        <w:rPr>
          <w:b w:val="false"/>
          <w:color w:val="36454f"/>
          <w:sz w:val="24"/>
        </w:rPr>
        <w:t>Many cosmological tensions persist because parameters derived under one set of resistance conditions are applied beyond their valid interpretive range. Boundary framing reduces pressure to introduce speculative corrections by enforcing contextual discipline.</w:t>
      </w:r>
    </w:p>
    <w:p>
      <w:pPr>
        <w:pStyle w:val="style0"/>
        <w:spacing w:before="0" w:after="120" w:lineRule="auto" w:line="276"/>
        <w:rPr/>
      </w:pPr>
    </w:p>
    <w:p>
      <w:pPr>
        <w:pStyle w:val="style0"/>
        <w:spacing w:before="0" w:after="120" w:lineRule="auto" w:line="276"/>
        <w:rPr/>
      </w:pPr>
      <w:r>
        <w:rPr>
          <w:b w:val="false"/>
          <w:color w:val="36454f"/>
          <w:sz w:val="24"/>
        </w:rPr>
        <w:t>This does not resolve numerical discrepancies or replace ongoing empirical work. It clarifies where interpretive overreach may occur and where further precision is genuinely required.</w:t>
      </w:r>
    </w:p>
    <w:p>
      <w:pPr>
        <w:pStyle w:val="style0"/>
        <w:spacing w:before="0" w:after="120" w:lineRule="auto" w:line="276"/>
        <w:rPr/>
      </w:pPr>
    </w:p>
    <w:p>
      <w:pPr>
        <w:pStyle w:val="style0"/>
        <w:spacing w:before="0" w:after="120" w:lineRule="auto" w:line="276"/>
        <w:rPr/>
      </w:pPr>
      <w:r>
        <w:rPr>
          <w:b w:val="false"/>
          <w:color w:val="36454f"/>
          <w:sz w:val="24"/>
        </w:rPr>
        <w:t>10) Relationship to Existing Project Frameworks</w:t>
      </w:r>
    </w:p>
    <w:p>
      <w:pPr>
        <w:pStyle w:val="style0"/>
        <w:spacing w:before="0" w:after="120" w:lineRule="auto" w:line="276"/>
        <w:rPr/>
      </w:pPr>
    </w:p>
    <w:p>
      <w:pPr>
        <w:pStyle w:val="style0"/>
        <w:spacing w:before="0" w:after="120" w:lineRule="auto" w:line="276"/>
        <w:rPr/>
      </w:pPr>
      <w:r>
        <w:rPr>
          <w:b w:val="false"/>
          <w:color w:val="36454f"/>
          <w:sz w:val="24"/>
        </w:rPr>
        <w:t>This document is downstream of Ontology, AST, Stress-Balanced Gravitation, Field-First Engineering, and Extras. It does not restate, revise, or extend those frameworks. It applies their constraints at cosmological scale to ensure consistent interpretation.</w:t>
      </w:r>
    </w:p>
    <w:p>
      <w:pPr>
        <w:pStyle w:val="style0"/>
        <w:spacing w:before="0" w:after="120" w:lineRule="auto" w:line="276"/>
        <w:rPr/>
      </w:pPr>
    </w:p>
    <w:p>
      <w:pPr>
        <w:pStyle w:val="style0"/>
        <w:spacing w:before="0" w:after="120" w:lineRule="auto" w:line="276"/>
        <w:rPr/>
      </w:pPr>
      <w:r>
        <w:rPr>
          <w:b w:val="false"/>
          <w:color w:val="36454f"/>
          <w:sz w:val="24"/>
        </w:rPr>
        <w:t>11) Explicit Limits and Non-Claims</w:t>
      </w:r>
    </w:p>
    <w:p>
      <w:pPr>
        <w:pStyle w:val="style0"/>
        <w:spacing w:before="0" w:after="120" w:lineRule="auto" w:line="276"/>
        <w:rPr/>
      </w:pPr>
    </w:p>
    <w:p>
      <w:pPr>
        <w:pStyle w:val="style0"/>
        <w:spacing w:before="0" w:after="120" w:lineRule="auto" w:line="276"/>
        <w:rPr/>
      </w:pPr>
      <w:r>
        <w:rPr>
          <w:b w:val="false"/>
          <w:color w:val="36454f"/>
          <w:sz w:val="24"/>
        </w:rPr>
        <w:t>This document does not claim experimental proof, prediction, or falsification of general relativity, quantum field theory, or ΛCDM. It does not propose new particles, forces, constants, dimensions, or causal agents. It does not invoke consciousness, metaphysics, or multiverse structures.</w:t>
      </w:r>
    </w:p>
    <w:p>
      <w:pPr>
        <w:pStyle w:val="style0"/>
        <w:spacing w:before="0" w:after="120" w:lineRule="auto" w:line="276"/>
        <w:rPr/>
      </w:pPr>
    </w:p>
    <w:p>
      <w:pPr>
        <w:pStyle w:val="style0"/>
        <w:spacing w:before="0" w:after="120" w:lineRule="auto" w:line="276"/>
        <w:rPr/>
      </w:pPr>
      <w:r>
        <w:rPr>
          <w:b w:val="false"/>
          <w:color w:val="36454f"/>
          <w:sz w:val="24"/>
        </w:rPr>
        <w:t>It is strictly an interpretive boundary document intended to reduce conceptual ambiguity by enforcing consistent treatment of resistance, constraint, thermodynamics, and geometry in cosmological reasoning.</w:t>
      </w:r>
    </w:p>
    <w:p>
      <w:pPr>
        <w:pStyle w:val="style0"/>
        <w:spacing w:before="0" w:after="120" w:lineRule="auto" w:line="276"/>
        <w:rPr/>
      </w:pPr>
    </w:p>
    <w:p>
      <w:pPr>
        <w:pStyle w:val="style0"/>
        <w:spacing w:before="0" w:after="120" w:lineRule="auto" w:line="276"/>
        <w:rPr/>
      </w:pPr>
    </w:p>
    <w:p>
      <w:pPr>
        <w:pStyle w:val="style0"/>
        <w:spacing w:before="0" w:after="120" w:lineRule="auto" w:line="276"/>
        <w:rPr/>
      </w:pPr>
      <w:r>
        <w:rPr>
          <w:color w:val="36454f"/>
          <w:sz w:val="24"/>
        </w:rPr>
        <w:br/>
      </w:r>
    </w:p>
    <w:sectPr>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0000000000000000000"/>
    <w:charset w:val="02"/>
    <w:family w:val="auto"/>
    <w:pitch w:val="variable"/>
    <w:sig w:usb0="00000000" w:usb1="10000000" w:usb2="00000000" w:usb3="00000000" w:csb0="80000000" w:csb1="00000000"/>
  </w:font>
  <w:font w:name="Times New Roman">
    <w:altName w:val="Times New Roman"/>
    <w:panose1 w:val="02020603050004020304"/>
    <w:charset w:val="00"/>
    <w:family w:val="auto"/>
    <w:pitch w:val="variable"/>
    <w:sig w:usb0="E0002AFF" w:usb1="C0007841" w:usb2="00000009" w:usb3="00000000" w:csb0="000001FF" w:csb1="00000000"/>
  </w:font>
  <w:font w:name="Cambria">
    <w:altName w:val="Cambria"/>
    <w:panose1 w:val="02040503050004030204"/>
    <w:charset w:val="00"/>
    <w:family w:val="auto"/>
    <w:pitch w:val="variable"/>
    <w:sig w:usb0="E00002FF" w:usb1="400004FF" w:usb2="00000000" w:usb3="00000000" w:csb0="0000019F" w:csb1="00000000"/>
  </w:font>
  <w:font w:name="ＭＳ 明朝">
    <w:altName w:val="ＭＳ 明朝"/>
    <w:panose1 w:val="00000000000000000000"/>
    <w:charset w:val="80"/>
    <w:family w:val="roman"/>
    <w:pitch w:val="fixed"/>
    <w:sig w:usb0="00000001" w:usb1="08070000" w:usb2="00000010" w:usb3="00000000" w:csb0="00020000" w:csb1="00000000"/>
  </w:font>
  <w:font w:name="Calibri">
    <w:altName w:val="Calibri"/>
    <w:panose1 w:val="020f0502020002030204"/>
    <w:charset w:val="00"/>
    <w:family w:val="auto"/>
    <w:pitch w:val="variable"/>
    <w:sig w:usb0="E10002FF" w:usb1="4000ACFF" w:usb2="00000009" w:usb3="00000000" w:csb0="0000019F" w:csb1="00000000"/>
  </w:font>
  <w:font w:name="ＭＳ ゴシック">
    <w:altName w:val="ＭＳ ゴシック"/>
    <w:panose1 w:val="00000000000000000000"/>
    <w:charset w:val="80"/>
    <w:family w:val="modern"/>
    <w:pitch w:val="fixed"/>
    <w:sig w:usb0="00000001" w:usb1="08070000" w:usb2="00000010" w:usb3="00000000" w:csb0="00020000" w:csb1="00000000"/>
  </w:font>
  <w:font w:name="Courier">
    <w:altName w:val="Courier"/>
    <w:panose1 w:val="02000500000000000000"/>
    <w:charset w:val="00"/>
    <w:family w:val="auto"/>
    <w:pitch w:val="variable"/>
    <w:sig w:usb0="00000003" w:usb1="00000000" w:usb2="00000000" w:usb3="00000000" w:csb0="00000001" w:csb1="00000000"/>
  </w:font>
  <w:font w:name="Arial">
    <w:altName w:val="Arial"/>
    <w:panose1 w:val="020b06040200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val="bestFit"/>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e1ef689a-6c6f-4363-9baa-d24754de855b"/>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a703217e-d0e6-4d97-950d-f5c1d886a702"/>
    <w:basedOn w:val="style65"/>
    <w:next w:val="style4098"/>
    <w:link w:val="style32"/>
    <w:uiPriority w:val="99"/>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365f91"/>
      <w:sz w:val="28"/>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4f81bd"/>
      <w:sz w:val="26"/>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7">
    <w:name w:val="No Spacing"/>
    <w:next w:val="style157"/>
    <w:qFormat/>
    <w:uiPriority w:val="1"/>
    <w:pPr>
      <w:spacing w:after="0" w:lineRule="auto" w:line="240"/>
    </w:pPr>
    <w:rPr/>
  </w:style>
  <w:style w:type="character" w:customStyle="1" w:styleId="style4099">
    <w:name w:val="Heading 1 Char_63704271-869a-47cc-a3eb-d42ac37dbd04"/>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7f5be4e0-2f52-40d2-9caa-e963a130a4a4"/>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54cc8890-3eb1-4d00-ab05-7b0c7c43abc6"/>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17365d"/>
      <w:spacing w:val="5"/>
      <w:kern w:val="28"/>
      <w:sz w:val="52"/>
      <w:szCs w:val="52"/>
    </w:rPr>
  </w:style>
  <w:style w:type="character" w:customStyle="1" w:styleId="style4102">
    <w:name w:val="Title Char_21755981-e98d-4ec3-8169-ef584cab2401"/>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宋体" w:eastAsia="ＭＳ ゴシック" w:hAnsi="Calibri"/>
      <w:i/>
      <w:iCs/>
      <w:color w:val="4f81bd"/>
      <w:spacing w:val="15"/>
      <w:sz w:val="24"/>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7a16108e-249c-4e9c-83de-2e25dd2da0eb"/>
    <w:basedOn w:val="style65"/>
    <w:next w:val="style4108"/>
    <w:link w:val="style180"/>
    <w:uiPriority w:val="29"/>
    <w:rPr>
      <w:i/>
      <w:iCs/>
      <w:color w:val="000000"/>
    </w:rPr>
  </w:style>
  <w:style w:type="character" w:customStyle="1" w:styleId="style4109">
    <w:name w:val="Heading 4 Char_ea0cb2d7-07c8-4d25-a89a-d3d5b0c88819"/>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429880dc-264d-4913-a214-d8874650b713"/>
    <w:basedOn w:val="style65"/>
    <w:next w:val="style4110"/>
    <w:link w:val="style5"/>
    <w:uiPriority w:val="9"/>
    <w:rPr>
      <w:rFonts w:ascii="Calibri" w:cs="宋体" w:eastAsia="ＭＳ ゴシック" w:hAnsi="Calibri"/>
      <w:color w:val="243f60"/>
    </w:rPr>
  </w:style>
  <w:style w:type="character" w:customStyle="1" w:styleId="style4111">
    <w:name w:val="Heading 6 Char_5d0efe2d-840c-4f35-a43b-4ef967c7f3c4"/>
    <w:basedOn w:val="style65"/>
    <w:next w:val="style4111"/>
    <w:link w:val="style6"/>
    <w:uiPriority w:val="9"/>
    <w:rPr>
      <w:rFonts w:ascii="Calibri" w:cs="宋体" w:eastAsia="ＭＳ ゴシック" w:hAnsi="Calibri"/>
      <w:i/>
      <w:iCs/>
      <w:color w:val="243f60"/>
    </w:rPr>
  </w:style>
  <w:style w:type="character" w:customStyle="1" w:styleId="style4112">
    <w:name w:val="Heading 7 Char_de78d9df-7ccc-483b-ac20-2b21d7a25f07"/>
    <w:basedOn w:val="style65"/>
    <w:next w:val="style4112"/>
    <w:link w:val="style7"/>
    <w:uiPriority w:val="9"/>
    <w:rPr>
      <w:rFonts w:ascii="Calibri" w:cs="宋体" w:eastAsia="ＭＳ ゴシック" w:hAnsi="Calibri"/>
      <w:i/>
      <w:iCs/>
      <w:color w:val="404040"/>
    </w:rPr>
  </w:style>
  <w:style w:type="character" w:customStyle="1" w:styleId="style4113">
    <w:name w:val="Heading 8 Char_0951bf4a-dbcb-4959-9081-3d52115dcc4f"/>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290de570-fbeb-4616-b6a3-7bae633b24f7"/>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c69cd006-10cc-449e-ad82-c2d72cc4e8f3"/>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tblInd w:w="0" w:type="dxa"/>
      <w:shd w:val="clear" w:color="auto" w:fill="000000"/>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tblInd w:w="0" w:type="dxa"/>
      <w:shd w:val="clear" w:color="auto" w:fill="4f81b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tblInd w:w="0" w:type="dxa"/>
      <w:shd w:val="clear" w:color="auto" w:fill="c0504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tblInd w:w="0" w:type="dxa"/>
      <w:shd w:val="clear" w:color="auto" w:fill="9bbb59"/>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tblInd w:w="0" w:type="dxa"/>
      <w:shd w:val="clear" w:color="auto" w:fill="8064a2"/>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tblInd w:w="0" w:type="dxa"/>
      <w:shd w:val="clear" w:color="auto" w:fill="4bacc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tblInd w:w="0" w:type="dxa"/>
      <w:shd w:val="clear" w:color="auto" w:fill="f7964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tblInd w:w="0" w:type="dxa"/>
      <w:shd w:val="clear" w:color="auto" w:fill="e6e6e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tblInd w:w="0" w:type="dxa"/>
      <w:shd w:val="clear" w:color="auto" w:fill="edf2f8"/>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tblInd w:w="0" w:type="dxa"/>
      <w:shd w:val="clear" w:color="auto" w:fill="f8eded"/>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tblInd w:w="0" w:type="dxa"/>
      <w:shd w:val="clear" w:color="auto" w:fill="f5f8ee"/>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tblInd w:w="0" w:type="dxa"/>
      <w:shd w:val="clear" w:color="auto" w:fill="f2eff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tblInd w:w="0" w:type="dxa"/>
      <w:shd w:val="clear" w:color="auto" w:fill="edf6f9"/>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tblInd w:w="0" w:type="dxa"/>
      <w:shd w:val="clear" w:color="auto" w:fill="fef4ec"/>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980</Words>
  <Pages>1</Pages>
  <Characters>6610</Characters>
  <Application>WPS Office</Application>
  <DocSecurity>0</DocSecurity>
  <Paragraphs>80</Paragraphs>
  <ScaleCrop>false</ScaleCrop>
  <LinksUpToDate>false</LinksUpToDate>
  <CharactersWithSpaces>7556</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2013-12-23T23:15:00Z</dcterms:created>
  <dc:creator>python-docx</dc:creator>
  <dc:description>generated by python-docx</dc:description>
  <lastModifiedBy>SM-A055F</lastModifiedBy>
  <dcterms:modified xsi:type="dcterms:W3CDTF">2025-12-17T01:47:09Z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fd491e18c2fb440ba824f07fdcc7e71e</vt:lpwstr>
  </property>
</Properties>
</file>