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</w:pPr>
      <w:r>
        <w:rPr>
          <w:rFonts w:ascii="Times New Roman" w:hAnsi="Times New Roman"/>
          <w:color w:val="000000"/>
          <w:sz w:val="20"/>
        </w:rPr>
        <w:t>UNIVERSIDAD COOPERATIVA DE COLOMBIA</w:t>
        <w:br/>
        <w:t>Diseño de Interfaces de Software | Docente: Jhonatan Andres Mideros Narvaez</w:t>
        <w:br/>
        <w:t>Semestre: Quinto (5B) | Caso de Estudio: FocusRead AI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8"/>
        </w:rPr>
        <w:t>DOCUMENTO 3: NAVEGACIÓN DE LA APLICACIÓN</w:t>
      </w:r>
    </w:p>
    <w:p>
      <w:pPr>
        <w:spacing w:before="0" w:after="280"/>
      </w:pPr>
      <w:r>
        <w:rPr>
          <w:rFonts w:ascii="Times New Roman" w:hAnsi="Times New Roman"/>
          <w:i/>
          <w:color w:val="000000"/>
          <w:sz w:val="24"/>
        </w:rPr>
        <w:t>Navegación Global, Navegación Contextual (Wayfinding) y Matriz de Flujos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Fundamentación: </w:t>
      </w:r>
      <w:r>
        <w:rPr>
          <w:rFonts w:ascii="Times New Roman" w:hAnsi="Times New Roman"/>
          <w:color w:val="000000"/>
          <w:sz w:val="24"/>
        </w:rPr>
        <w:t>Este documento desarrolla la dimensión de navegación fundamentándose en la diapositiva 5: 'Patrones de Navegación: Global vs Local'. Se articulan los componentes persistentes de la vista global, los mecanismos locales de orientación del usuario (Wayfinding) y los diagramas de flujo de pantallas de FocusRead AI.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1. Patrón de Navegación Global (Persistent Navigation)</w:t>
      </w:r>
    </w:p>
    <w:p>
      <w:pPr>
        <w:spacing w:before="0" w:after="120" w:line="276" w:lineRule="auto"/>
      </w:pPr>
      <w:r>
        <w:rPr>
          <w:rFonts w:ascii="Times New Roman" w:hAnsi="Times New Roman"/>
          <w:color w:val="000000"/>
          <w:sz w:val="24"/>
        </w:rPr>
        <w:t>La navegación global garantiza que el usuario tenga acceso predecible y constante a los destinos estructurales de la aplicación, sin importar en qué nivel de profundidad se encuentre: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Elemento de Navegación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Ubicación en Móvil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Contenido / Opciones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Principio Ergonómico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Barra Superior (Top Bar)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Margen superior fijo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Identificador FocusRead AI, perfil y ajustes rápidos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Zona de menor alcance manual; reservada para consulta y configuración.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Barra Inferior (Bottom Bar)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Borde inferior persistente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Inicio (Feed), Biblioteca, Racha y Perfil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Zona natural del pulgar (Thumb Zone) para alternar entre módulos principales.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Botón Flotante (FAB)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Esquina inferior derecha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Acción rápida de 'Importar URL / Agregar Artículo'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Acceso directo en 1 tap para la acción operativa más importante del sistema.</w:t>
            </w:r>
          </w:p>
        </w:tc>
      </w:tr>
    </w:tbl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2. Patrón de Navegación Contextual y Local (Wayfinding)</w:t>
      </w:r>
    </w:p>
    <w:p>
      <w:pPr>
        <w:spacing w:before="0" w:after="120" w:line="276" w:lineRule="auto"/>
      </w:pPr>
      <w:r>
        <w:rPr>
          <w:rFonts w:ascii="Times New Roman" w:hAnsi="Times New Roman"/>
          <w:color w:val="000000"/>
          <w:sz w:val="24"/>
        </w:rPr>
        <w:t>La navegación local y los elementos de Wayfinding permiten al lector orientarse espacialmente, respondiendo a su posición actual, procedencia y opciones de avance disponibles: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Mecanismo Contextual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Implementación en FocusRead AI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Función de Orientación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Comportamiento Visual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Migas de Pan (Breadcrumbs)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Header en Modo Zen: Inicio &gt; [Categoría] &gt; Dosis 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Informa la ubicación jerárquica y permite regresar a cualquier nivel previo.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Texto secundario con flecha o separador.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Pestañas Locales (Tabs)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Selector superior: Todos / En Progreso / Guardados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Segmenta los artículos dentro de la misma pantalla sin recargar.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Subrayado o píldora con realce visual.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Indicador de Pasos (Stepper)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Barra segmentada en pantalla de lectura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Indica qué número de dosis se lee y cuántas restan para concluir.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Segmentos proporcionales con cambio de estado.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Menús de Acción Contextual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Icono de tres puntos (...) en cada tarjeta de artículo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Despliega opciones específicas: compartir, marcar favorito o descartar.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Menú desplegable local que no interrumpe la lectura.</w:t>
            </w:r>
          </w:p>
        </w:tc>
      </w:tr>
    </w:tbl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3. Matriz de Flujos de Navegación y Transiciones</w:t>
      </w:r>
    </w:p>
    <w:p>
      <w:pPr>
        <w:spacing w:before="0" w:after="120" w:line="276" w:lineRule="auto"/>
      </w:pPr>
      <w:r>
        <w:rPr>
          <w:rFonts w:ascii="Times New Roman" w:hAnsi="Times New Roman"/>
          <w:color w:val="000000"/>
          <w:sz w:val="24"/>
        </w:rPr>
        <w:t>La interacción táctil y las transiciones entre estados de pantalla están estructuradas de la siguiente manera: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Pantalla Origen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Acción del Usuario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Transición / Efecto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Pantalla Destino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Objetivo de la Transición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HomeScreen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Tocar tarjeta de artículo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Expansión vertical suave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ZenReaderScreen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Abrir la vista de lectura minimizando distracciones visuales.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HomeScreen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Tocar icono de reproducción rápida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Despliegue de reproductor compacto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Mini-Player activo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Permitir escuchar el resumen mientras se sigue explorando el feed.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ZenReaderScreen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Gesto de deslizar a la derecha o botón atrás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Desplazamiento horizontal de salida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HomeScreen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Retornar al dashboard conservando el progreso registrado.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ZenReaderScreen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Presionar 'Completar Dosis'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Avance de carrusel hacia la izquierda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Siguiente Micro-Dosis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Dar continuidad inmediata a la sesión de asimilación.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Cualquier pantalla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Alternar selector de tema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Cambio de paleta sin recarga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Misma vista (Papel/Sepia/Oscuro)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1"/>
              </w:rPr>
              <w:t>Garantizar confort visual según la iluminación ambiental.</w:t>
            </w:r>
          </w:p>
        </w:tc>
      </w:tr>
    </w:tbl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4. Sistema de Búsqueda y Recuperación</w:t>
      </w:r>
    </w:p>
    <w:p>
      <w:pPr>
        <w:spacing w:before="0" w:after="120" w:line="276" w:lineRule="auto"/>
      </w:pPr>
      <w:r>
        <w:rPr>
          <w:rFonts w:ascii="Times New Roman" w:hAnsi="Times New Roman"/>
          <w:color w:val="000000"/>
          <w:sz w:val="24"/>
        </w:rPr>
        <w:t>El cuarto sistema de la arquitectura de información (Búsqueda) se articula en la barra de exploración superior: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Indexación Local: </w:t>
      </w:r>
      <w:r>
        <w:rPr>
          <w:rFonts w:ascii="Times New Roman" w:hAnsi="Times New Roman"/>
          <w:color w:val="000000"/>
          <w:sz w:val="24"/>
        </w:rPr>
        <w:t>• Búsqueda en tiempo real: Se evalúan coincidencias sobre títulos, nombres de autor, etiquetas temáticas y conceptos de la síntesis ejecutiva a medida que el usuario escribe.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Recuperación ante Cero Resultados: </w:t>
      </w:r>
      <w:r>
        <w:rPr>
          <w:rFonts w:ascii="Times New Roman" w:hAnsi="Times New Roman"/>
          <w:color w:val="000000"/>
          <w:sz w:val="24"/>
        </w:rPr>
        <w:t>• Manejo de ausencia de resultados: En caso de no existir coincidencias, la pantalla sugiere términos alternativos y ofrece un acceso directo para pegar una URL e importar contenido nuevo.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