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CHAPTER 6</w:t>
      </w:r>
    </w:p>
    <w:p>
      <w:pPr>
        <w:spacing w:after="360"/>
        <w:jc w:val="center"/>
      </w:pPr>
      <w:r>
        <w:rPr>
          <w:rFonts w:ascii="Arial" w:hAnsi="Arial"/>
          <w:b/>
          <w:sz w:val="32"/>
        </w:rPr>
        <w:t>Discussion</w:t>
      </w:r>
    </w:p>
    <w:p>
      <w:pPr>
        <w:pStyle w:val="Heading1"/>
      </w:pPr>
      <w:r>
        <w:rPr>
          <w:rFonts w:ascii="Arial" w:hAnsi="Arial"/>
          <w:color w:val="000000"/>
        </w:rPr>
        <w:t>6.1 Introduction</w:t>
      </w:r>
    </w:p>
    <w:p>
      <w:pPr>
        <w:spacing w:after="120"/>
      </w:pPr>
      <w:r>
        <w:rPr>
          <w:rFonts w:ascii="Arial" w:hAnsi="Arial"/>
          <w:b w:val="0"/>
          <w:i w:val="0"/>
          <w:sz w:val="22"/>
        </w:rPr>
        <w:t>This chapter discusses the empirical findings of the thesis in the context of the research gaps identified in Chapter 2 and the broader academic literature. The discussion proceeds in seven parts. Section 6.2 synthesises the principal results from Chapters 4 and 5. Section 6.3 revisits each of the four research gaps from the literature review and evaluates the extent to which the thesis has closed them. Section 6.4 positions the findings against the comparable studies referenced in Chapter 2. Sections 6.5 and 6.6 discuss the theoretical and practical contributions of the work. Section 6.7 addresses validity threats. Section 6.8 expands on the limitations introduced in Chapters 4 and 5. Section 6.9 identifies promising directions for future research. Section 6.10 summarises the chapter.</w:t>
      </w:r>
    </w:p>
    <w:p>
      <w:pPr>
        <w:pStyle w:val="Heading1"/>
      </w:pPr>
      <w:r>
        <w:rPr>
          <w:rFonts w:ascii="Arial" w:hAnsi="Arial"/>
          <w:color w:val="000000"/>
        </w:rPr>
        <w:t>6.2 Synthesis of Empirical Findings</w:t>
      </w:r>
    </w:p>
    <w:p>
      <w:pPr>
        <w:spacing w:after="120"/>
      </w:pPr>
      <w:r>
        <w:rPr>
          <w:rFonts w:ascii="Arial" w:hAnsi="Arial"/>
          <w:b w:val="0"/>
          <w:i w:val="0"/>
          <w:sz w:val="22"/>
        </w:rPr>
        <w:t>Three findings emerge from the empirical work and form the basis for the discussion that follows.</w:t>
      </w:r>
    </w:p>
    <w:p>
      <w:pPr>
        <w:spacing w:after="120"/>
      </w:pPr>
      <w:r>
        <w:rPr>
          <w:rFonts w:ascii="Arial" w:hAnsi="Arial"/>
          <w:b w:val="0"/>
          <w:i w:val="0"/>
          <w:sz w:val="22"/>
        </w:rPr>
        <w:t>Finding 1: Forecast accuracy improvements at SKU-daily granularity are modest. The stacking ensemble of LightGBM, XGBoost, and Random Forest base learners combined through a non-negative Ridge meta-learner achieves the best point-forecast accuracy across all twelve models evaluated (MAE 0.952, WMAPE 73.58%). Improvements over the best classical baselines are 4.5% on MAE, 9.5% on RMSE, and approximately flat on MAPE. These figures sit below the 10–25% target band specified in Chapter 1 — an outcome that, while initially appearing as a shortfall, is consistent with the granularity-dependence documented in the M5 retrospective literature. The headline accuracy figures reported by Barghi (2025) and Seyedan et al. (2023) are obtained at weekly or category-level aggregation, where averaging across observations softens the relative weight of zero-actual days that distort per-row percentage metrics.</w:t>
      </w:r>
    </w:p>
    <w:p>
      <w:pPr>
        <w:spacing w:after="120"/>
      </w:pPr>
      <w:r>
        <w:rPr>
          <w:rFonts w:ascii="Arial" w:hAnsi="Arial"/>
          <w:b w:val="0"/>
          <w:i w:val="0"/>
          <w:sz w:val="22"/>
        </w:rPr>
        <w:t>Finding 2: The Gaussian safety-stock formula systematically under-allocates buffer inventory for intermittent demand. The empirical 95th-percentile demand spread, computed from the LightGBM quantile-regression model, is 1.36 times the Gaussian-implied buffer at the same nominal service level. The Gaussian formula, by assuming normality on a right-skewed and zero-inflated demand distribution, prescribes a buffer that covers approximately the 83rd percentile rather than the targeted 95th. This phenomenon is implicit in the textbook treatment of safety stock (Silver, Pyke &amp; Thomas, 2017) but has not, to the author's knowledge, been quantitatively measured on a standard retail benchmark such as M5 in prior literature.</w:t>
      </w:r>
    </w:p>
    <w:p>
      <w:pPr>
        <w:spacing w:after="120"/>
      </w:pPr>
      <w:r>
        <w:rPr>
          <w:rFonts w:ascii="Arial" w:hAnsi="Arial"/>
          <w:b w:val="0"/>
          <w:i w:val="0"/>
          <w:sz w:val="22"/>
        </w:rPr>
        <w:t>Finding 3: Operational cost reduction is substantial and robust. When the Gaussian under-allocation gap is closed through quantile-based safety-stock calibration, total annual inventory cost reduces by 21% at the central scenario (L = 14, SL = 95%, baseline stockout cost) and is robust across all four lead-time scenarios specified in Chapter 1 (20.8–21.2%). Sensitivity analysis across MAPE (3–15%), stockout cost multiplier (0.4 to 2.0×), and service level (90% to 99%) confirms that the result exceeds the Chapter 1 target of 5–15% even under the most conservative stockout cost assumption, and demonstrates that the framework's value scales most strongly with service level — making it most valuable for high-margin or reputation-critical SME inventory.</w:t>
      </w:r>
    </w:p>
    <w:p>
      <w:pPr>
        <w:pStyle w:val="Heading1"/>
      </w:pPr>
      <w:r>
        <w:rPr>
          <w:rFonts w:ascii="Arial" w:hAnsi="Arial"/>
          <w:color w:val="000000"/>
        </w:rPr>
        <w:t>6.3 Revisiting the Four Research Gaps</w:t>
      </w:r>
    </w:p>
    <w:p>
      <w:pPr>
        <w:spacing w:after="120"/>
      </w:pPr>
      <w:r>
        <w:rPr>
          <w:rFonts w:ascii="Arial" w:hAnsi="Arial"/>
          <w:b w:val="0"/>
          <w:i w:val="0"/>
          <w:sz w:val="22"/>
        </w:rPr>
        <w:t>The literature review in Chapter 2 identified four research gaps that motivated the design of the thesis. This section returns to each gap and evaluates the extent to which the empirical work has closed it.</w:t>
      </w:r>
    </w:p>
    <w:p>
      <w:pPr>
        <w:pStyle w:val="Heading2"/>
      </w:pPr>
      <w:r>
        <w:rPr>
          <w:rFonts w:ascii="Arial" w:hAnsi="Arial"/>
          <w:color w:val="000000"/>
        </w:rPr>
        <w:t>6.3.1 Gap 1 — Disconnect between forecast accuracy and inventory decisions</w:t>
      </w:r>
    </w:p>
    <w:p>
      <w:pPr>
        <w:spacing w:after="120"/>
      </w:pPr>
      <w:r>
        <w:rPr>
          <w:rFonts w:ascii="Arial" w:hAnsi="Arial"/>
          <w:b w:val="0"/>
          <w:i w:val="0"/>
          <w:sz w:val="22"/>
        </w:rPr>
        <w:t>Gap 1, articulated explicitly by Seyedan et al. (2023), identifies that most comparative forecasting studies report accuracy metrics without translating improved forecasts into operational inventory outcomes. This thesis addresses Gap 1 directly through the OUTL integration and the quantile-based safety stock formulation in Chapter 5.</w:t>
      </w:r>
    </w:p>
    <w:p>
      <w:pPr>
        <w:spacing w:after="120"/>
      </w:pPr>
      <w:r>
        <w:rPr>
          <w:rFonts w:ascii="Arial" w:hAnsi="Arial"/>
          <w:b w:val="0"/>
          <w:i w:val="0"/>
          <w:sz w:val="22"/>
        </w:rPr>
        <w:t>The findings provide quantitative evidence of why the gap matters operationally. When ML forecasts are fed into the same Gaussian safety-stock formula as classical forecasts, the operational benefit is negligible (the ML-Gaussian policy saves approximately $20 per year per 502-series test set, or 0.02% of total annual cost). The forecast-to-inventory disconnect is not closed by improving forecast accuracy within the conventional Gaussian formulation; it is closed by changing the formulation itself to incorporate the empirical demand distribution that quantile regression makes accessible. This is a specific, actionable refinement of the broader gap identified by Seyedan et al. (2023): the missing methodological step is not better forecasts but a different mapping from forecast to inventory.</w:t>
      </w:r>
    </w:p>
    <w:p>
      <w:pPr>
        <w:spacing w:after="120"/>
      </w:pPr>
      <w:r>
        <w:rPr>
          <w:rFonts w:ascii="Arial" w:hAnsi="Arial"/>
          <w:b w:val="0"/>
          <w:i w:val="0"/>
          <w:sz w:val="22"/>
        </w:rPr>
        <w:t>This thesis therefore contributes to closing Gap 1 in two complementary ways. First, it provides the first quantitative measurement on the M5 benchmark of the magnitude of the Gaussian under-allocation problem (a factor of 1.36, or equivalently a ~12 percentage-point service-level under-shoot). Second, it provides a concrete, operationally deployable alternative — LightGBM quantile regression feeding empirically calibrated safety stock — and quantifies its cost impact across realistic operational scenarios.</w:t>
      </w:r>
    </w:p>
    <w:p>
      <w:pPr>
        <w:pStyle w:val="Heading2"/>
      </w:pPr>
      <w:r>
        <w:rPr>
          <w:rFonts w:ascii="Arial" w:hAnsi="Arial"/>
          <w:color w:val="000000"/>
        </w:rPr>
        <w:t>6.3.2 Gap 2 — Real-world deployment and operational validation</w:t>
      </w:r>
    </w:p>
    <w:p>
      <w:pPr>
        <w:spacing w:after="120"/>
      </w:pPr>
      <w:r>
        <w:rPr>
          <w:rFonts w:ascii="Arial" w:hAnsi="Arial"/>
          <w:b w:val="0"/>
          <w:i w:val="0"/>
          <w:sz w:val="22"/>
        </w:rPr>
        <w:t>Gap 2 concerns the limited focus in the literature on real-world deployment, model maintenance, and the practical constraints of live operation. The literature is dominated by historical-simulation evaluations that do not address the deployment layer.</w:t>
      </w:r>
    </w:p>
    <w:p>
      <w:pPr>
        <w:spacing w:after="120"/>
      </w:pPr>
      <w:r>
        <w:rPr>
          <w:rFonts w:ascii="Arial" w:hAnsi="Arial"/>
          <w:b w:val="0"/>
          <w:i w:val="0"/>
          <w:sz w:val="22"/>
        </w:rPr>
        <w:t>The thesis addresses Gap 2 through three concrete deliverables. First, the end-to-end pipeline produces a set of CSV data feeds that are designed for daily refresh in a production deployment — five files exported from the Python pipeline corresponding to the four dashboard views and a KPI summary. Second, the Power BI dashboard provides an interactive, accessible interface for non-technical retail managers, organising the framework's outputs into four operational views (Forecast Overview, Inventory Status, Cost Analysis, Sensitivity Analysis) and exposing the underlying parameters as configurable filters. Third, the four-dimensional sensitivity analysis quantifies how the operational result varies with the principal parameters that practitioners would actually adjust in deployment — lead time, service level, stockout cost, and forecast accuracy.</w:t>
      </w:r>
    </w:p>
    <w:p>
      <w:pPr>
        <w:spacing w:after="120"/>
      </w:pPr>
      <w:r>
        <w:rPr>
          <w:rFonts w:ascii="Arial" w:hAnsi="Arial"/>
          <w:b w:val="0"/>
          <w:i w:val="0"/>
          <w:sz w:val="22"/>
        </w:rPr>
        <w:t>While the thesis does not implement live deployment or model maintenance routines, the framework is structurally deployable: data feeds are CSV-based and refresh on a daily cycle, the modelling pipeline is reproducible from raw inputs, and the SME transferability specification in §3.11 documents the minimum data, tooling, hardware, and skills required to operate the framework outside a research environment. The gap is not fully closed — live deployment and incremental model updating are out of scope — but the framework is delivered in a form that significantly closes the distance between the published academic literature and operational deployment.</w:t>
      </w:r>
    </w:p>
    <w:p>
      <w:pPr>
        <w:pStyle w:val="Heading2"/>
      </w:pPr>
      <w:r>
        <w:rPr>
          <w:rFonts w:ascii="Arial" w:hAnsi="Arial"/>
          <w:color w:val="000000"/>
        </w:rPr>
        <w:t>6.3.3 Gap 3 — SME accessibility and scalability</w:t>
      </w:r>
    </w:p>
    <w:p>
      <w:pPr>
        <w:spacing w:after="120"/>
      </w:pPr>
      <w:r>
        <w:rPr>
          <w:rFonts w:ascii="Arial" w:hAnsi="Arial"/>
          <w:b w:val="0"/>
          <w:i w:val="0"/>
          <w:sz w:val="22"/>
        </w:rPr>
        <w:t>Gap 3 concerns the dominance in the literature of frameworks designed for enterprise-scale analytics infrastructure, with limited attention to whether the same methodologies are viable for small and medium-sized retailers operating with constrained resources. The thesis addresses this gap through the explicit SME transferability commitment of Chapter 1 and the corresponding specification in §3.11.</w:t>
      </w:r>
    </w:p>
    <w:p>
      <w:pPr>
        <w:spacing w:after="120"/>
      </w:pPr>
      <w:r>
        <w:rPr>
          <w:rFonts w:ascii="Arial" w:hAnsi="Arial"/>
          <w:b w:val="0"/>
          <w:i w:val="0"/>
          <w:sz w:val="22"/>
        </w:rPr>
        <w:t>Three specific design choices implement this commitment. First, the entire pipeline is built on free and open-source tooling — Python with mainstream libraries (pandas, scikit-learn, lightgbm, xgboost, tensorflow, statsforecast, shap) and Microsoft Power BI Desktop free tier. No commercial software licence or cloud-computing subscription is required. Second, the framework runs in under three hours on a standard 16 GB-RAM laptop with no GPU. Third, the data inputs required — daily SKU-store sales, weekly prices, and a calendar — are standard outputs of off-the-shelf SME point-of-sale systems, ensuring that no additional data infrastructure investment is needed.</w:t>
      </w:r>
    </w:p>
    <w:p>
      <w:pPr>
        <w:spacing w:after="120"/>
      </w:pPr>
      <w:r>
        <w:rPr>
          <w:rFonts w:ascii="Arial" w:hAnsi="Arial"/>
          <w:b w:val="0"/>
          <w:i w:val="0"/>
          <w:sz w:val="22"/>
        </w:rPr>
        <w:t>An important nuance is that SME transferability is not simply a tooling question but also a methodological one: the framework must work on the scale of inventory that SMEs operate, not just on the scale of enterprise benchmarks. The stratified subsample of 502 product-store series used in the thesis is a deliberate choice in this respect — a representative SME inventory might consist of 200–500 SKUs across a small number of locations, which the framework handles within a runtime envelope that permits daily refresh. The framework is therefore not merely portable to SME environments; it is sized for them.</w:t>
      </w:r>
    </w:p>
    <w:p>
      <w:pPr>
        <w:pStyle w:val="Heading2"/>
      </w:pPr>
      <w:r>
        <w:rPr>
          <w:rFonts w:ascii="Arial" w:hAnsi="Arial"/>
          <w:color w:val="000000"/>
        </w:rPr>
        <w:t>6.3.4 Gap 4 — Responsible AI and model transparency</w:t>
      </w:r>
    </w:p>
    <w:p>
      <w:pPr>
        <w:spacing w:after="120"/>
      </w:pPr>
      <w:r>
        <w:rPr>
          <w:rFonts w:ascii="Arial" w:hAnsi="Arial"/>
          <w:b w:val="0"/>
          <w:i w:val="0"/>
          <w:sz w:val="22"/>
        </w:rPr>
        <w:t>Gap 4 concerns the limited treatment of responsible AI principles — transparency, fairness, and data minimisation — in the retail forecasting literature. Ungureanu (2025) highlights this gap as under-addressed in comparable forecasting studies.</w:t>
      </w:r>
    </w:p>
    <w:p>
      <w:pPr>
        <w:spacing w:after="120"/>
      </w:pPr>
      <w:r>
        <w:rPr>
          <w:rFonts w:ascii="Arial" w:hAnsi="Arial"/>
          <w:b w:val="0"/>
          <w:i w:val="0"/>
          <w:sz w:val="22"/>
        </w:rPr>
        <w:t>The thesis addresses Gap 4 through three elements documented in §3.10 and reported in §4.11 and §4.12. Model transparency is established through SHAP analysis of the best-performing model, identifying the principal demand drivers (rolling means, target-encoded item-level seasonality, and demand volatility) and quantifying their relative contribution. The top five SHAP-ranked features account for 78.6% of model predictions, making the model interpretable at the feature level. Performance fairness is established through disaggregated error metrics by product category (Foods, Hobbies, Household) and by state (California, Texas, Wisconsin), with the observation that performance variation across these groups reflects underlying demand structure (intermittence levels, demand volumes) rather than systematic algorithmic bias. Data minimisation is implemented by retaining only features with non-trivial SHAP contribution.</w:t>
      </w:r>
    </w:p>
    <w:p>
      <w:pPr>
        <w:spacing w:after="120"/>
      </w:pPr>
      <w:r>
        <w:rPr>
          <w:rFonts w:ascii="Arial" w:hAnsi="Arial"/>
          <w:b w:val="0"/>
          <w:i w:val="0"/>
          <w:sz w:val="22"/>
        </w:rPr>
        <w:t>A consideration worth flagging is that the fairness analysis reveals coefficient-of-variation figures (26.8% for category, 19.8% for state) that initially appear above conventional algorithmic-bias thresholds. The discussion in §4.12 establishes that the variation is explained by structural differences in the underlying demand distributions — Foods has higher absolute MAE because its absolute sales volume is higher, not because the model treats Foods worse — and the fairness check ultimately passes. Future work should consider extending the fairness analysis to additional dimensions such as series intermittence level, which would isolate algorithmic behaviour from data structure more cleanly.</w:t>
      </w:r>
    </w:p>
    <w:p>
      <w:pPr>
        <w:pStyle w:val="Heading1"/>
      </w:pPr>
      <w:r>
        <w:rPr>
          <w:rFonts w:ascii="Arial" w:hAnsi="Arial"/>
          <w:color w:val="000000"/>
        </w:rPr>
        <w:t>6.4 Comparison with the Literature</w:t>
      </w:r>
    </w:p>
    <w:p>
      <w:pPr>
        <w:spacing w:after="120"/>
      </w:pPr>
      <w:r>
        <w:rPr>
          <w:rFonts w:ascii="Arial" w:hAnsi="Arial"/>
          <w:b w:val="0"/>
          <w:i w:val="0"/>
          <w:sz w:val="22"/>
        </w:rPr>
        <w:t>This section positions the thesis findings against the principal comparable studies reviewed in Chapter 2. The comparison focuses on three axes: forecast accuracy, modelling architecture, and inventory cost impact.</w:t>
      </w:r>
    </w:p>
    <w:p>
      <w:pPr>
        <w:spacing w:after="120"/>
      </w:pPr>
      <w:r>
        <w:rPr>
          <w:rFonts w:ascii="Arial" w:hAnsi="Arial"/>
          <w:b w:val="0"/>
          <w:i w:val="0"/>
          <w:sz w:val="22"/>
        </w:rPr>
        <w:t>Forecast accuracy. Barghi (2025) reports MAPE of 6.48% (hybrid ensemble) reduced to 3.53% with fuzzy generalisation preprocessing, on the Rossmann Store Sales dataset at weekly aggregation. Seyedan et al. (2023) report MAPE of 5.22% (sports) and 9.58% (electronics) with their heterogeneous MLP-LSTM-CNN stacking ensemble on weekly retail data. Nasseri et al. (2023) report MAPE in a similar range with Extra Tree Regressors on perishable retail categories. The MAPE figures in this thesis — 53–58% across the model tiers at SKU-daily granularity — are an order of magnitude higher in absolute terms but consistent with the M5 retrospective literature at the same granularity. Single-digit MAPE on M5-style data is achievable only at weekly or category-level aggregation; the SKU-daily granularity used in this thesis is methodologically more demanding and operationally more informative, because inventory decisions are made at the SKU-store-day level rather than at aggregated levels.</w:t>
      </w:r>
    </w:p>
    <w:p>
      <w:pPr>
        <w:spacing w:after="120"/>
      </w:pPr>
      <w:r>
        <w:rPr>
          <w:rFonts w:ascii="Arial" w:hAnsi="Arial"/>
          <w:b w:val="0"/>
          <w:i w:val="0"/>
          <w:sz w:val="22"/>
        </w:rPr>
        <w:t>Modelling architecture. Barghi (2025) develops a sequential residual-correction ensemble (LightGBM → CatBoost → XGBoost) with a learning rate of 0.05 across all three stages. This thesis explicitly considered and rejected the sequential residual-correction design in favour of conventional stacking with a Ridge meta-learner, on the methodological grounds that sequential residual chaining tends to overfit successive layers to the noise of earlier layers and that stacking with non-negative weights is the more conventional heterogeneous ensemble architecture in the modern forecasting literature (Mitra et al., 2022; Seyedan et al., 2023). The empirical results support this choice: the stacking ensemble achieves the best MAE and WMAPE among all twelve models evaluated.</w:t>
      </w:r>
    </w:p>
    <w:p>
      <w:pPr>
        <w:spacing w:after="120"/>
      </w:pPr>
      <w:r>
        <w:rPr>
          <w:rFonts w:ascii="Arial" w:hAnsi="Arial"/>
          <w:b w:val="0"/>
          <w:i w:val="0"/>
          <w:sz w:val="22"/>
        </w:rPr>
        <w:t>Inventory cost impact. Seyedan et al. (2023) report inventory cost reductions in the range of 8–14% for their ensemble against single-model baselines, on a weekly aggregated dataset. The thesis's headline figure of 21% (baseline stockout multiplier) and robustness range of 15–37% (across the stockout cost sensitivity) exceeds the Seyedan et al. result in absolute terms. The explanation lies in the mechanism: Seyedan et al. attribute their savings to improved point-forecast accuracy feeding the Gaussian formula, whereas the present thesis attributes its savings to the empirical quantile reformulation of the safety-stock calculation itself. The two mechanisms are complementary, and a future extension would combine them by applying the quantile reformulation to the Seyedan stacking ensemble.</w:t>
      </w:r>
    </w:p>
    <w:p>
      <w:pPr>
        <w:pStyle w:val="Heading1"/>
      </w:pPr>
      <w:r>
        <w:rPr>
          <w:rFonts w:ascii="Arial" w:hAnsi="Arial"/>
          <w:color w:val="000000"/>
        </w:rPr>
        <w:t>6.5 Theoretical Contributions</w:t>
      </w:r>
    </w:p>
    <w:p>
      <w:pPr>
        <w:spacing w:after="120"/>
      </w:pPr>
      <w:r>
        <w:rPr>
          <w:rFonts w:ascii="Arial" w:hAnsi="Arial"/>
          <w:b w:val="0"/>
          <w:i w:val="0"/>
          <w:sz w:val="22"/>
        </w:rPr>
        <w:t>The thesis makes three theoretical contributions.</w:t>
      </w:r>
    </w:p>
    <w:p>
      <w:pPr>
        <w:spacing w:after="120"/>
      </w:pPr>
      <w:r>
        <w:rPr>
          <w:rFonts w:ascii="Arial" w:hAnsi="Arial"/>
          <w:b w:val="0"/>
          <w:i w:val="0"/>
          <w:sz w:val="22"/>
        </w:rPr>
        <w:t>First, it provides the first quantitative empirical measurement on the M5 benchmark of the Gaussian safety-stock under-allocation gap for intermittent demand. The 1.36 factor between empirical 95th-percentile demand spread and the Gaussian-implied buffer is, to the author's knowledge, not previously reported in the M5 literature. This finding is directly relevant to the broader inventory theory literature, which acknowledges the Gaussian assumption's validity conditions (Silver et al., 2017) but rarely measures the gap on a standard benchmark.</w:t>
      </w:r>
    </w:p>
    <w:p>
      <w:pPr>
        <w:spacing w:after="120"/>
      </w:pPr>
      <w:r>
        <w:rPr>
          <w:rFonts w:ascii="Arial" w:hAnsi="Arial"/>
          <w:b w:val="0"/>
          <w:i w:val="0"/>
          <w:sz w:val="22"/>
        </w:rPr>
        <w:t>Second, the thesis demonstrates that the operational value of ML forecasting in retail inventory management is mediated by the inventory formulation, not by the forecasting model alone. The negligible improvement of the ML-Gaussian policy over Classical-Gaussian (0.02% of annual cost) and the substantial improvement of ML-Empirical-Quantile over Classical-Gaussian (21%) jointly establish that the inventory-formulation choice dominates the forecasting-model choice for operational cost outcomes. This is a refinement of the literature's common framing of forecasting-inventory integration as primarily a forecasting problem.</w:t>
      </w:r>
    </w:p>
    <w:p>
      <w:pPr>
        <w:spacing w:after="120"/>
      </w:pPr>
      <w:r>
        <w:rPr>
          <w:rFonts w:ascii="Arial" w:hAnsi="Arial"/>
          <w:b w:val="0"/>
          <w:i w:val="0"/>
          <w:sz w:val="22"/>
        </w:rPr>
        <w:t>Third, the thesis shows that the operational value of forecast-inventory integration is robust to MAPE level. Across the 3–15% MAPE sensitivity range, the cost reduction varies by less than 0.1 percentage points. The practical implication is that the marginal operational value of further forecast accuracy improvement, beyond the level needed to support the quantile-regression model, is small. This finding suggests a reordering of research priorities in retail demand forecasting: the next decimal point of MAPE is less operationally valuable than improvements in the inventory-decision layer that translate any forecast (with or without ML) into stock-keeping decisions.</w:t>
      </w:r>
    </w:p>
    <w:p>
      <w:pPr>
        <w:pStyle w:val="Heading1"/>
      </w:pPr>
      <w:r>
        <w:rPr>
          <w:rFonts w:ascii="Arial" w:hAnsi="Arial"/>
          <w:color w:val="000000"/>
        </w:rPr>
        <w:t>6.6 Practical Contributions</w:t>
      </w:r>
    </w:p>
    <w:p>
      <w:pPr>
        <w:spacing w:after="120"/>
      </w:pPr>
      <w:r>
        <w:rPr>
          <w:rFonts w:ascii="Arial" w:hAnsi="Arial"/>
          <w:b w:val="0"/>
          <w:i w:val="0"/>
          <w:sz w:val="22"/>
        </w:rPr>
        <w:t>Three practical contributions complement the theoretical findings.</w:t>
      </w:r>
    </w:p>
    <w:p>
      <w:pPr>
        <w:spacing w:after="120"/>
      </w:pPr>
      <w:r>
        <w:rPr>
          <w:rFonts w:ascii="Arial" w:hAnsi="Arial"/>
          <w:b w:val="0"/>
          <w:i w:val="0"/>
          <w:sz w:val="22"/>
        </w:rPr>
        <w:t>An end-to-end, reproducible, SME-deployable framework. The thesis delivers a complete workflow from raw M5 ingestion through to the Power BI dashboard, implemented in free and open-source tooling and runnable on a standard laptop. The framework is documented to the level of detail required for independent replication, including the stratified subsample construction (§3.3.3), the chronological train/validation/test split (§3.6.2), the feature engineering specification (§3.5), the model configurations (§3.6.1), and the OUTL calculations (§3.7).</w:t>
      </w:r>
    </w:p>
    <w:p>
      <w:pPr>
        <w:spacing w:after="120"/>
      </w:pPr>
      <w:r>
        <w:rPr>
          <w:rFonts w:ascii="Arial" w:hAnsi="Arial"/>
          <w:b w:val="0"/>
          <w:i w:val="0"/>
          <w:sz w:val="22"/>
        </w:rPr>
        <w:t>A decision-support dashboard for non-technical managers. The Power BI dashboard translates the modelling outputs into four operational views that surface the forecast, the inventory parameters, the cost decomposition, and the sensitivity-analysis curves. The dashboard supports practitioner what-if analysis — changing the service-level target, the assumed lead time, or the stockout cost multiplier and observing the impact on expected savings — without requiring the user to understand the underlying methodology.</w:t>
      </w:r>
    </w:p>
    <w:p>
      <w:pPr>
        <w:spacing w:after="120"/>
      </w:pPr>
      <w:r>
        <w:rPr>
          <w:rFonts w:ascii="Arial" w:hAnsi="Arial"/>
          <w:b w:val="0"/>
          <w:i w:val="0"/>
          <w:sz w:val="22"/>
        </w:rPr>
        <w:t>A defensible quantitative argument for the operational value of forecasting investment. By demonstrating that the headline 21% cost reduction is robust to MAPE level and achieves the Chapter 1 target band even under the most conservative stockout cost assumption (15% at m = 0.4), the thesis provides SME inventory managers with a defensible quantitative argument for adopting ML-based demand forecasting integrated with quantile-based safety-stock calibration. The sensitivity analysis curves (§5.7) provide the basis for adapting the headline figure to the specific operational parameters of any individual SME.</w:t>
      </w:r>
    </w:p>
    <w:p>
      <w:pPr>
        <w:pStyle w:val="Heading1"/>
      </w:pPr>
      <w:r>
        <w:rPr>
          <w:rFonts w:ascii="Arial" w:hAnsi="Arial"/>
          <w:color w:val="000000"/>
        </w:rPr>
        <w:t>6.7 Validity Threats</w:t>
      </w:r>
    </w:p>
    <w:p>
      <w:pPr>
        <w:spacing w:after="120"/>
      </w:pPr>
      <w:r>
        <w:rPr>
          <w:rFonts w:ascii="Arial" w:hAnsi="Arial"/>
          <w:b w:val="0"/>
          <w:i w:val="0"/>
          <w:sz w:val="22"/>
        </w:rPr>
        <w:t>Three classes of validity threat are considered: internal validity, external validity, and construct validity.</w:t>
      </w:r>
    </w:p>
    <w:p>
      <w:pPr>
        <w:spacing w:after="120"/>
      </w:pPr>
      <w:r>
        <w:rPr>
          <w:rFonts w:ascii="Arial" w:hAnsi="Arial"/>
          <w:b w:val="0"/>
          <w:i w:val="0"/>
          <w:sz w:val="22"/>
        </w:rPr>
        <w:t>Internal validity concerns whether the observed cost reduction is attributable to the framework rather than to confounding factors in the implementation. The principal internal-validity threat is the chronological split between training, validation, and test sets. The methodology in §3.6.2 specifies strict chronological partitioning to eliminate data leakage from future to past, and the evaluation results in Chapters 4 and 5 are computed on a hold-out test set that was not observed during training or hyperparameter tuning. A secondary threat is the target encoding of high-cardinality categorical features, which is also subject to leakage if not computed on training data only; §3.4.6 specifies that target encodings are computed exclusively on the training window and propagated unchanged to validation and test, eliminating this leakage channel.</w:t>
      </w:r>
    </w:p>
    <w:p>
      <w:pPr>
        <w:spacing w:after="120"/>
      </w:pPr>
      <w:r>
        <w:rPr>
          <w:rFonts w:ascii="Arial" w:hAnsi="Arial"/>
          <w:b w:val="0"/>
          <w:i w:val="0"/>
          <w:sz w:val="22"/>
        </w:rPr>
        <w:t>External validity concerns the generalisability of the findings to other retail contexts. The M5 dataset originates from a single large enterprise retailer (Walmart) operating primarily in three US states; the SME accessibility argument therefore rests on the transferability of the methodology, not on direct empirical validation in an SME environment. Specifically, the relative magnitudes of demand intermittence, the validity of the Gaussian under-allocation factor (1.36 in this dataset), and the cost components may differ materially in other retail contexts. The sensitivity analysis (§5.7) partially mitigates this threat by reporting the result across a wide range of parameter assumptions; a stronger mitigation would be replication on an actual SME inventory.</w:t>
      </w:r>
    </w:p>
    <w:p>
      <w:pPr>
        <w:spacing w:after="120"/>
      </w:pPr>
      <w:r>
        <w:rPr>
          <w:rFonts w:ascii="Arial" w:hAnsi="Arial"/>
          <w:b w:val="0"/>
          <w:i w:val="0"/>
          <w:sz w:val="22"/>
        </w:rPr>
        <w:t>Construct validity concerns whether the metrics used measure what they are intended to measure. The Chapter 1 MAPE improvement target is the principal construct-validity concern: at SKU-daily granularity on intermittent demand, MAPE is well-known to be an unstable metric, and the supplementary WMAPE used in this thesis is more robust for the data structure. The decision to retain MAPE while adding WMAPE as a supplementary metric preserves comparability with the literature (which uses MAPE) while providing a more honest signal for the operational interpretation. The cost reduction figure in Chapter 5 is computed analytically rather than through full inventory simulation, which is a deliberate methodological choice for tractability; the construct it measures is the expected annual cost under the analytical (R, s, S) policy, which is the construct used in Silver et al. (2017) and the related literature.</w:t>
      </w:r>
    </w:p>
    <w:p>
      <w:pPr>
        <w:pStyle w:val="Heading1"/>
      </w:pPr>
      <w:r>
        <w:rPr>
          <w:rFonts w:ascii="Arial" w:hAnsi="Arial"/>
          <w:color w:val="000000"/>
        </w:rPr>
        <w:t>6.8 Extended Limitations</w:t>
      </w:r>
    </w:p>
    <w:p>
      <w:pPr>
        <w:spacing w:after="120"/>
      </w:pPr>
      <w:r>
        <w:rPr>
          <w:rFonts w:ascii="Arial" w:hAnsi="Arial"/>
          <w:b w:val="0"/>
          <w:i w:val="0"/>
          <w:sz w:val="22"/>
        </w:rPr>
        <w:t>Five limitations specific to Chapter 5's inventory analysis were noted in §5.10. This section adds three further limitations spanning the thesis as a whole.</w:t>
      </w:r>
    </w:p>
    <w:p>
      <w:pPr>
        <w:spacing w:after="120"/>
      </w:pPr>
      <w:r>
        <w:rPr>
          <w:rFonts w:ascii="Arial" w:hAnsi="Arial"/>
          <w:b w:val="0"/>
          <w:i w:val="0"/>
          <w:sz w:val="22"/>
        </w:rPr>
        <w:t>First, the empirical safety stock derived from the per-day quantile spread is scaled to the (R+L)-day horizon using a √(R+L) factor under the same i.i.d. assumption as the Gaussian formula. This is a deliberate methodological choice for like-for-like comparison, but it inherits the i.i.d. limitation of the Gaussian formula. A more rigorous specification would train a quantile model directly on cumulative (R+L)-day demand rather than per-day demand, which would relax the i.i.d. assumption but at substantial computational cost. This refinement is left to future work.</w:t>
      </w:r>
    </w:p>
    <w:p>
      <w:pPr>
        <w:spacing w:after="120"/>
      </w:pPr>
      <w:r>
        <w:rPr>
          <w:rFonts w:ascii="Arial" w:hAnsi="Arial"/>
          <w:b w:val="0"/>
          <w:i w:val="0"/>
          <w:sz w:val="22"/>
        </w:rPr>
        <w:t>Second, the LSTM model in Tier 3 underperforms the tree-based models and the stacking ensemble. While this finding is consistent with the M5 retrospective literature, it does leave open the possibility that a more elaborate sequence architecture (e.g., Temporal Fusion Transformers, N-BEATS) or per-series LSTM specialisation would close the gap. The thesis evaluates only the methodology-specified LSTM architecture (128/64 stacked, dropout 0.2, 28-day lookback) and does not exhaust the deep learning design space.</w:t>
      </w:r>
    </w:p>
    <w:p>
      <w:pPr>
        <w:spacing w:after="120"/>
      </w:pPr>
      <w:r>
        <w:rPr>
          <w:rFonts w:ascii="Arial" w:hAnsi="Arial"/>
          <w:b w:val="0"/>
          <w:i w:val="0"/>
          <w:sz w:val="22"/>
        </w:rPr>
        <w:t>Third, the achieved service level under the Gaussian policy is computed by projection onto the empirical quantile distribution rather than by direct simulation of stockout events. A future extension would simulate demand drawn from the empirical distribution and explicitly count stockout events under each policy, providing a direct rather than inferred measurement of the under-allocation gap.</w:t>
      </w:r>
    </w:p>
    <w:p>
      <w:pPr>
        <w:pStyle w:val="Heading1"/>
      </w:pPr>
      <w:r>
        <w:rPr>
          <w:rFonts w:ascii="Arial" w:hAnsi="Arial"/>
          <w:color w:val="000000"/>
        </w:rPr>
        <w:t>6.9 Implications for Future Research</w:t>
      </w:r>
    </w:p>
    <w:p>
      <w:pPr>
        <w:spacing w:after="120"/>
      </w:pPr>
      <w:r>
        <w:rPr>
          <w:rFonts w:ascii="Arial" w:hAnsi="Arial"/>
          <w:b w:val="0"/>
          <w:i w:val="0"/>
          <w:sz w:val="22"/>
        </w:rPr>
        <w:t>The findings of this thesis suggest five directions for productive future research.</w:t>
      </w:r>
    </w:p>
    <w:p>
      <w:pPr>
        <w:spacing w:after="120"/>
      </w:pPr>
      <w:r>
        <w:rPr>
          <w:rFonts w:ascii="Arial" w:hAnsi="Arial"/>
          <w:b w:val="0"/>
          <w:i w:val="0"/>
          <w:sz w:val="22"/>
        </w:rPr>
        <w:t>First, the Gaussian under-allocation factor of 1.36 measured on M5 SKU-daily data should be re-measured on other retail benchmarks (Rossmann, Favorita, regional grocery datasets) to establish how the factor varies with category, granularity, and intermittence level. If the factor varies systematically with category structure, a category-specific calibration scheme could be developed.</w:t>
      </w:r>
    </w:p>
    <w:p>
      <w:pPr>
        <w:spacing w:after="120"/>
      </w:pPr>
      <w:r>
        <w:rPr>
          <w:rFonts w:ascii="Arial" w:hAnsi="Arial"/>
          <w:b w:val="0"/>
          <w:i w:val="0"/>
          <w:sz w:val="22"/>
        </w:rPr>
        <w:t>Second, the quantile-based safety stock formulation should be evaluated against more sophisticated probabilistic forecasting methods (e.g., DeepAR, Bayesian neural networks, conformal prediction intervals) to assess whether quantile regression is the right probabilistic model class for this purpose, or whether alternative probabilistic specifications yield further operational improvement.</w:t>
      </w:r>
    </w:p>
    <w:p>
      <w:pPr>
        <w:spacing w:after="120"/>
      </w:pPr>
      <w:r>
        <w:rPr>
          <w:rFonts w:ascii="Arial" w:hAnsi="Arial"/>
          <w:b w:val="0"/>
          <w:i w:val="0"/>
          <w:sz w:val="22"/>
        </w:rPr>
        <w:t>Third, the framework should be extended to incorporate live deployment routines: rolling retraining schedules, model drift detection, and the operational monitoring of forecast calibration over time. This extension would more fully close Gap 2 from Chapter 2.</w:t>
      </w:r>
    </w:p>
    <w:p>
      <w:pPr>
        <w:spacing w:after="120"/>
      </w:pPr>
      <w:r>
        <w:rPr>
          <w:rFonts w:ascii="Arial" w:hAnsi="Arial"/>
          <w:b w:val="0"/>
          <w:i w:val="0"/>
          <w:sz w:val="22"/>
        </w:rPr>
        <w:t>Fourth, the sensitivity analysis should be extended to incorporate non-linear stockout cost functions (e.g., increasing marginal cost as stockout frequency rises, reflecting customer-loyalty erosion) and supplier lead-time uncertainty. Both refinements would produce a more realistic operational cost model, although at the expense of analytical tractability.</w:t>
      </w:r>
    </w:p>
    <w:p>
      <w:pPr>
        <w:spacing w:after="120"/>
      </w:pPr>
      <w:r>
        <w:rPr>
          <w:rFonts w:ascii="Arial" w:hAnsi="Arial"/>
          <w:b w:val="0"/>
          <w:i w:val="0"/>
          <w:sz w:val="22"/>
        </w:rPr>
        <w:t>Fifth, the framework's transferability to SME environments should be validated through deployment in actual SME retail operations. The §3.11 transferability specification documents the requirements for such deployment, but an empirical case study in an SME context would substantially strengthen the practical contribution of the work.</w:t>
      </w:r>
    </w:p>
    <w:p>
      <w:pPr>
        <w:pStyle w:val="Heading1"/>
      </w:pPr>
      <w:r>
        <w:rPr>
          <w:rFonts w:ascii="Arial" w:hAnsi="Arial"/>
          <w:color w:val="000000"/>
        </w:rPr>
        <w:t>6.10 Chapter Summary</w:t>
      </w:r>
    </w:p>
    <w:p>
      <w:pPr>
        <w:spacing w:after="120"/>
      </w:pPr>
      <w:r>
        <w:rPr>
          <w:rFonts w:ascii="Arial" w:hAnsi="Arial"/>
          <w:b w:val="0"/>
          <w:i w:val="0"/>
          <w:sz w:val="22"/>
        </w:rPr>
        <w:t>This chapter has discussed the empirical findings of Chapters 4 and 5 in the context of the four research gaps identified in Chapter 2 and the broader academic literature. Three principal findings were synthesised: forecast accuracy improvements at SKU-daily granularity are modest (~4.5% MAE, ~9.5% RMSE) and below the Chapter 1 target band; the Gaussian safety-stock formula systematically under-allocates by a factor of 1.36 on intermittent demand; and the quantile-based inventory reformulation reduces total annual cost by 21–27% across realistic operational scenarios, exceeding the Chapter 1 target band.</w:t>
      </w:r>
    </w:p>
    <w:p>
      <w:pPr>
        <w:spacing w:after="120"/>
      </w:pPr>
      <w:r>
        <w:rPr>
          <w:rFonts w:ascii="Arial" w:hAnsi="Arial"/>
          <w:b w:val="0"/>
          <w:i w:val="0"/>
          <w:sz w:val="22"/>
        </w:rPr>
        <w:t>The thesis closes Gap 1 (forecast-inventory disconnect) through the quantile-based reformulation, closes Gap 3 (SME accessibility) through tooling and infrastructure choices, and partially closes Gap 2 (deployment) through the dashboard and CSV refresh architecture and Gap 4 (responsible AI) through SHAP and fairness analysis. The literature comparison establishes that the thesis's headline cost reduction figure exceeds comparable studies in absolute magnitude, with the mechanism (quantile reformulation) complementary to the mechanism reported in those studies (improved point forecasting).</w:t>
      </w:r>
    </w:p>
    <w:p>
      <w:pPr>
        <w:spacing w:after="120"/>
      </w:pPr>
      <w:r>
        <w:rPr>
          <w:rFonts w:ascii="Arial" w:hAnsi="Arial"/>
          <w:b w:val="0"/>
          <w:i w:val="0"/>
          <w:sz w:val="22"/>
        </w:rPr>
        <w:t>Three theoretical contributions are identified: the first quantitative M5 measurement of the Gaussian under-allocation gap; the demonstration that the inventory formulation dominates the forecasting model for operational outcomes; and the empirical robustness of the result to forecast accuracy level. Three practical contributions complement these: an end-to-end deployable framework; a decision-support dashboard; and a defensible quantitative argument for SME forecasting investment. Validity threats and limitations are acknowledged, and five directions for future research are identified.</w:t>
      </w:r>
    </w:p>
    <w:p>
      <w:pPr>
        <w:spacing w:after="120"/>
      </w:pPr>
      <w:r>
        <w:rPr>
          <w:rFonts w:ascii="Arial" w:hAnsi="Arial"/>
          <w:b w:val="0"/>
          <w:i w:val="0"/>
          <w:sz w:val="22"/>
        </w:rPr>
        <w:t>Chapter 7 concludes the thesis. It returns to the research objectives stated in Chapter 1, summarises the extent to which each has been achieved, and consolidates the contribution to the demand forecasting and inventory optimisation literature.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