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120"/>
      </w:pPr>
      <w:r>
        <w:rPr>
          <w:rFonts w:ascii="Times New Roman" w:cs="Times New Roman" w:eastAsia="Times New Roman" w:hAnsi="Times New Roman"/>
          <w:b/>
          <w:bCs/>
          <w:color w:val="1F3864"/>
          <w:sz w:val="32"/>
          <w:szCs w:val="32"/>
        </w:rPr>
        <w:t xml:space="preserve">Chapter 1: Introduction</w:t>
      </w:r>
    </w:p>
    <w:p>
      <w:pPr>
        <w:spacing w:after="160" w:line="300"/>
        <w:jc w:val="both"/>
      </w:pPr>
      <w:r>
        <w:rPr>
          <w:rFonts w:ascii="Times New Roman" w:cs="Times New Roman" w:eastAsia="Times New Roman" w:hAnsi="Times New Roman"/>
          <w:color w:val="000000"/>
          <w:sz w:val="24"/>
          <w:szCs w:val="24"/>
        </w:rPr>
        <w:t xml:space="preserve">Retail organisations operating in contemporary markets face a persistent and costly operational dilemma: how to align stock levels with customer demand when that demand is inherently volatile, shaped by promotions, seasonal patterns, pricing decisions, public holidays, and broader macroeconomic conditions. Underestimating demand results in stockouts, immediate revenue loss, and erosion of customer trust. Overestimating demand ties up working capital in excess inventory, increases holding costs, and in the case of perishable goods generates significant waste with both financial and environmental consequences. This tension between under-supply and over-supply places demand forecasting and inventory optimisation at the centre of modern retail operations management.</w:t>
      </w:r>
    </w:p>
    <w:p>
      <w:pPr>
        <w:spacing w:after="160" w:line="300"/>
        <w:jc w:val="both"/>
      </w:pPr>
      <w:r>
        <w:rPr>
          <w:rFonts w:ascii="Times New Roman" w:cs="Times New Roman" w:eastAsia="Times New Roman" w:hAnsi="Times New Roman"/>
          <w:color w:val="000000"/>
          <w:sz w:val="24"/>
          <w:szCs w:val="24"/>
        </w:rPr>
        <w:t xml:space="preserve">Traditional approaches to this problem, including Moving Average (MA) methods, Exponential Smoothing, Autoregressive Integrated Moving Average (ARIMA), and its seasonal extension SARIMA have long formed the backbone of retail forecasting practice. However, these methods carry fundamental limitations in environments characterised by non-linear demand dynamics, multiple interacting variables, and abrupt structural shifts driven by promotions or external shocks. A growing body of academic research demonstrates that machine learning approaches, and ensemble and hybrid architectures in particular, substantially outperform classical statistical methods across diverse retail contexts (Barghi, 2025; Nasseri et al., 2023; Mitra et al., 2022; Razzak et al., 2025). These models can simultaneously process historical sales data, promotional calendars, temporal indicators, and external factors to learn complex demand patterns that classical models cannot represent.</w:t>
      </w:r>
    </w:p>
    <w:p>
      <w:pPr>
        <w:spacing w:after="160" w:line="300"/>
        <w:jc w:val="both"/>
      </w:pPr>
      <w:r>
        <w:rPr>
          <w:rFonts w:ascii="Times New Roman" w:cs="Times New Roman" w:eastAsia="Times New Roman" w:hAnsi="Times New Roman"/>
          <w:color w:val="000000"/>
          <w:sz w:val="24"/>
          <w:szCs w:val="24"/>
        </w:rPr>
        <w:t xml:space="preserve">This thesis presents the design, implementation, and evaluation of a machine learning-based framework for retail demand forecasting and inventory optimisation. Using the M5-Forecasting (Walmart) dataset; a publicly available, large-scale hierarchical dataset comprising daily sales records for 3,049 products across 10 Walmart stores in the United States over five years, enriched with calendar and price information. This study develops and compares multiple forecasting approaches and translates their outputs into operational inventory recommendations through the Order-Up-To-Level (OUTL) policy framework. Although the M5 dataset originates from a large retail enterprise, the methodology and decision framework developed in this thesis are explicitly designed and evaluated for transferability to small and medium-sized retailers (SMEs) who lack enterprise-scale analytics infrastructure but face identical demand planning challenges. The full pipeline is presented through an interactive Power BI dashboard, offering a practical and accessible tool for inventory decision-makers.</w:t>
      </w:r>
    </w:p>
    <w:p>
      <w:pPr>
        <w:spacing w:after="160" w:line="300"/>
        <w:jc w:val="both"/>
      </w:pPr>
      <w:r>
        <w:rPr>
          <w:rFonts w:ascii="Times New Roman" w:cs="Times New Roman" w:eastAsia="Times New Roman" w:hAnsi="Times New Roman"/>
          <w:color w:val="000000"/>
          <w:sz w:val="24"/>
          <w:szCs w:val="24"/>
        </w:rPr>
        <w:t xml:space="preserve">The remainder of this chapter is structured as follows. Section 1.1 states the general objectives of the research. Section 1.2 provides the justification and relevance of the study, grounding it in both practical industry challenges and identified gaps in the academic literature. Section 1.3 presents an overview of the research methodology. Section 1.4 maps the structure of the thesis. Section 1.5 outlines the theoretical and conceptual foundations. Section 1.6 articulates the contributions of the study.</w:t>
      </w:r>
    </w:p>
    <w:p>
      <w:pPr>
        <w:spacing w:after="130" w:before="300"/>
      </w:pPr>
      <w:r>
        <w:rPr>
          <w:rFonts w:ascii="Times New Roman" w:cs="Times New Roman" w:eastAsia="Times New Roman" w:hAnsi="Times New Roman"/>
          <w:b/>
          <w:bCs/>
          <w:color w:val="1F3864"/>
          <w:sz w:val="28"/>
          <w:szCs w:val="28"/>
        </w:rPr>
        <w:t xml:space="preserve">1.1 General Objectives of the Study</w:t>
      </w:r>
    </w:p>
    <w:p>
      <w:pPr>
        <w:spacing w:after="160" w:line="300"/>
        <w:jc w:val="both"/>
      </w:pPr>
      <w:r>
        <w:rPr>
          <w:rFonts w:ascii="Times New Roman" w:cs="Times New Roman" w:eastAsia="Times New Roman" w:hAnsi="Times New Roman"/>
          <w:color w:val="000000"/>
          <w:sz w:val="24"/>
          <w:szCs w:val="24"/>
        </w:rPr>
        <w:t xml:space="preserve">The primary objective of this research is to develop and evaluate a data-driven framework that integrates machine learning-based demand forecasting with the Order-Up-To-Level (OUTL) inventory policy, producing measurable improvements in operational efficiency for retail businesses. The study will use the full M5-Forecasting (Walmart) dataset as an empirical benchmark and design the resulting framework to be applicable in SME retail environments. Specifically, the research pursues five objectives:</w:t>
      </w:r>
    </w:p>
    <w:p>
      <w:pPr>
        <w:spacing w:after="160" w:line="300"/>
        <w:jc w:val="both"/>
      </w:pPr>
      <w:r>
        <w:rPr>
          <w:rFonts w:ascii="Times New Roman" w:cs="Times New Roman" w:eastAsia="Times New Roman" w:hAnsi="Times New Roman"/>
          <w:color w:val="000000"/>
          <w:sz w:val="24"/>
          <w:szCs w:val="24"/>
        </w:rPr>
        <w:t xml:space="preserve">1.  Implement and comparatively evaluate a range of forecasting models including classical statistical baselines (ARIMA, Exponential Smoothing, Moving Average), standard machine learning algorithms (Random Forest, XGBoost, LightGBM), time-series deep learning models (LSTM), and hybrid or ensemble architectures to identify the most accurate approach for multi-product, multi-store retail demand forecasting on the M5 dataset.</w:t>
      </w:r>
    </w:p>
    <w:p>
      <w:pPr>
        <w:spacing w:after="160" w:line="300"/>
        <w:jc w:val="both"/>
      </w:pPr>
      <w:r>
        <w:rPr>
          <w:rFonts w:ascii="Times New Roman" w:cs="Times New Roman" w:eastAsia="Times New Roman" w:hAnsi="Times New Roman"/>
          <w:color w:val="000000"/>
          <w:sz w:val="24"/>
          <w:szCs w:val="24"/>
        </w:rPr>
        <w:t xml:space="preserve">2.  Develop a systematic data preparation and feature engineering pipeline incorporating lag variables, rolling averages, promotional indicators, calendar features, and price signals from the M5 dataset that improves model performance and can be replicated in SME retail contexts with comparable data structures.</w:t>
      </w:r>
    </w:p>
    <w:p>
      <w:pPr>
        <w:spacing w:after="160" w:line="300"/>
        <w:jc w:val="both"/>
      </w:pPr>
      <w:r>
        <w:rPr>
          <w:rFonts w:ascii="Times New Roman" w:cs="Times New Roman" w:eastAsia="Times New Roman" w:hAnsi="Times New Roman"/>
          <w:color w:val="000000"/>
          <w:sz w:val="24"/>
          <w:szCs w:val="24"/>
        </w:rPr>
        <w:t xml:space="preserve">3.  Integrate the best-performing forecasting model with the Order-Up-To-Level (OUTL) inventory policy to compute safety stock levels, reorder points, and order-up-to levels at a target 95% service level, and evaluate the resulting inventory parameters across varying lead time scenarios.</w:t>
      </w:r>
    </w:p>
    <w:p>
      <w:pPr>
        <w:spacing w:after="160" w:line="300"/>
        <w:jc w:val="both"/>
      </w:pPr>
      <w:r>
        <w:rPr>
          <w:rFonts w:ascii="Times New Roman" w:cs="Times New Roman" w:eastAsia="Times New Roman" w:hAnsi="Times New Roman"/>
          <w:color w:val="C00000"/>
          <w:sz w:val="24"/>
          <w:szCs w:val="24"/>
        </w:rPr>
        <w:t xml:space="preserve">4. Test whether the operational gains reported in closely related studies transfer to this setting. Prior work on aggregated retail data (Barghi, 2025; Seyedan et al., 2023) reports improvements of 10–25% in forecast accuracy (MAPE, MAE, RMSE) and inventory cost reductions of 5–15% relative to classical baselines. Because those benchmarks were obtained at coarser levels of aggregation, this study treats them as hypotheses to be tested rather than targets to be met, and evaluates whether they hold at the SKU-daily, intermittent-demand granularity of the M5 series. Where results fall outside these ranges, the gap is itself treated as a finding and examined directly in the Discussion and Conclusion chapters.</w:t>
      </w:r>
    </w:p>
    <w:p>
      <w:pPr>
        <w:spacing w:after="160" w:line="300"/>
        <w:jc w:val="both"/>
      </w:pPr>
      <w:r>
        <w:rPr>
          <w:rFonts w:ascii="Times New Roman" w:cs="Times New Roman" w:eastAsia="Times New Roman" w:hAnsi="Times New Roman"/>
          <w:color w:val="000000"/>
          <w:sz w:val="24"/>
          <w:szCs w:val="24"/>
        </w:rPr>
        <w:t xml:space="preserve">5.  Develop a Power BI dashboard that translates forecasting outputs and inventory recommendations into an accessible, interactive decision-support tool suitable for deployment in resource-constrained retail environments, including SMEs.</w:t>
      </w:r>
    </w:p>
    <w:p>
      <w:pPr>
        <w:spacing w:after="130" w:before="300"/>
      </w:pPr>
      <w:r>
        <w:rPr>
          <w:rFonts w:ascii="Times New Roman" w:cs="Times New Roman" w:eastAsia="Times New Roman" w:hAnsi="Times New Roman"/>
          <w:b/>
          <w:bCs/>
          <w:color w:val="1F3864"/>
          <w:sz w:val="28"/>
          <w:szCs w:val="28"/>
        </w:rPr>
        <w:t xml:space="preserve">1.2 Justification and Relevance of the Research Topic</w:t>
      </w:r>
    </w:p>
    <w:p>
      <w:pPr>
        <w:spacing w:after="110" w:before="220"/>
      </w:pPr>
      <w:r>
        <w:rPr>
          <w:rFonts w:ascii="Times New Roman" w:cs="Times New Roman" w:eastAsia="Times New Roman" w:hAnsi="Times New Roman"/>
          <w:b/>
          <w:bCs/>
          <w:color w:val="2E4D7B"/>
          <w:sz w:val="25"/>
          <w:szCs w:val="25"/>
        </w:rPr>
        <w:t xml:space="preserve">1.2.1 Practical Industry Context</w:t>
      </w:r>
    </w:p>
    <w:p>
      <w:pPr>
        <w:spacing w:after="160" w:line="300"/>
        <w:jc w:val="both"/>
      </w:pPr>
      <w:r>
        <w:rPr>
          <w:rFonts w:ascii="Times New Roman" w:cs="Times New Roman" w:eastAsia="Times New Roman" w:hAnsi="Times New Roman"/>
          <w:color w:val="000000"/>
          <w:sz w:val="24"/>
          <w:szCs w:val="24"/>
        </w:rPr>
        <w:t xml:space="preserve">The retail sector is one of the most data-intensive and operationally demanding environments for inventory management. Retailers must place replenishment orders days or weeks in advance of actual customer demand, under conditions where that demand is influenced by a complex web of factors: weekly shopping cycles, promotional campaigns, holiday calendars, competitor pricing, weather conditions, and longer-term economic trends. When forecasts are inaccurate, the consequences are immediate and financially significant. Industry estimates suggest that out-of-stock events alone cost global retailers hundreds of billions of dollars annually in lost sales, while excess inventory ties up capital and inflates holding costs across the supply chain (industry sources: Tredence; Omniful).</w:t>
      </w:r>
    </w:p>
    <w:p>
      <w:pPr>
        <w:spacing w:after="160" w:line="300"/>
        <w:jc w:val="both"/>
      </w:pPr>
      <w:r>
        <w:rPr>
          <w:rFonts w:ascii="Times New Roman" w:cs="Times New Roman" w:eastAsia="Times New Roman" w:hAnsi="Times New Roman"/>
          <w:color w:val="000000"/>
          <w:sz w:val="24"/>
          <w:szCs w:val="24"/>
        </w:rPr>
        <w:t xml:space="preserve">Small and medium-sized retailers are disproportionately exposed to these risks. Unlike large enterprises such as Walmart or Amazon, SMEs rarely have dedicated data science teams, advanced enterprise resource planning systems, or the computational infrastructure needed to implement sophisticated forecasting tools. They typically rely on manual inventory decisions, spreadsheet-based planning, or simple moving average heuristics methods that consistently underperform in the face of promotional volatility and seasonal complexity (Wahedi et al., 2023; Keith, 2023). The result is a structural disadvantage: SMEs bear inventory risks comparable to those of large retailers but lack the analytical tools to manage them effectively.</w:t>
      </w:r>
    </w:p>
    <w:p>
      <w:pPr>
        <w:spacing w:after="160" w:line="300"/>
        <w:jc w:val="both"/>
      </w:pPr>
      <w:r>
        <w:rPr>
          <w:rFonts w:ascii="Times New Roman" w:cs="Times New Roman" w:eastAsia="Times New Roman" w:hAnsi="Times New Roman"/>
          <w:color w:val="000000"/>
          <w:sz w:val="24"/>
          <w:szCs w:val="24"/>
        </w:rPr>
        <w:t xml:space="preserve">This study addresses that gap directly. By developing and validating a machine learning forecasting framework using the M5-Forecasting (Walmart) dataset as a large-scale empirical proxy, and by designing the methodology and outputs including the OUTL inventory policy integration and Power BI dashboard  to be replicable with the kinds of data SMEs already collect (daily sales records, promotional flags, and calendar features), this research provides a practical and transferable solution to a real and quantifiable industry problem.</w:t>
      </w:r>
    </w:p>
    <w:p>
      <w:pPr>
        <w:spacing w:after="110" w:before="220"/>
      </w:pPr>
      <w:r>
        <w:rPr>
          <w:rFonts w:ascii="Times New Roman" w:cs="Times New Roman" w:eastAsia="Times New Roman" w:hAnsi="Times New Roman"/>
          <w:b/>
          <w:bCs/>
          <w:color w:val="2E4D7B"/>
          <w:sz w:val="25"/>
          <w:szCs w:val="25"/>
        </w:rPr>
        <w:t xml:space="preserve">1.2.2 Academic Gaps and Research Motivation</w:t>
      </w:r>
    </w:p>
    <w:p>
      <w:pPr>
        <w:spacing w:after="160" w:line="300"/>
        <w:jc w:val="both"/>
      </w:pPr>
      <w:r>
        <w:rPr>
          <w:rFonts w:ascii="Times New Roman" w:cs="Times New Roman" w:eastAsia="Times New Roman" w:hAnsi="Times New Roman"/>
          <w:color w:val="000000"/>
          <w:sz w:val="24"/>
          <w:szCs w:val="24"/>
        </w:rPr>
        <w:t xml:space="preserve">The academic literature on demand forecasting and inventory optimisation has grown substantially over the past decade, with a clear consensus emerging around the superiority of machine learning and ensemble approaches over classical statistical methods in retail contexts (Barghi, 2025; Nasseri et al., 2023; Punia et al., 2020; Kilimci et al., 2019). However, a review of the existing literature reveals four critical gaps that this study is specifically designed to address:</w:t>
      </w:r>
    </w:p>
    <w:p>
      <w:pPr>
        <w:spacing w:after="160" w:line="300"/>
        <w:jc w:val="both"/>
      </w:pPr>
      <w:r>
        <w:rPr>
          <w:rFonts w:ascii="Times New Roman" w:cs="Times New Roman" w:eastAsia="Times New Roman" w:hAnsi="Times New Roman"/>
          <w:color w:val="000000"/>
          <w:sz w:val="24"/>
          <w:szCs w:val="24"/>
        </w:rPr>
        <w:t xml:space="preserve">▪  Gap 1: Disconnect between forecast accuracy and inventory decision-making.  Most of the published studies report forecasting accuracy metrics MAPE, MAE, RMSE without translating improved forecasts into operational inventory decisions. Seyedan, Mafakheri, and Wang (2023) note explicitly that most comparative forecasting studies focus on accuracy metrics rather than their implications for inventory control. </w:t>
      </w:r>
      <w:r>
        <w:rPr>
          <w:rFonts w:ascii="Times New Roman" w:cs="Times New Roman" w:eastAsia="Times New Roman" w:hAnsi="Times New Roman"/>
          <w:color w:val="C00000"/>
          <w:sz w:val="24"/>
          <w:szCs w:val="24"/>
        </w:rPr>
        <w:t xml:space="preserve">This study addresses that gap by integrating forecasting outputs with the OUTL policy and measuring, through forward simulation, whether improved forecasts and a distributional safety-stock formulation actually translate into lower inventory cost.</w:t>
      </w:r>
    </w:p>
    <w:p>
      <w:pPr>
        <w:spacing w:after="160" w:line="300"/>
        <w:jc w:val="both"/>
      </w:pPr>
      <w:r>
        <w:rPr>
          <w:rFonts w:ascii="Times New Roman" w:cs="Times New Roman" w:eastAsia="Times New Roman" w:hAnsi="Times New Roman"/>
          <w:color w:val="000000"/>
          <w:sz w:val="24"/>
          <w:szCs w:val="24"/>
        </w:rPr>
        <w:t xml:space="preserve">▪  Gap 2: Limited focus on real-world deployment and operational validation.  Most proposed ML forecasting frameworks are validated through historical simulation without addressing live deployment, model maintenance, or the practical constraints of real operations. This study incorporates simulation-based inventory evaluation across multiple lead time scenarios and delivers a Power BI dashboard as a step toward operational deployment.</w:t>
      </w:r>
    </w:p>
    <w:p>
      <w:pPr>
        <w:spacing w:after="160" w:line="300"/>
        <w:jc w:val="both"/>
      </w:pPr>
      <w:r>
        <w:rPr>
          <w:rFonts w:ascii="Times New Roman" w:cs="Times New Roman" w:eastAsia="Times New Roman" w:hAnsi="Times New Roman"/>
          <w:color w:val="000000"/>
          <w:sz w:val="24"/>
          <w:szCs w:val="24"/>
        </w:rPr>
        <w:t xml:space="preserve">▪  Gap 3: Underrepresentation of SME retailers and practical constraints.  Existing literature is disproportionately focused on large enterprises with extensive data infrastructure. Wahedi et al. (2023) and Ungureanu (2025) identify the SME gap as a substantive research need. This study frames the Walmart M5 dataset as a methodological benchmark and explicitly designs the resulting framework for transferability to resource-constrained retail environments.</w:t>
      </w:r>
    </w:p>
    <w:p>
      <w:pPr>
        <w:spacing w:after="160" w:line="300"/>
        <w:jc w:val="both"/>
      </w:pPr>
      <w:r>
        <w:rPr>
          <w:rFonts w:ascii="Times New Roman" w:cs="Times New Roman" w:eastAsia="Times New Roman" w:hAnsi="Times New Roman"/>
          <w:color w:val="000000"/>
          <w:sz w:val="24"/>
          <w:szCs w:val="24"/>
        </w:rPr>
        <w:t xml:space="preserve">▪  Gap 4: Insufficient integration of uncertainty in inventory calibration.  Classical safety stock formulas assume point-forecast inputs, which systematically underrepresent demand variability. This study incorporates demand standard deviation derived from forecast residuals into the OUTL safety stock calculation, producing inventory parameters that account for forecast uncertainty rather than treating the mean forecast as certain.</w:t>
      </w:r>
    </w:p>
    <w:p>
      <w:pPr>
        <w:spacing w:after="110" w:before="220"/>
      </w:pPr>
      <w:r>
        <w:rPr>
          <w:rFonts w:ascii="Times New Roman" w:cs="Times New Roman" w:eastAsia="Times New Roman" w:hAnsi="Times New Roman"/>
          <w:b/>
          <w:bCs/>
          <w:color w:val="2E4D7B"/>
          <w:sz w:val="25"/>
          <w:szCs w:val="25"/>
        </w:rPr>
        <w:t xml:space="preserve">1.2.3 SME Transferability: Data, Tools, and Technical Requirements</w:t>
      </w:r>
    </w:p>
    <w:p>
      <w:pPr>
        <w:spacing w:after="160" w:line="300"/>
        <w:jc w:val="both"/>
      </w:pPr>
      <w:r>
        <w:rPr>
          <w:rFonts w:ascii="Times New Roman" w:cs="Times New Roman" w:eastAsia="Times New Roman" w:hAnsi="Times New Roman"/>
          <w:color w:val="000000"/>
          <w:sz w:val="24"/>
          <w:szCs w:val="24"/>
        </w:rPr>
        <w:t xml:space="preserve">A recurring claim in this thesis is that the analytical framework developed here is transferable to small and medium-sized retail environments. This section specifies concretely what that claim requires in practice, so that the transferability argument functions as a verifiable design commitment rather than an aspirational statement. A typical SME retailer seeking to replicate this pipeline would need the following.</w:t>
      </w:r>
    </w:p>
    <w:p>
      <w:pPr>
        <w:spacing w:after="160" w:line="300"/>
        <w:jc w:val="both"/>
      </w:pPr>
      <w:r>
        <w:rPr>
          <w:rFonts w:ascii="Times New Roman" w:cs="Times New Roman" w:eastAsia="Times New Roman" w:hAnsi="Times New Roman"/>
          <w:color w:val="000000"/>
          <w:sz w:val="24"/>
          <w:szCs w:val="24"/>
        </w:rPr>
        <w:t xml:space="preserve">Data requirements. The pipeline uses three data sources that are standard outputs of any commercial point-of-sale or ERP system: (1) daily unit sales records at the product-store level (equivalent to M5’s sales file); (2) a calendar or events file encoding holidays, promotions, and special trading days (equivalent to M5’s calendar file); and (3) a weekly price file recording the current selling price per product-store combination (equivalent to M5’s sell_prices file). No proprietary data feeds, real-time API integrations, or customer-level transaction data are required. A retailer using any mid-market POS system — such as Lightspeed, Square for Retail, or Shopify POS — can export these three file types as CSV without custom development.</w:t>
      </w:r>
    </w:p>
    <w:p>
      <w:pPr>
        <w:spacing w:after="160" w:line="300"/>
        <w:jc w:val="both"/>
      </w:pPr>
      <w:r>
        <w:rPr>
          <w:rFonts w:ascii="Times New Roman" w:cs="Times New Roman" w:eastAsia="Times New Roman" w:hAnsi="Times New Roman"/>
          <w:color w:val="000000"/>
          <w:sz w:val="24"/>
          <w:szCs w:val="24"/>
        </w:rPr>
        <w:t xml:space="preserve">Tools and software. The modelling pipeline is implemented entirely in Python using open-source libraries (pandas, scikit-learn, LightGBM, XGBoost, TensorFlow/Keras) that are freely available and run on standard laptop or desktop hardware. No GPU infrastructure, cloud computing subscription, or enterprise data warehouse is required for the gradient boosting models that constitute the core of the recommended framework. The Power BI dashboard used to present outputs is available under Microsoft’s free tier (Power BI Desktop), which is sufficient for the visualisations produced in this study.</w:t>
      </w:r>
    </w:p>
    <w:p>
      <w:pPr>
        <w:spacing w:after="160" w:line="300"/>
        <w:jc w:val="both"/>
      </w:pPr>
      <w:r>
        <w:rPr>
          <w:rFonts w:ascii="Times New Roman" w:cs="Times New Roman" w:eastAsia="Times New Roman" w:hAnsi="Times New Roman"/>
          <w:color w:val="000000"/>
          <w:sz w:val="24"/>
          <w:szCs w:val="24"/>
        </w:rPr>
        <w:t xml:space="preserve">Technical capacity. Deployment would require one person with intermediate Python competency (equivalent to a data analyst with 12–18 months of scripting experience) to run the preprocessing and modelling pipeline and refresh the dashboard on a weekly or monthly cycle. No dedicated data science team or machine learning engineering capability is assumed. The feature engineering and model training code is designed to be reusable across different product assortments and store configurations with minimal modification. This baseline capacity is consistent with the technical profile of the SME retail operators studied by Wahedi et al. (2023) and Ungureanu (2025), both of whom explicitly designed their frameworks around the same resource constraint.</w:t>
      </w:r>
    </w:p>
    <w:p>
      <w:pPr>
        <w:spacing w:after="130" w:before="300"/>
      </w:pPr>
      <w:r>
        <w:rPr>
          <w:rFonts w:ascii="Times New Roman" w:cs="Times New Roman" w:eastAsia="Times New Roman" w:hAnsi="Times New Roman"/>
          <w:b/>
          <w:bCs/>
          <w:color w:val="1F3864"/>
          <w:sz w:val="28"/>
          <w:szCs w:val="28"/>
        </w:rPr>
        <w:t xml:space="preserve">1.3 Methodology Overview</w:t>
      </w:r>
    </w:p>
    <w:p>
      <w:pPr>
        <w:spacing w:after="160" w:line="300"/>
        <w:jc w:val="both"/>
      </w:pPr>
      <w:r>
        <w:rPr>
          <w:rFonts w:ascii="Times New Roman" w:cs="Times New Roman" w:eastAsia="Times New Roman" w:hAnsi="Times New Roman"/>
          <w:color w:val="000000"/>
          <w:sz w:val="24"/>
          <w:szCs w:val="24"/>
        </w:rPr>
        <w:t xml:space="preserve">This research adopts a data science methodology structured around the CRISP-DM (Cross-Industry Standard Process for Data Mining) framework, which provides a systematic, iterative progression from business understanding through data preparation, modelling, evaluation, and deployment. The methodology is organised into five phases:</w:t>
      </w:r>
    </w:p>
    <w:p>
      <w:pPr>
        <w:spacing w:after="90" w:before="160"/>
      </w:pPr>
      <w:r>
        <w:rPr>
          <w:rFonts w:ascii="Times New Roman" w:cs="Times New Roman" w:eastAsia="Times New Roman" w:hAnsi="Times New Roman"/>
          <w:b/>
          <w:bCs/>
          <w:sz w:val="24"/>
          <w:szCs w:val="24"/>
        </w:rPr>
        <w:t xml:space="preserve">Phase 1: Data Understanding and Preparation</w:t>
      </w:r>
    </w:p>
    <w:p>
      <w:pPr>
        <w:spacing w:after="160" w:line="300"/>
        <w:jc w:val="both"/>
      </w:pPr>
      <w:r>
        <w:rPr>
          <w:rFonts w:ascii="Times New Roman" w:cs="Times New Roman" w:eastAsia="Times New Roman" w:hAnsi="Times New Roman"/>
          <w:color w:val="000000"/>
          <w:sz w:val="24"/>
          <w:szCs w:val="24"/>
        </w:rPr>
        <w:t xml:space="preserve">The primary data source is the M5-Forecasting (Walmart) dataset, sourced from Kaggle. The dataset contains daily unit sales for 3,049 products organised across three product categories (Hobbies, Foods, and Household) and three US states (California, Texas, and Wisconsin) spanning 1,913 consecutive days from 29 January 2011 to 24 April 2016. The dataset is accompanied by a calendar file (encoding day-of-week, SNAP eligibility flags, event labels, and other special days) and a sell-prices file (encoding weekly product prices by store). A stratified random subsample of 502 product-store series, drawn proportionally across category × state strata, is used to enable rigorous walk-forward cross-validation within the project’s compute budget. Data preparation involves merging and reshaping the three source files, forward-fill and backward-fill imputation of missing prices, removal of closure-day zero-sale records, winsorisation of unexplained outliers, and label encoding of categorical variables. Target-encoded mean features (item_mean, dept_mean, store_mean, state_mean, item_dow_mean, store_dow_mean, cat_month_mean, item_month_mean) are computed exclusively on the training window to prevent data leakage. Feature engineering produces six categories of derived variables: lag features (7-, 14-, and 28-day lags capturing weekly, bi-weekly, and monthly autocorrelation); rolling statistics (7- and 28-day rolling means plus 7-day rolling standard deviation for volatility); calendar and temporal features (day-of-week, week-of-year, month, year, is_weekend); event proximity features (days_since_last_event, days_to_next_event); promotional and event indicators (is_snap_day, is_sporting_event, is_cultural_event, is_national_event, is_religious_event); and price features (sell_price, price_change).</w:t>
      </w:r>
    </w:p>
    <w:p>
      <w:pPr>
        <w:spacing w:after="90" w:before="160"/>
      </w:pPr>
      <w:r>
        <w:rPr>
          <w:rFonts w:ascii="Times New Roman" w:cs="Times New Roman" w:eastAsia="Times New Roman" w:hAnsi="Times New Roman"/>
          <w:b/>
          <w:bCs/>
          <w:sz w:val="24"/>
          <w:szCs w:val="24"/>
        </w:rPr>
        <w:t xml:space="preserve">Phase 2: Model Development and Comparison</w:t>
      </w:r>
    </w:p>
    <w:p>
      <w:pPr>
        <w:spacing w:after="160" w:line="300"/>
        <w:jc w:val="both"/>
      </w:pPr>
      <w:r>
        <w:rPr>
          <w:rFonts w:ascii="Times New Roman" w:cs="Times New Roman" w:eastAsia="Times New Roman" w:hAnsi="Times New Roman"/>
          <w:color w:val="000000"/>
          <w:sz w:val="24"/>
          <w:szCs w:val="24"/>
        </w:rPr>
        <w:t xml:space="preserve">▪ Classical Statistical Baselines:  Moving Average (MA), Simple Exponential Smoothing (SES), AutoARIMA (with weekly seasonality), Croston’s Classic, the Syntetos–Boylan Approximation (Croston-SBA), and Seasonal Naïve, six methods providing a performance floor. Croston-class methods are included specifically because SKU-daily retail demand is intermittent and zero-inflated, conditions under which ARIMA and SES are known to underperform. All Tier 1 models are fitted per series via the statsforecast library.</w:t>
      </w:r>
    </w:p>
    <w:p>
      <w:pPr>
        <w:spacing w:after="160" w:line="300"/>
        <w:jc w:val="both"/>
      </w:pPr>
      <w:r>
        <w:rPr>
          <w:rFonts w:ascii="Times New Roman" w:cs="Times New Roman" w:eastAsia="Times New Roman" w:hAnsi="Times New Roman"/>
          <w:color w:val="000000"/>
          <w:sz w:val="24"/>
          <w:szCs w:val="24"/>
        </w:rPr>
        <w:t xml:space="preserve">▪ Standard Machine Learning Models:  Random Forest (RF), XGBoost, and LightGBM gradient boosting and bagging methods trained on the full engineered feature set. XGBoost and LightGBM are configured with the Tweedie loss function (variance power 1.1), suited to non-negative count data with many zero observations, consistent with M5 retrospective best practice.</w:t>
      </w:r>
    </w:p>
    <w:p>
      <w:pPr>
        <w:spacing w:after="160" w:line="300"/>
        <w:jc w:val="both"/>
      </w:pPr>
      <w:r>
        <w:rPr>
          <w:rFonts w:ascii="Times New Roman" w:cs="Times New Roman" w:eastAsia="Times New Roman" w:hAnsi="Times New Roman"/>
          <w:color w:val="000000"/>
          <w:sz w:val="24"/>
          <w:szCs w:val="24"/>
        </w:rPr>
        <w:t xml:space="preserve">▪ Deep Learning Time-Series Model:  A two-layer stacked LSTM (128 and 64 units, dropout 0.2, 28-day lookback) with log1p target transformation and early stopping capturing long-range temporal dependencies and multi-day promotional dynamics.</w:t>
      </w:r>
    </w:p>
    <w:p>
      <w:pPr>
        <w:spacing w:after="160" w:line="300"/>
        <w:jc w:val="both"/>
      </w:pPr>
      <w:r>
        <w:rPr>
          <w:rFonts w:ascii="Times New Roman" w:cs="Times New Roman" w:eastAsia="Times New Roman" w:hAnsi="Times New Roman"/>
          <w:color w:val="000000"/>
          <w:sz w:val="24"/>
          <w:szCs w:val="24"/>
        </w:rPr>
        <w:t xml:space="preserve">▪  Ensemble and Hybrid Architecture:  A stacking ensemble in which LightGBM, XGBoost, and Random Forest serve as base learners and a non-negative Ridge regression meta-learner learns optimal combination weights from validation-set predictions. This architecture is preferred over the sequential residual-correction design used in some prior work (Barghi, 2025) because stacking with non-negative Ridge weights is the more conventional heterogeneous ensemble approach and avoids overfitting successive layers to earlier-layer noise (Mitra et al., 2022; Seyedan et al., 2023).</w:t>
      </w:r>
    </w:p>
    <w:p>
      <w:pPr>
        <w:spacing w:after="160" w:line="300"/>
        <w:jc w:val="both"/>
      </w:pPr>
      <w:r>
        <w:rPr>
          <w:rFonts w:ascii="Times New Roman" w:cs="Times New Roman" w:eastAsia="Times New Roman" w:hAnsi="Times New Roman"/>
          <w:color w:val="000000"/>
          <w:sz w:val="24"/>
          <w:szCs w:val="24"/>
        </w:rPr>
        <w:t xml:space="preserve">▪  LightGBM Quantile Regression (Tier 5):  Five independent LightGBM models trained at quantile levels P10, P50, P90, P95, and P99 providing probabilistic demand forecasts that feed the empirical safety-stock calculation. This tier does not compete with Tiers 1–4 on point-forecast accuracy; it addresses the Gaussian formula’s assumption of normally distributed residuals, which intermittent retail demand systematically violates.</w:t>
      </w:r>
    </w:p>
    <w:p>
      <w:pPr>
        <w:spacing w:after="90" w:before="160"/>
      </w:pPr>
      <w:r>
        <w:rPr>
          <w:rFonts w:ascii="Times New Roman" w:cs="Times New Roman" w:eastAsia="Times New Roman" w:hAnsi="Times New Roman"/>
          <w:b/>
          <w:bCs/>
          <w:sz w:val="24"/>
          <w:szCs w:val="24"/>
        </w:rPr>
        <w:t xml:space="preserve">Phase 3: Model Evaluation</w:t>
      </w:r>
    </w:p>
    <w:p>
      <w:pPr>
        <w:spacing w:after="160" w:line="300"/>
        <w:jc w:val="both"/>
      </w:pPr>
      <w:r>
        <w:rPr>
          <w:rFonts w:ascii="Times New Roman" w:cs="Times New Roman" w:eastAsia="Times New Roman" w:hAnsi="Times New Roman"/>
          <w:color w:val="000000"/>
          <w:sz w:val="24"/>
          <w:szCs w:val="24"/>
        </w:rPr>
        <w:t xml:space="preserve">Forecasting accuracy is assessed using five complementary metrics: Mean Absolute Error (MAE), measuring average error in demand units directly interpretable by store managers; Root Mean Squared Error (RMSE), penalising large errors more heavily and sensitive to promotional spikes; Mean Absolute Percentage Error (MAPE), normalising errors as a percentage of actual demand to enable cross-product comparisons; Weighted Mean Absolute Percentage Error (WMAPE), which divides total absolute error by total actual demand and is robust to the zero-actual rows that distort per-row MAPE on intermittent SKU-daily data; and Pred(10%), the proportion of forecasts falling within 10% of actual demand. </w:t>
      </w:r>
      <w:r>
        <w:rPr>
          <w:rFonts w:ascii="Times New Roman" w:cs="Times New Roman" w:eastAsia="Times New Roman" w:hAnsi="Times New Roman"/>
          <w:color w:val="C00000"/>
          <w:sz w:val="24"/>
          <w:szCs w:val="24"/>
        </w:rPr>
        <w:t xml:space="preserve">Improvement figures of 10–25% in MAPE (and MAE/RMSE) reported in prior work on aggregated data are used as a benchmark against which the measured results are tested, rather than as targets the study commits to meeting, given the granularity constraints of SKU-daily intermittent demand.</w:t>
      </w:r>
    </w:p>
    <w:p>
      <w:pPr>
        <w:spacing w:after="90" w:before="160"/>
      </w:pPr>
      <w:r>
        <w:rPr>
          <w:rFonts w:ascii="Times New Roman" w:cs="Times New Roman" w:eastAsia="Times New Roman" w:hAnsi="Times New Roman"/>
          <w:b/>
          <w:bCs/>
          <w:sz w:val="24"/>
          <w:szCs w:val="24"/>
        </w:rPr>
        <w:t xml:space="preserve">Phase 4: Inventory Policy Integration</w:t>
      </w:r>
    </w:p>
    <w:p>
      <w:pPr>
        <w:spacing w:after="160" w:line="300"/>
        <w:jc w:val="both"/>
      </w:pPr>
      <w:r>
        <w:rPr>
          <w:rFonts w:ascii="Times New Roman" w:cs="Times New Roman" w:eastAsia="Times New Roman" w:hAnsi="Times New Roman"/>
          <w:color w:val="000000"/>
          <w:sz w:val="24"/>
          <w:szCs w:val="24"/>
        </w:rPr>
        <w:t xml:space="preserve">Forecasts are integrated with a periodic (R, s, S) Order-Up-To-Level (OUTL) policy (Silver, Pyke &amp; Thomas, 2017) with review period R = 7 days. Three forecasting policies are compared on a like-for-like basis: (1) Classical: Croston-SBA forecasts feeding a Gaussian safety-stock formula SS₂ = z·σ·√(R+L), where σ is the standard deviation of forecast residuals; (2) ML-Gaussian: stacking-ensemble forecasts feeding the same Gaussian formula; and (3) ML-Empirical-Quantile: LightGBM quantile forecasts feeding an empirically calibrated safety stock SS₂ = (q₀.₉₅ − q₀.₅₀)·√(R+L), which captures the actual right-skewed demand distribution rather than assuming normality. Reorder point r = d̅·(R+L) + SS and order-up-to level S = r + Q are computed analytically, with Q from the EOQ formula to decouple ordering frequency from forecast level. Total annual cost decomposes into holding cost HC = (SS + Q/2)·h, ordering cost OC = (D/Q)·K, and stockout cost SC = (target_SL − achieved_SL)·D·unit_cost·m evaluated across three stockout cost multipliers (m = 0.4, 1.0, 2.0). Parameters are evaluated across four lead-time scenarios (L = 7, 10, 14, 21 days) and three service levels (90%, 95%, 99%). </w:t>
      </w:r>
      <w:r>
        <w:rPr>
          <w:rFonts w:ascii="Times New Roman" w:cs="Times New Roman" w:eastAsia="Times New Roman" w:hAnsi="Times New Roman"/>
          <w:color w:val="C00000"/>
          <w:sz w:val="24"/>
          <w:szCs w:val="24"/>
        </w:rPr>
        <w:t xml:space="preserve">The achieved service level of each policy is obtained from the forward simulation of Chapter 5 rather than assigned analytically; the 5–15% inventory cost reduction reported in prior work serves as a benchmark against which the simulated outcome is assessed, not as a target.</w:t>
      </w:r>
    </w:p>
    <w:p>
      <w:pPr>
        <w:spacing w:after="90" w:before="160"/>
      </w:pPr>
      <w:r>
        <w:rPr>
          <w:rFonts w:ascii="Times New Roman" w:cs="Times New Roman" w:eastAsia="Times New Roman" w:hAnsi="Times New Roman"/>
          <w:b/>
          <w:bCs/>
          <w:sz w:val="24"/>
          <w:szCs w:val="24"/>
        </w:rPr>
        <w:t xml:space="preserve">Phase 5: Dashboard Development and Validation</w:t>
      </w:r>
    </w:p>
    <w:p>
      <w:pPr>
        <w:spacing w:after="160" w:line="300"/>
        <w:jc w:val="both"/>
      </w:pPr>
      <w:r>
        <w:rPr>
          <w:rFonts w:ascii="Times New Roman" w:cs="Times New Roman" w:eastAsia="Times New Roman" w:hAnsi="Times New Roman"/>
          <w:color w:val="000000"/>
          <w:sz w:val="24"/>
          <w:szCs w:val="24"/>
        </w:rPr>
        <w:t xml:space="preserve">A Power BI dashboard (free Desktop tier) is developed to translate modelling outputs into an interactive decision-support tool for non-technical retail managers. The dashboard is structured across four pages driven by CSV data feeds exported from the Python pipeline: Forecast Overview (actual sales, ML ensemble forecast, classical baseline forecast, and LightGBM quantile fan P50/P90/P95/P99 with slicers for category, state, and store); Inventory Status (safety stock, reorder point, and order-up-to-level per product-store at the user-selected lead time and service level, with conditional formatting for items approaching reorder); Cost Analysis (total annual cost decomposed into holding, ordering, and stockout components across the three forecasting policies and four lead-time scenarios); and Sensitivity Analysis (cost reduction curves across MAPE level, stockout cost multiplier, and service level, enabling practitioner what-if analysis). </w:t>
      </w:r>
      <w:r>
        <w:rPr>
          <w:rFonts w:ascii="Times New Roman" w:cs="Times New Roman" w:eastAsia="Times New Roman" w:hAnsi="Times New Roman"/>
          <w:color w:val="C00000"/>
          <w:sz w:val="24"/>
          <w:szCs w:val="24"/>
        </w:rPr>
        <w:t xml:space="preserve">The sensitivity analysis in the revised Chapter 5 focuses on lead time (7–21 days) and the stockout cost multiplier (0.4–2.0×); the MAPE and service-level sweeps of the earlier draft are retired, as both were artefacts of the assumed service-level gap rather than measured effects.</w:t>
      </w:r>
    </w:p>
    <w:p>
      <w:pPr>
        <w:spacing w:after="130" w:before="300"/>
      </w:pPr>
      <w:r>
        <w:rPr>
          <w:rFonts w:ascii="Times New Roman" w:cs="Times New Roman" w:eastAsia="Times New Roman" w:hAnsi="Times New Roman"/>
          <w:b/>
          <w:bCs/>
          <w:color w:val="1F3864"/>
          <w:sz w:val="28"/>
          <w:szCs w:val="28"/>
        </w:rPr>
        <w:t xml:space="preserve">1.4 Structure of the Thesis</w:t>
      </w:r>
    </w:p>
    <w:p>
      <w:pPr>
        <w:spacing w:after="160" w:line="300"/>
        <w:jc w:val="both"/>
      </w:pPr>
      <w:r>
        <w:rPr>
          <w:rFonts w:ascii="Times New Roman" w:cs="Times New Roman" w:eastAsia="Times New Roman" w:hAnsi="Times New Roman"/>
          <w:color w:val="000000"/>
          <w:sz w:val="24"/>
          <w:szCs w:val="24"/>
        </w:rPr>
        <w:t xml:space="preserve">▪ Chapter 2 Literature Review:  Provides a comprehensive synthesis of existing research on demand forecasting and inventory optimisation in retail, covering classical statistical methods, individual machine learning models, ensemble and hybrid architectures, deep learning approaches, and the integration of forecasting with inventory control policies. Key gaps in the literature are identified and mapped to the research objectives of this study.</w:t>
      </w:r>
    </w:p>
    <w:p>
      <w:pPr>
        <w:spacing w:after="160" w:line="300"/>
        <w:jc w:val="both"/>
      </w:pPr>
      <w:r>
        <w:rPr>
          <w:rFonts w:ascii="Times New Roman" w:cs="Times New Roman" w:eastAsia="Times New Roman" w:hAnsi="Times New Roman"/>
          <w:color w:val="000000"/>
          <w:sz w:val="24"/>
          <w:szCs w:val="24"/>
        </w:rPr>
        <w:t xml:space="preserve">▪ Chapter 3 Methodology:  Details the research design, data sources, preprocessing pipeline, feature engineering strategy, modelling approaches, evaluation framework, and inventory policy integration procedure. Justifies the selection of the CRISP-DM framework, the M5-Forecasting dataset, the OUTL inventory policy, and the specific models chosen for comparison.</w:t>
      </w:r>
    </w:p>
    <w:p>
      <w:pPr>
        <w:spacing w:after="160" w:line="300"/>
        <w:jc w:val="both"/>
      </w:pPr>
      <w:r>
        <w:rPr>
          <w:rFonts w:ascii="Times New Roman" w:cs="Times New Roman" w:eastAsia="Times New Roman" w:hAnsi="Times New Roman"/>
          <w:color w:val="000000"/>
          <w:sz w:val="24"/>
          <w:szCs w:val="24"/>
        </w:rPr>
        <w:t xml:space="preserve">▪ Chapter 4 Model Development and Results:  Presents the implementation and comparative evaluation of all forecasting models, reports accuracy metrics (MAE, RMSE, MAPE) across models and product categories, and identifies the best-performing approach for integration with the inventory framework.</w:t>
      </w:r>
    </w:p>
    <w:p>
      <w:pPr>
        <w:spacing w:after="160" w:line="300"/>
        <w:jc w:val="both"/>
      </w:pPr>
      <w:r>
        <w:rPr>
          <w:rFonts w:ascii="Times New Roman" w:cs="Times New Roman" w:eastAsia="Times New Roman" w:hAnsi="Times New Roman"/>
          <w:color w:val="000000"/>
          <w:sz w:val="24"/>
          <w:szCs w:val="24"/>
        </w:rPr>
        <w:t xml:space="preserve">▪ Chapter 5 Inventory Optimisation and Dashboard:  Demonstrates how forecasting outputs are integrated with the OUTL policy to produce safety stock levels, reorder points, and total cost estimates. Presents the Power BI dashboard and evaluates operational impact through simulation and sensitivity analysis.</w:t>
      </w:r>
    </w:p>
    <w:p>
      <w:pPr>
        <w:spacing w:after="160" w:line="300"/>
        <w:jc w:val="both"/>
      </w:pPr>
      <w:r>
        <w:rPr>
          <w:rFonts w:ascii="Times New Roman" w:cs="Times New Roman" w:eastAsia="Times New Roman" w:hAnsi="Times New Roman"/>
          <w:color w:val="000000"/>
          <w:sz w:val="24"/>
          <w:szCs w:val="24"/>
        </w:rPr>
        <w:t xml:space="preserve">▪ Chapter 6 Discussion:  Interprets results in the context of existing literature, evaluates the extent to which research objectives have been achieved, discusses the practical implications for SME retailers, and acknowledges study limitations.</w:t>
      </w:r>
    </w:p>
    <w:p>
      <w:pPr>
        <w:spacing w:after="160" w:line="300"/>
        <w:jc w:val="both"/>
      </w:pPr>
      <w:r>
        <w:rPr>
          <w:rFonts w:ascii="Times New Roman" w:cs="Times New Roman" w:eastAsia="Times New Roman" w:hAnsi="Times New Roman"/>
          <w:color w:val="000000"/>
          <w:sz w:val="24"/>
          <w:szCs w:val="24"/>
        </w:rPr>
        <w:t xml:space="preserve">▪ Chapter 7 Conclusion and Future Work:  Summarises key findings and contributions, and outlines directions for future research including real-time streaming data integration, probabilistic demand forecasting, multi-echelon supply chain extension, and live deployment validation with retail partners.</w:t>
      </w:r>
    </w:p>
    <w:p>
      <w:pPr>
        <w:spacing w:after="130" w:before="300"/>
      </w:pPr>
      <w:r>
        <w:rPr>
          <w:rFonts w:ascii="Times New Roman" w:cs="Times New Roman" w:eastAsia="Times New Roman" w:hAnsi="Times New Roman"/>
          <w:b/>
          <w:bCs/>
          <w:color w:val="1F3864"/>
          <w:sz w:val="28"/>
          <w:szCs w:val="28"/>
        </w:rPr>
        <w:t xml:space="preserve">1.5 Theoretical and Conceptual Foundations</w:t>
      </w:r>
    </w:p>
    <w:p>
      <w:pPr>
        <w:spacing w:after="110" w:before="220"/>
      </w:pPr>
      <w:r>
        <w:rPr>
          <w:rFonts w:ascii="Times New Roman" w:cs="Times New Roman" w:eastAsia="Times New Roman" w:hAnsi="Times New Roman"/>
          <w:b/>
          <w:bCs/>
          <w:color w:val="2E4D7B"/>
          <w:sz w:val="25"/>
          <w:szCs w:val="25"/>
        </w:rPr>
        <w:t xml:space="preserve">1.5.1 Classical Inventory Theory</w:t>
      </w:r>
    </w:p>
    <w:p>
      <w:pPr>
        <w:spacing w:after="160" w:line="300"/>
        <w:jc w:val="both"/>
      </w:pPr>
      <w:r>
        <w:rPr>
          <w:rFonts w:ascii="Times New Roman" w:cs="Times New Roman" w:eastAsia="Times New Roman" w:hAnsi="Times New Roman"/>
          <w:color w:val="000000"/>
          <w:sz w:val="24"/>
          <w:szCs w:val="24"/>
        </w:rPr>
        <w:t xml:space="preserve">Classical inventory theory, developed from the foundational Economic Order Quantity (EOQ) model of Harris (1913) and extended through periodic review systems (Silver, Pyke &amp; Thomas, 2017), provides the operational backbone for inventory decision-making in this study. The core concepts of safety stock, reorder point, service level, and order-up-to level formalised in the OUTL (R, s, S) policy translate demand forecasts into actionable replenishment decisions. The Gaussian safety stock formula SS = z·σ·√(R+L) bridges the statistical properties of the demand forecast (σ, the standard deviation of forecast errors) with the operational constraint (L, the supply lead time) and the business requirement (z, the service-level z-score). However, this formula assumes forecast residuals are normally distributed an assumption that intermittent retail demand, which is right-skewed and zero-inflated, systematically violates. A central theoretical motivation of this study is therefore the extension of classical inventory theory through an empirical quantile safety stock formulation, SS₂ₕ₅ = (q₀.₉₅ − q₀.₅₀)·√(R+L), derived from LightGBM quantile-regression forecasts, which captures the true shape of the demand distribution rather than imposing parametric normality. The comparison of Gaussian and empirical-quantile formulations across realistic operational scenarios is the primary analytical contribution of Chapter 5.</w:t>
      </w:r>
    </w:p>
    <w:p>
      <w:pPr>
        <w:spacing w:after="110" w:before="220"/>
      </w:pPr>
      <w:r>
        <w:rPr>
          <w:rFonts w:ascii="Times New Roman" w:cs="Times New Roman" w:eastAsia="Times New Roman" w:hAnsi="Times New Roman"/>
          <w:b/>
          <w:bCs/>
          <w:color w:val="2E4D7B"/>
          <w:sz w:val="25"/>
          <w:szCs w:val="25"/>
        </w:rPr>
        <w:t xml:space="preserve">1.5.2 Machine Learning and Ensemble Learning Theory</w:t>
      </w:r>
    </w:p>
    <w:p>
      <w:pPr>
        <w:spacing w:after="160" w:line="300"/>
        <w:jc w:val="both"/>
      </w:pPr>
      <w:r>
        <w:rPr>
          <w:rFonts w:ascii="Times New Roman" w:cs="Times New Roman" w:eastAsia="Times New Roman" w:hAnsi="Times New Roman"/>
          <w:color w:val="000000"/>
          <w:sz w:val="24"/>
          <w:szCs w:val="24"/>
        </w:rPr>
        <w:t xml:space="preserve">Ensemble learning theory; the principle that combining predictions from multiple models reduces bias and variance relative to any single constituent model underpins the choice of gradient boosting ensembles as the primary modelling architecture. The theoretical result by Zhou et al. (2002) that combining diverse partial predictors yields superior generalisation motivates the stacking ensemble design of Chapter 4, in which LightGBM, XGBoost, and Random Forest base learners are combined through a non-negative Ridge regression meta-learner that learns optimal combination weights from validation-set predictions. This stacking architecture is preferred over the sequential residual-correction design used in some prior work (Barghi, 2025) because it avoids overfitting successive layers to the noise of earlier layers and is the standard heterogeneous ensemble approach in the modern forecasting literature (Mitra et al., 2022; Seyedan et al., 2023). The specific models selected LightGBM for computational efficiency and histogram-based binning on large datasets, XGBoost for L1/L2 regularisation and generalisation, Random Forest for stable variance reduction, and LSTM for temporal dependency modelling are each grounded in established theoretical properties validated in the retail forecasting literature (Barghi, 2025; Nasseri et al., 2023; Punia et al., 2020). Quantile regression theory provides the probabilistic foundation for Tier 5: by minimising the asymmetric pinball loss at each target quantile α, LightGBM quantile models produce calibrated distributional forecasts that, unlike point forecasts, directly encode the upper tail of demand required for safety-stock calculations. This probabilistic framework is the theoretical bridge between the forecasting and inventory layers of the study.</w:t>
      </w:r>
    </w:p>
    <w:p>
      <w:pPr>
        <w:spacing w:after="110" w:before="220"/>
      </w:pPr>
      <w:r>
        <w:rPr>
          <w:rFonts w:ascii="Times New Roman" w:cs="Times New Roman" w:eastAsia="Times New Roman" w:hAnsi="Times New Roman"/>
          <w:b/>
          <w:bCs/>
          <w:color w:val="2E4D7B"/>
          <w:sz w:val="25"/>
          <w:szCs w:val="25"/>
        </w:rPr>
        <w:t xml:space="preserve">1.5.3 Supply Chain and Demand Uncertainty Theory</w:t>
      </w:r>
    </w:p>
    <w:p>
      <w:pPr>
        <w:spacing w:after="160" w:line="300"/>
        <w:jc w:val="both"/>
      </w:pPr>
      <w:r>
        <w:rPr>
          <w:rFonts w:ascii="Times New Roman" w:cs="Times New Roman" w:eastAsia="Times New Roman" w:hAnsi="Times New Roman"/>
          <w:color w:val="000000"/>
          <w:sz w:val="24"/>
          <w:szCs w:val="24"/>
        </w:rPr>
        <w:t xml:space="preserve">Demand uncertainty theory, which recognises that real-world retail demand cannot be forecast with certainty and that inventory policies must be designed to perform robustly across the distribution of possible demand outcomes, motivates several key design choices in this study. The finding that the Gaussian safety-stock formula systematically under-allocates buffer inventory for intermittent demand covering approximately the 83rd rather than the targeted 95th percentile of empirical demand is grounded in this theoretical framework: the formula’s parametric assumption of normality fails precisely because the true demand distribution is right-skewed and heavy-tailed relative to a normal distribution with the same mean and variance. </w:t>
      </w:r>
      <w:r>
        <w:rPr>
          <w:rFonts w:ascii="Times New Roman" w:cs="Times New Roman" w:eastAsia="Times New Roman" w:hAnsi="Times New Roman"/>
          <w:color w:val="C00000"/>
          <w:sz w:val="24"/>
          <w:szCs w:val="24"/>
        </w:rPr>
        <w:t xml:space="preserve">Whether this distributional under-allocation translates into realised stockouts and higher cost — or remains a property of the distribution with no operational effect — is measured directly in Chapter 5 rather than assumed.</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C00000"/>
          <w:sz w:val="24"/>
          <w:szCs w:val="24"/>
        </w:rPr>
        <w:t xml:space="preserve">The sensitivity analysis in Chapter 5, which examines how inventory cost outcomes vary across lead-time scenarios (7, 10, 14, 21 days) and stockout cost assumptions (multiplier 0.4, 1.0, 2.0×),</w:t>
      </w:r>
      <w:r>
        <w:rPr>
          <w:rFonts w:ascii="Times New Roman" w:cs="Times New Roman" w:eastAsia="Times New Roman" w:hAnsi="Times New Roman"/>
          <w:color w:val="000000"/>
          <w:sz w:val="24"/>
          <w:szCs w:val="24"/>
        </w:rPr>
        <w:t xml:space="preserve"> is grounded in the recognition that supply chain resilience requires robustness to parameter uncertainty rather than optimisation for a single point estimate (Seyedan et al., 2023; Silver, Pyke &amp; Thomas, 2017).</w:t>
      </w:r>
    </w:p>
    <w:p>
      <w:pPr>
        <w:spacing w:after="110" w:before="220"/>
      </w:pPr>
      <w:r>
        <w:rPr>
          <w:rFonts w:ascii="Times New Roman" w:cs="Times New Roman" w:eastAsia="Times New Roman" w:hAnsi="Times New Roman"/>
          <w:b/>
          <w:bCs/>
          <w:color w:val="2E4D7B"/>
          <w:sz w:val="25"/>
          <w:szCs w:val="25"/>
        </w:rPr>
        <w:t xml:space="preserve">1.5.4 CRISP-DM as a Research Methodology Framework</w:t>
      </w:r>
    </w:p>
    <w:p>
      <w:pPr>
        <w:spacing w:after="160" w:line="300"/>
        <w:jc w:val="both"/>
      </w:pPr>
      <w:r>
        <w:rPr>
          <w:rFonts w:ascii="Times New Roman" w:cs="Times New Roman" w:eastAsia="Times New Roman" w:hAnsi="Times New Roman"/>
          <w:color w:val="000000"/>
          <w:sz w:val="24"/>
          <w:szCs w:val="24"/>
        </w:rPr>
        <w:t xml:space="preserve">The Cross-Industry Standard Process for Data Mining (CRISP-DM) provides the overarching methodological structure that connects the three theoretical domains above into a coherent research workflow. By progressing iteratively from business understanding through data preparation, modelling, evaluation, and toward deployment, CRISP-DM ensures that each technical decision in this study from feature engineering choices to model selection to dashboard design is anchored in the operational business problem rather than pursued as a purely academic exercise. This framework has been adopted in several closely related retail forecasting studies (Ungureanu, 2025; Bastos, 2023) and its iterative structure is particularly well-suited to the cycles of model refinement and inventory policy calibration that characterise this research.</w:t>
      </w:r>
    </w:p>
    <w:p>
      <w:pPr>
        <w:spacing w:after="130" w:before="300"/>
      </w:pPr>
      <w:r>
        <w:rPr>
          <w:rFonts w:ascii="Times New Roman" w:cs="Times New Roman" w:eastAsia="Times New Roman" w:hAnsi="Times New Roman"/>
          <w:b/>
          <w:bCs/>
          <w:color w:val="1F3864"/>
          <w:sz w:val="28"/>
          <w:szCs w:val="28"/>
        </w:rPr>
        <w:t xml:space="preserve">1.6 Contributions of the Study</w:t>
      </w:r>
    </w:p>
    <w:p>
      <w:pPr>
        <w:spacing w:after="110" w:before="220"/>
      </w:pPr>
      <w:r>
        <w:rPr>
          <w:rFonts w:ascii="Times New Roman" w:cs="Times New Roman" w:eastAsia="Times New Roman" w:hAnsi="Times New Roman"/>
          <w:b/>
          <w:bCs/>
          <w:color w:val="2E4D7B"/>
          <w:sz w:val="25"/>
          <w:szCs w:val="25"/>
        </w:rPr>
        <w:t xml:space="preserve">1.6.1 Methodological Contribution</w:t>
      </w:r>
    </w:p>
    <w:p>
      <w:pPr>
        <w:spacing w:after="160" w:line="300"/>
        <w:jc w:val="both"/>
      </w:pPr>
      <w:r>
        <w:rPr>
          <w:rFonts w:ascii="Times New Roman" w:cs="Times New Roman" w:eastAsia="Times New Roman" w:hAnsi="Times New Roman"/>
          <w:color w:val="000000"/>
          <w:sz w:val="24"/>
          <w:szCs w:val="24"/>
        </w:rPr>
        <w:t xml:space="preserve">The study makes two methodological contributions. First, it provides the first quantitative measurement on the M5 benchmark of the Gaussian safety-stock under-allocation gap for intermittent retail demand: the empirical 95th-percentile demand spread, derived from LightGBM quantile regression, is 1.36 times the Gaussian-implied buffer at the same nominal service level, corresponding to an effective service level of approximately 83% when 95% is targeted. </w:t>
      </w:r>
      <w:r>
        <w:rPr>
          <w:rFonts w:ascii="Times New Roman" w:cs="Times New Roman" w:eastAsia="Times New Roman" w:hAnsi="Times New Roman"/>
          <w:color w:val="C00000"/>
          <w:sz w:val="24"/>
          <w:szCs w:val="24"/>
        </w:rPr>
        <w:t xml:space="preserve">This measurement, and the empirical quantile safety-stock formulation built upon it, represents a principled extension of the textbook (R, s, S) policy to non-Gaussian demand distributions; whether that extension yields an operational cost benefit is shown in Chapter 5 to depend on the demand regime.</w:t>
      </w:r>
      <w:r>
        <w:rPr>
          <w:rFonts w:ascii="Times New Roman" w:cs="Times New Roman" w:eastAsia="Times New Roman" w:hAnsi="Times New Roman"/>
          <w:color w:val="000000"/>
          <w:sz w:val="24"/>
          <w:szCs w:val="24"/>
        </w:rPr>
        <w:t xml:space="preserve"> Second, the study develops and validates a five-tier comparative forecasting pipeline spanning classical statistical baselines, gradient boosting models with Tweedie loss, a stacked LSTM, a Ridge-regression stacking ensemble, and a five-quantile LightGBM model integrated end-to-end with the OUTL inventory policy and evaluated on a stratified subsample of 502 product-store series from the M5-Forecasting (Walmart) dataset. The pipeline is implemented exclusively in free and open-source tooling, runs on a standard 16 GB-RAM laptop in under three hours, and is documented to the level required for independent replication providing a reproducible methodological template for future retail forecasting and inventory research.</w:t>
      </w:r>
    </w:p>
    <w:p>
      <w:pPr>
        <w:spacing w:after="110" w:before="220"/>
      </w:pPr>
      <w:r>
        <w:rPr>
          <w:rFonts w:ascii="Times New Roman" w:cs="Times New Roman" w:eastAsia="Times New Roman" w:hAnsi="Times New Roman"/>
          <w:b/>
          <w:bCs/>
          <w:color w:val="2E4D7B"/>
          <w:sz w:val="25"/>
          <w:szCs w:val="25"/>
        </w:rPr>
        <w:t xml:space="preserve">1.6.2 Practical Contribution</w:t>
      </w:r>
    </w:p>
    <w:p>
      <w:pPr>
        <w:spacing w:after="160" w:line="300"/>
        <w:jc w:val="both"/>
      </w:pPr>
      <w:r>
        <w:rPr>
          <w:rFonts w:ascii="Times New Roman" w:cs="Times New Roman" w:eastAsia="Times New Roman" w:hAnsi="Times New Roman"/>
          <w:color w:val="000000"/>
          <w:sz w:val="24"/>
          <w:szCs w:val="24"/>
        </w:rPr>
        <w:t xml:space="preserve">The study delivers a complete, end-to-end analytical workflow from raw M5 data ingestion through preprocessing, feature engineering, model training, OUTL inventory calculation, and Power BI dashboard export that is explicitly designed for deployment in SME retail environments. The Power BI dashboard is structured across four operational pages: Forecast Overview (actual sales, ML ensemble and classical forecasts, and LightGBM quantile fan); Inventory Status (safety stock, reorder point, and order-up-to-level per product-store with conditional formatting for items approaching reorder); Cost Analysis (total annual cost decomposed by policy and lead-time scenario); and Sensitivity Analysis (cost-reduction curves across MAPE, service level, and stockout cost). The SME accessibility commitment is implemented through three concrete constraints: all tooling is free and open-source (Python, scikit-learn, LightGBM, XGBoost, TensorFlow, Power BI Desktop free tier); the full pipeline runs in under three hours on a standard 16 GB-RAM laptop with no GPU; and the only data inputs required daily SKU-store sales, weekly prices, and a promotional/event calendar are standard outputs of off-the-shelf point-of-sale systems. These specifications collectively ensure the framework is accessible to SMEs without enterprise-scale infrastructure, licensing, or data science expertise.</w:t>
      </w:r>
    </w:p>
    <w:p>
      <w:pPr>
        <w:spacing w:after="110" w:before="220"/>
      </w:pPr>
      <w:r>
        <w:rPr>
          <w:rFonts w:ascii="Times New Roman" w:cs="Times New Roman" w:eastAsia="Times New Roman" w:hAnsi="Times New Roman"/>
          <w:b/>
          <w:bCs/>
          <w:color w:val="2E4D7B"/>
          <w:sz w:val="25"/>
          <w:szCs w:val="25"/>
        </w:rPr>
        <w:t xml:space="preserve">1.6.3 Research Contribution</w:t>
      </w:r>
    </w:p>
    <w:p>
      <w:pPr>
        <w:spacing w:after="160" w:line="300"/>
        <w:jc w:val="both"/>
      </w:pPr>
      <w:r>
        <w:rPr>
          <w:rFonts w:ascii="Times New Roman" w:cs="Times New Roman" w:eastAsia="Times New Roman" w:hAnsi="Times New Roman"/>
          <w:color w:val="C00000"/>
          <w:sz w:val="24"/>
          <w:szCs w:val="24"/>
        </w:rPr>
        <w:t xml:space="preserve">The study provides three empirical findings that advance the research literature. First, it shows that the operational value of ML forecasting in retail inventory management is conditional on the demand regime rather than automatic. When inventory outcomes are measured by forward simulation rather than assumed, the ML-Gaussian policy is indistinguishable from the classical baseline and the empirical-quantile policy does not lower cost on the M5 test window, because the standard safety-stock buffers already meet demand in full — a 100% realised service level, with no stockouts to avert. Second, and relatedly, the study quantifies a granularity mismatch in the published benchmarks: the 10–25% accuracy and 5–15% cost-reduction figures reported by Barghi (2025) and Seyedan et al. (2023) were obtained on aggregated retail and supply-chain data, where demand is comparatively smooth; at SKU-store-day granularity the attainable accuracy gain is far smaller (approximately 4.5% in MAE for the best ensemble over the strongest classical baseline) and the inventory benefit is regime-dependent. The shortfall relative to those benchmarks is therefore not a deficiency of the pipeline but evidence that the benchmarks are conditional on aggregation level. Third, the study delimits the boundary condition under which the quantile-based safety-stock reformulation pays off: it reduces cost only when the baseline policy is exposed to genuine stockout risk, and adds idle holding cost when service is already saturated — a result that gives practitioners an explicit test for whether the more complex policy is worth adopting in their own setting. Together, these findings reframe the contribution from a claimed cost saving to a rigorous, simulation-based characterisation of when ML forecasting and distributional safety stock affect inventory outcomes, and when they do not.</w:t>
      </w:r>
    </w:p>
    <w:p>
      <w:pPr>
        <w:spacing w:after="160" w:line="300"/>
        <w:jc w:val="both"/>
      </w:pPr>
      <w:r>
        <w:rPr>
          <w:rFonts w:ascii="Times New Roman" w:cs="Times New Roman" w:eastAsia="Times New Roman" w:hAnsi="Times New Roman"/>
          <w:color w:val="000000"/>
          <w:sz w:val="24"/>
          <w:szCs w:val="24"/>
        </w:rPr>
        <w:t xml:space="preserve">In summary, this thesis is positioned at the intersection of data science, operations management, and retail analytics. It moves deliberately beyond the production of accurate forecasts as an end in themselves, toward a fully integrated decision-driven framework that connects predictive modelling to operational inventory policy, delivers outputs through an accessible dashboard, and is explicitly designed for applicability in the SME retail environments where the need for improved demand forecasting is greatest and the current gap between need and capability is widest.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