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A38E" w14:textId="77777777" w:rsidR="000238AF" w:rsidRDefault="00000000">
      <w:pPr>
        <w:jc w:val="center"/>
      </w:pPr>
      <w:r>
        <w:rPr>
          <w:b/>
          <w:sz w:val="40"/>
        </w:rPr>
        <w:t>CHAPTER 3</w:t>
      </w:r>
    </w:p>
    <w:p w14:paraId="7A756576" w14:textId="77777777" w:rsidR="000238AF" w:rsidRDefault="00000000">
      <w:pPr>
        <w:spacing w:after="360"/>
        <w:jc w:val="center"/>
      </w:pPr>
      <w:r>
        <w:rPr>
          <w:b/>
          <w:sz w:val="32"/>
        </w:rPr>
        <w:t>Methodology</w:t>
      </w:r>
    </w:p>
    <w:p w14:paraId="04C248C5" w14:textId="77777777" w:rsidR="000238AF" w:rsidRDefault="00000000">
      <w:pPr>
        <w:pStyle w:val="Heading1"/>
      </w:pPr>
      <w:r>
        <w:rPr>
          <w:rFonts w:ascii="Arial" w:hAnsi="Arial"/>
          <w:color w:val="000000"/>
        </w:rPr>
        <w:t>3.1 Introduction</w:t>
      </w:r>
    </w:p>
    <w:p w14:paraId="2C6E6C6F" w14:textId="77777777" w:rsidR="000238AF" w:rsidRDefault="00000000">
      <w:pPr>
        <w:spacing w:after="120"/>
      </w:pPr>
      <w:r>
        <w:t>This chapter presents the research design, data sources, preprocessing pipeline, feature engineering strategy, modelling framework, evaluation methodology, and inventory policy integration procedure that constitute the empirical backbone of this study. Every decision documented here is anchored in the four research gaps identified in Chapter 2 and guided by the five objectives stated in Chapter 1: comparative evaluation of forecasting models, systematic feature engineering, integration of the best-performing model with the Order-Up-To-Level (OUTL) inventory policy, quantification of operational impact relative to classical baselines, and delivery of results through an accessible Power BI dashboard.</w:t>
      </w:r>
    </w:p>
    <w:p w14:paraId="2342A103" w14:textId="77777777" w:rsidR="000238AF" w:rsidRDefault="00000000">
      <w:pPr>
        <w:spacing w:after="120"/>
      </w:pPr>
      <w:r>
        <w:t>The overarching methodological framework is the Cross-Industry Standard Process for Data Mining (CRISP-DM), which structures the research as an iterative, six-phase process — Business Understanding, Data Understanding, Data Preparation, Modelling, Evaluation, and Deployment — progressing from problem definition through to operational output (Barghi, 2025; Ungureanu, 2025). CRISP-DM was selected over alternative frameworks because its iterative structure accommodates the cycles of feature refinement and model calibration that characterise retail demand forecasting research, because it has been adopted in closely related studies (Bastos, 2023; Ungureanu, 2025), and because its explicit deployment phase anchors every technical decision in the operational business problem.</w:t>
      </w:r>
    </w:p>
    <w:p w14:paraId="4E27BCE4" w14:textId="77777777" w:rsidR="000238AF" w:rsidRDefault="00000000">
      <w:pPr>
        <w:spacing w:after="120"/>
      </w:pPr>
      <w:r>
        <w:t>The remainder of this chapter is structured as follows. Section 3.2 describes the research design philosophy and the role of CRISP-DM. Section 3.3 provides a detailed description of the M5-Forecasting (Walmart) dataset and the stratified subsample used for modelling. Section 3.4 documents the data preprocessing pipeline. Section 3.5 presents the feature engineering strategy. Section 3.6 describes model development and the comparative evaluation framework across five model tiers. Section 3.7 details the OUTL inventory policy integration procedure, including a quantile-based robustness check and stockout cost modelling. Section 3.8 outlines the Power BI dashboard development approach. Section 3.9 explains the sensitivity analysis design. Section 3.10 addresses ethical considerations governing the study. Section 3.11 specifies the SME transferability requirements. Section 3.12 summarises the chapter.</w:t>
      </w:r>
    </w:p>
    <w:p w14:paraId="658657A2" w14:textId="77777777" w:rsidR="000238AF" w:rsidRDefault="00000000">
      <w:pPr>
        <w:pStyle w:val="Heading1"/>
      </w:pPr>
      <w:r>
        <w:rPr>
          <w:rFonts w:ascii="Arial" w:hAnsi="Arial"/>
          <w:color w:val="000000"/>
        </w:rPr>
        <w:t>3.2 Research Design and Methodological Framework</w:t>
      </w:r>
    </w:p>
    <w:p w14:paraId="6DDCD5C3" w14:textId="77777777" w:rsidR="000238AF" w:rsidRDefault="00000000">
      <w:pPr>
        <w:pStyle w:val="Heading2"/>
      </w:pPr>
      <w:r>
        <w:rPr>
          <w:rFonts w:ascii="Arial" w:hAnsi="Arial"/>
          <w:color w:val="000000"/>
        </w:rPr>
        <w:t>3.2.1 Research Philosophy</w:t>
      </w:r>
    </w:p>
    <w:p w14:paraId="4C0199F8" w14:textId="77777777" w:rsidR="000238AF" w:rsidRDefault="00000000">
      <w:pPr>
        <w:spacing w:after="120"/>
      </w:pPr>
      <w:r>
        <w:t xml:space="preserve">This study is positioned within a post-positivist research philosophy. It seeks to identify causal relationships between modelling architecture choices and operational inventory outcomes, using quantitative measurement of forecast accuracy and inventory cost as primary evidence. The study does not claim to generate universal laws but rather to produce replicable, empirically grounded findings that can inform decision-making in comparable retail environments (Seyedan, </w:t>
      </w:r>
      <w:r>
        <w:lastRenderedPageBreak/>
        <w:t>2023). A deductive approach is adopted: hypotheses about model superiority and inventory cost reduction are formulated from the literature in Chapter 2 and tested against the M5 dataset.</w:t>
      </w:r>
    </w:p>
    <w:p w14:paraId="747C89CB" w14:textId="77777777" w:rsidR="000238AF" w:rsidRDefault="00000000">
      <w:pPr>
        <w:spacing w:after="120"/>
      </w:pPr>
      <w:r>
        <w:t>The research strategy is a quantitative computational experiment — a form of empirical investigation in which multiple modelling approaches are systematically compared on a shared dataset under controlled conditions (Nasseri et al., 2023; Mitra et al., 2022). This strategy was chosen over survey or case study designs because it permits direct, metric-grounded comparison of forecasting and inventory outcomes, which is precisely what the literature gaps identified in Chapter 2 require.</w:t>
      </w:r>
    </w:p>
    <w:p w14:paraId="68BF349E" w14:textId="77777777" w:rsidR="000238AF" w:rsidRDefault="00000000">
      <w:pPr>
        <w:pStyle w:val="Heading2"/>
      </w:pPr>
      <w:r>
        <w:rPr>
          <w:rFonts w:ascii="Arial" w:hAnsi="Arial"/>
          <w:color w:val="000000"/>
        </w:rPr>
        <w:t>3.2.2 CRISP-DM as the Structuring Framework</w:t>
      </w:r>
    </w:p>
    <w:p w14:paraId="0A52859E" w14:textId="77777777" w:rsidR="000238AF" w:rsidRDefault="00000000">
      <w:pPr>
        <w:spacing w:after="120"/>
      </w:pPr>
      <w:r>
        <w:t>The CRISP-DM framework organises the research into six iterative phases. Phase 1 (Business Understanding) is documented in Chapter 1. Phase 2 (Data Understanding) is addressed in Sections 3.3 and 3.4. Phase 3 (Data Preparation) covers Sections 3.4 and 3.5. Phase 4 (Modelling) is addressed in Section 3.6. Phase 5 (Evaluation) spans Sections 3.6 and 3.7 and Chapter 4. Phase 6 (Deployment) is addressed in Section 3.8 through the Power BI dashboard. The iterative character of CRISP-DM is reflected in feedback loops between feature engineering and model evaluation: features were refined based on pilot model performance, and the inventory policy formulation was extended with a quantile-based robustness check after preliminary results revealed the limitations of the Gaussian assumption on intermittent demand series.</w:t>
      </w:r>
    </w:p>
    <w:p w14:paraId="1ADCA750" w14:textId="77777777" w:rsidR="000238AF" w:rsidRDefault="00000000">
      <w:pPr>
        <w:pStyle w:val="Heading1"/>
      </w:pPr>
      <w:r>
        <w:rPr>
          <w:rFonts w:ascii="Arial" w:hAnsi="Arial"/>
          <w:color w:val="000000"/>
        </w:rPr>
        <w:t>3.3 Data Source: The M5-Forecasting (Walmart) Dataset</w:t>
      </w:r>
    </w:p>
    <w:p w14:paraId="1E0B6249" w14:textId="77777777" w:rsidR="000238AF" w:rsidRDefault="00000000">
      <w:pPr>
        <w:pStyle w:val="Heading2"/>
      </w:pPr>
      <w:r>
        <w:rPr>
          <w:rFonts w:ascii="Arial" w:hAnsi="Arial"/>
          <w:color w:val="000000"/>
        </w:rPr>
        <w:t>3.3.1 Dataset Description and Provenance</w:t>
      </w:r>
    </w:p>
    <w:p w14:paraId="35C6432B" w14:textId="77777777" w:rsidR="000238AF" w:rsidRDefault="00000000">
      <w:pPr>
        <w:spacing w:after="120"/>
      </w:pPr>
      <w:r>
        <w:t>The primary data source for this study is the M5-Forecasting (Walmart) dataset, sourced from the Kaggle platform (Obi, 2024; Haque et al., 2023). The dataset was originally prepared for the M5 Accuracy and Uncertainty competitions hosted by the Makridakis Open Forecasting Center and provides one of the most comprehensive publicly available benchmarks for hierarchical retail demand forecasting.</w:t>
      </w:r>
    </w:p>
    <w:p w14:paraId="120B8863" w14:textId="77777777" w:rsidR="000238AF" w:rsidRDefault="00000000">
      <w:pPr>
        <w:spacing w:after="120"/>
      </w:pPr>
      <w:r>
        <w:t>The dataset contains daily unit sales for 3,049 individual product-store series, organised across three product categories — Hobbies, Foods, and Household — and seven product departments. Products are sold across ten Walmart stores in three US states: California (CA1–CA4), Texas (TX1–TX3), and Wisconsin (WI1–WI3). The publicly distributed sales_train_validation.csv file spans 1,913 consecutive days from 29 January 2011 to 24 April 2016. The dataset is distributed across three raw files: sales_train_validation.csv (daily unit sales), calendar.csv (date, day-of-week, SNAP eligibility flags, event labels), and sell_prices.csv (weekly selling prices per product-store combination).</w:t>
      </w:r>
    </w:p>
    <w:p w14:paraId="5F7C078B" w14:textId="77777777" w:rsidR="000238AF" w:rsidRDefault="00000000">
      <w:pPr>
        <w:pStyle w:val="Heading2"/>
      </w:pPr>
      <w:r>
        <w:rPr>
          <w:rFonts w:ascii="Arial" w:hAnsi="Arial"/>
          <w:color w:val="000000"/>
        </w:rPr>
        <w:t>3.3.2 Justification of Dataset Choice</w:t>
      </w:r>
    </w:p>
    <w:p w14:paraId="343A4793" w14:textId="77777777" w:rsidR="000238AF" w:rsidRDefault="00000000">
      <w:pPr>
        <w:spacing w:after="120"/>
      </w:pPr>
      <w:r>
        <w:t xml:space="preserve">The M5 dataset was preferred over alternatives such as the Rossmann Store Sales dataset (Barghi, 2025) or the Favorita Grocery Sales dataset (Ungureanu, 2025) for four specific reasons. First, its scale — 3,049 product-store series over more than five years — provides a richer basis for model generalisation than smaller benchmarks. Second, its hierarchical </w:t>
      </w:r>
      <w:r>
        <w:lastRenderedPageBreak/>
        <w:t>structure mirrors the organisational structure of real SME retail operations, making the methodology transferable. Third, the inclusion of enriched contextual variables — SNAP benefit eligibility flags, granular event categorisation, and weekly price data — reflects the types of operational data that medium-sized retailers already collect, fulfilling the SME accessibility principle stated in Chapter 1. Fourth, it constitutes an established academic benchmark, permitting direct comparison with published results from Obi (2024), Haque et al. (2023), and the broader M5 retrospective literature.</w:t>
      </w:r>
    </w:p>
    <w:p w14:paraId="3AD89158" w14:textId="77777777" w:rsidR="000238AF" w:rsidRDefault="00000000">
      <w:pPr>
        <w:pStyle w:val="Heading2"/>
      </w:pPr>
      <w:r>
        <w:rPr>
          <w:rFonts w:ascii="Arial" w:hAnsi="Arial"/>
          <w:color w:val="000000"/>
        </w:rPr>
        <w:t>3.3.3 Stratified Subsample for Computational Tractability</w:t>
      </w:r>
    </w:p>
    <w:p w14:paraId="214CA6A0" w14:textId="77777777" w:rsidR="000238AF" w:rsidRDefault="00000000">
      <w:pPr>
        <w:spacing w:after="120"/>
      </w:pPr>
      <w:r>
        <w:t>The full M5 dataset expands to approximately 56.6 million product-store-day records once reshaped from wide to long format. While computationally tractable for tree-based gradient boosting, this scale prohibits rigorous walk-forward cross-validation and recurrent neural network training within the project's compute budget. A precedent for working with subsamples exists in the literature: Nasseri et al. (2023) report results on a subset of approximately 5.2 million records, and Seyedan et al. (2023) restrict their evaluation to selected product categories.</w:t>
      </w:r>
    </w:p>
    <w:p w14:paraId="14A110CF" w14:textId="77777777" w:rsidR="000238AF" w:rsidRDefault="00000000">
      <w:pPr>
        <w:spacing w:after="120"/>
      </w:pPr>
      <w:r>
        <w:t>This study uses a stratified random subsample of 502 product-store series, drawn proportionally across the nine strata defined by the three product categories crossed with the three states. The sampling is performed with a fixed random seed (42) to ensure reproducibility. The subsample preserves the categorical structure of the parent dataset while reducing total observations to approximately 933,000 — a 60-fold reduction that enables identical model architectures to be trained across all five tiers within consistent computational constraints, and permits the LSTM and Random Forest models to be evaluated rigorously rather than approximately. Table 3.1 reports the subsample composition.</w:t>
      </w:r>
    </w:p>
    <w:p w14:paraId="020E9006" w14:textId="77777777" w:rsidR="000238AF" w:rsidRDefault="00000000">
      <w:pPr>
        <w:spacing w:before="160" w:after="80"/>
      </w:pPr>
      <w:r>
        <w:rPr>
          <w:b/>
          <w:sz w:val="20"/>
        </w:rPr>
        <w:t>Table 3.1: Subsample composition by category and state</w:t>
      </w:r>
    </w:p>
    <w:tbl>
      <w:tblPr>
        <w:tblStyle w:val="LightGrid-Accent1"/>
        <w:tblW w:w="0" w:type="auto"/>
        <w:tblLook w:val="04A0" w:firstRow="1" w:lastRow="0" w:firstColumn="1" w:lastColumn="0" w:noHBand="0" w:noVBand="1"/>
      </w:tblPr>
      <w:tblGrid>
        <w:gridCol w:w="1872"/>
        <w:gridCol w:w="1872"/>
        <w:gridCol w:w="1872"/>
        <w:gridCol w:w="1872"/>
        <w:gridCol w:w="1872"/>
      </w:tblGrid>
      <w:tr w:rsidR="000238AF" w14:paraId="21BFB5A9" w14:textId="77777777" w:rsidTr="000238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D5E8F0"/>
            <w:vAlign w:val="center"/>
          </w:tcPr>
          <w:p w14:paraId="03B7D9D9" w14:textId="77777777" w:rsidR="000238AF" w:rsidRDefault="00000000">
            <w:r>
              <w:rPr>
                <w:sz w:val="20"/>
              </w:rPr>
              <w:t>Category</w:t>
            </w:r>
          </w:p>
        </w:tc>
        <w:tc>
          <w:tcPr>
            <w:tcW w:w="1872" w:type="dxa"/>
            <w:shd w:val="clear" w:color="auto" w:fill="D5E8F0"/>
            <w:vAlign w:val="center"/>
          </w:tcPr>
          <w:p w14:paraId="3F2D1EFE" w14:textId="77777777" w:rsidR="000238AF" w:rsidRDefault="00000000">
            <w:pPr>
              <w:cnfStyle w:val="100000000000" w:firstRow="1" w:lastRow="0" w:firstColumn="0" w:lastColumn="0" w:oddVBand="0" w:evenVBand="0" w:oddHBand="0" w:evenHBand="0" w:firstRowFirstColumn="0" w:firstRowLastColumn="0" w:lastRowFirstColumn="0" w:lastRowLastColumn="0"/>
            </w:pPr>
            <w:r>
              <w:rPr>
                <w:sz w:val="20"/>
              </w:rPr>
              <w:t>California</w:t>
            </w:r>
          </w:p>
        </w:tc>
        <w:tc>
          <w:tcPr>
            <w:tcW w:w="1872" w:type="dxa"/>
            <w:shd w:val="clear" w:color="auto" w:fill="D5E8F0"/>
            <w:vAlign w:val="center"/>
          </w:tcPr>
          <w:p w14:paraId="410AD9D9" w14:textId="77777777" w:rsidR="000238AF" w:rsidRDefault="00000000">
            <w:pPr>
              <w:cnfStyle w:val="100000000000" w:firstRow="1" w:lastRow="0" w:firstColumn="0" w:lastColumn="0" w:oddVBand="0" w:evenVBand="0" w:oddHBand="0" w:evenHBand="0" w:firstRowFirstColumn="0" w:firstRowLastColumn="0" w:lastRowFirstColumn="0" w:lastRowLastColumn="0"/>
            </w:pPr>
            <w:r>
              <w:rPr>
                <w:sz w:val="20"/>
              </w:rPr>
              <w:t>Texas</w:t>
            </w:r>
          </w:p>
        </w:tc>
        <w:tc>
          <w:tcPr>
            <w:tcW w:w="1872" w:type="dxa"/>
            <w:shd w:val="clear" w:color="auto" w:fill="D5E8F0"/>
            <w:vAlign w:val="center"/>
          </w:tcPr>
          <w:p w14:paraId="58543B63" w14:textId="77777777" w:rsidR="000238AF" w:rsidRDefault="00000000">
            <w:pPr>
              <w:cnfStyle w:val="100000000000" w:firstRow="1" w:lastRow="0" w:firstColumn="0" w:lastColumn="0" w:oddVBand="0" w:evenVBand="0" w:oddHBand="0" w:evenHBand="0" w:firstRowFirstColumn="0" w:firstRowLastColumn="0" w:lastRowFirstColumn="0" w:lastRowLastColumn="0"/>
            </w:pPr>
            <w:r>
              <w:rPr>
                <w:sz w:val="20"/>
              </w:rPr>
              <w:t>Wisconsin</w:t>
            </w:r>
          </w:p>
        </w:tc>
        <w:tc>
          <w:tcPr>
            <w:tcW w:w="1872" w:type="dxa"/>
            <w:shd w:val="clear" w:color="auto" w:fill="D5E8F0"/>
            <w:vAlign w:val="center"/>
          </w:tcPr>
          <w:p w14:paraId="327731D6" w14:textId="77777777" w:rsidR="000238AF" w:rsidRDefault="00000000">
            <w:pPr>
              <w:cnfStyle w:val="100000000000" w:firstRow="1" w:lastRow="0" w:firstColumn="0" w:lastColumn="0" w:oddVBand="0" w:evenVBand="0" w:oddHBand="0" w:evenHBand="0" w:firstRowFirstColumn="0" w:firstRowLastColumn="0" w:lastRowFirstColumn="0" w:lastRowLastColumn="0"/>
            </w:pPr>
            <w:r>
              <w:rPr>
                <w:sz w:val="20"/>
              </w:rPr>
              <w:t>Row total</w:t>
            </w:r>
          </w:p>
        </w:tc>
      </w:tr>
      <w:tr w:rsidR="000238AF" w14:paraId="1EC4D8C6" w14:textId="77777777" w:rsidTr="00023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2A8E2D8" w14:textId="77777777" w:rsidR="000238AF" w:rsidRDefault="00000000">
            <w:r>
              <w:rPr>
                <w:sz w:val="20"/>
              </w:rPr>
              <w:t>Foods</w:t>
            </w:r>
          </w:p>
        </w:tc>
        <w:tc>
          <w:tcPr>
            <w:tcW w:w="1872" w:type="dxa"/>
            <w:vAlign w:val="center"/>
          </w:tcPr>
          <w:p w14:paraId="34135921"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94</w:t>
            </w:r>
          </w:p>
        </w:tc>
        <w:tc>
          <w:tcPr>
            <w:tcW w:w="1872" w:type="dxa"/>
            <w:vAlign w:val="center"/>
          </w:tcPr>
          <w:p w14:paraId="654F069A"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71</w:t>
            </w:r>
          </w:p>
        </w:tc>
        <w:tc>
          <w:tcPr>
            <w:tcW w:w="1872" w:type="dxa"/>
            <w:vAlign w:val="center"/>
          </w:tcPr>
          <w:p w14:paraId="23BD23F4"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71</w:t>
            </w:r>
          </w:p>
        </w:tc>
        <w:tc>
          <w:tcPr>
            <w:tcW w:w="1872" w:type="dxa"/>
            <w:vAlign w:val="center"/>
          </w:tcPr>
          <w:p w14:paraId="2A191199"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236</w:t>
            </w:r>
          </w:p>
        </w:tc>
      </w:tr>
      <w:tr w:rsidR="000238AF" w14:paraId="3EEEF712" w14:textId="77777777" w:rsidTr="000238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0BCF4A2" w14:textId="77777777" w:rsidR="000238AF" w:rsidRDefault="00000000">
            <w:r>
              <w:rPr>
                <w:sz w:val="20"/>
              </w:rPr>
              <w:t>Hobbies</w:t>
            </w:r>
          </w:p>
        </w:tc>
        <w:tc>
          <w:tcPr>
            <w:tcW w:w="1872" w:type="dxa"/>
            <w:vAlign w:val="center"/>
          </w:tcPr>
          <w:p w14:paraId="6C019003"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37</w:t>
            </w:r>
          </w:p>
        </w:tc>
        <w:tc>
          <w:tcPr>
            <w:tcW w:w="1872" w:type="dxa"/>
            <w:vAlign w:val="center"/>
          </w:tcPr>
          <w:p w14:paraId="12FEC6E5"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28</w:t>
            </w:r>
          </w:p>
        </w:tc>
        <w:tc>
          <w:tcPr>
            <w:tcW w:w="1872" w:type="dxa"/>
            <w:vAlign w:val="center"/>
          </w:tcPr>
          <w:p w14:paraId="5320EB2C"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28</w:t>
            </w:r>
          </w:p>
        </w:tc>
        <w:tc>
          <w:tcPr>
            <w:tcW w:w="1872" w:type="dxa"/>
            <w:vAlign w:val="center"/>
          </w:tcPr>
          <w:p w14:paraId="30EAE8BA"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93</w:t>
            </w:r>
          </w:p>
        </w:tc>
      </w:tr>
      <w:tr w:rsidR="000238AF" w14:paraId="13F93664" w14:textId="77777777" w:rsidTr="00023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0893CA9" w14:textId="77777777" w:rsidR="000238AF" w:rsidRDefault="00000000">
            <w:r>
              <w:rPr>
                <w:sz w:val="20"/>
              </w:rPr>
              <w:t>Household</w:t>
            </w:r>
          </w:p>
        </w:tc>
        <w:tc>
          <w:tcPr>
            <w:tcW w:w="1872" w:type="dxa"/>
            <w:vAlign w:val="center"/>
          </w:tcPr>
          <w:p w14:paraId="5BE91867"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69</w:t>
            </w:r>
          </w:p>
        </w:tc>
        <w:tc>
          <w:tcPr>
            <w:tcW w:w="1872" w:type="dxa"/>
            <w:vAlign w:val="center"/>
          </w:tcPr>
          <w:p w14:paraId="185A0EBF"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52</w:t>
            </w:r>
          </w:p>
        </w:tc>
        <w:tc>
          <w:tcPr>
            <w:tcW w:w="1872" w:type="dxa"/>
            <w:vAlign w:val="center"/>
          </w:tcPr>
          <w:p w14:paraId="51F47B5E"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52</w:t>
            </w:r>
          </w:p>
        </w:tc>
        <w:tc>
          <w:tcPr>
            <w:tcW w:w="1872" w:type="dxa"/>
            <w:vAlign w:val="center"/>
          </w:tcPr>
          <w:p w14:paraId="2B2DB804"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173</w:t>
            </w:r>
          </w:p>
        </w:tc>
      </w:tr>
      <w:tr w:rsidR="000238AF" w14:paraId="6AB1E779" w14:textId="77777777" w:rsidTr="000238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AA85200" w14:textId="77777777" w:rsidR="000238AF" w:rsidRDefault="00000000">
            <w:r>
              <w:rPr>
                <w:sz w:val="20"/>
              </w:rPr>
              <w:t>Column total</w:t>
            </w:r>
          </w:p>
        </w:tc>
        <w:tc>
          <w:tcPr>
            <w:tcW w:w="1872" w:type="dxa"/>
            <w:vAlign w:val="center"/>
          </w:tcPr>
          <w:p w14:paraId="065EA245"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c>
          <w:tcPr>
            <w:tcW w:w="1872" w:type="dxa"/>
            <w:vAlign w:val="center"/>
          </w:tcPr>
          <w:p w14:paraId="7783E37D"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151</w:t>
            </w:r>
          </w:p>
        </w:tc>
        <w:tc>
          <w:tcPr>
            <w:tcW w:w="1872" w:type="dxa"/>
            <w:vAlign w:val="center"/>
          </w:tcPr>
          <w:p w14:paraId="19BB3BFB"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151</w:t>
            </w:r>
          </w:p>
        </w:tc>
        <w:tc>
          <w:tcPr>
            <w:tcW w:w="1872" w:type="dxa"/>
            <w:vAlign w:val="center"/>
          </w:tcPr>
          <w:p w14:paraId="3EF8D28B"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502</w:t>
            </w:r>
          </w:p>
        </w:tc>
      </w:tr>
    </w:tbl>
    <w:p w14:paraId="460A0A03" w14:textId="77777777" w:rsidR="000238AF" w:rsidRDefault="00000000">
      <w:pPr>
        <w:pStyle w:val="Heading1"/>
      </w:pPr>
      <w:r>
        <w:rPr>
          <w:rFonts w:ascii="Arial" w:hAnsi="Arial"/>
          <w:color w:val="000000"/>
        </w:rPr>
        <w:t>3.4 Data Preprocessing Pipeline</w:t>
      </w:r>
    </w:p>
    <w:p w14:paraId="0A2EF500" w14:textId="77777777" w:rsidR="000238AF" w:rsidRDefault="00000000">
      <w:pPr>
        <w:pStyle w:val="Heading2"/>
      </w:pPr>
      <w:r>
        <w:rPr>
          <w:rFonts w:ascii="Arial" w:hAnsi="Arial"/>
          <w:color w:val="000000"/>
        </w:rPr>
        <w:t>3.4.1 Data Integration</w:t>
      </w:r>
    </w:p>
    <w:p w14:paraId="4679C7A8" w14:textId="77777777" w:rsidR="000238AF" w:rsidRDefault="00000000">
      <w:pPr>
        <w:spacing w:after="120"/>
      </w:pPr>
      <w:r>
        <w:t>The three source files are merged into a single unified modelling dataset prior to any preprocessing. The sales file is first reshaped from wide format (one column per day) to long format (one row per product-store-day combination). The calendar file is joined on the date field, adding day-of-week, month, year, event type, event name, and SNAP flag variables. The sell_prices file is joined on the item_id, store_id, and wm_yr_wk composite key, adding the sell_price variable. The integrated long-format dataset is then filtered to the stratified subsample of 502 series.</w:t>
      </w:r>
    </w:p>
    <w:p w14:paraId="48ED5CE2" w14:textId="77777777" w:rsidR="000238AF" w:rsidRDefault="00000000">
      <w:pPr>
        <w:pStyle w:val="Heading2"/>
      </w:pPr>
      <w:r>
        <w:rPr>
          <w:rFonts w:ascii="Arial" w:hAnsi="Arial"/>
          <w:color w:val="000000"/>
        </w:rPr>
        <w:lastRenderedPageBreak/>
        <w:t>3.4.2 Handling Missing Values</w:t>
      </w:r>
    </w:p>
    <w:p w14:paraId="551136AC" w14:textId="77777777" w:rsidR="000238AF" w:rsidRDefault="00000000">
      <w:pPr>
        <w:spacing w:after="120"/>
      </w:pPr>
      <w:r>
        <w:t>Missing values in the sell_price variable arise because prices are only recorded for weeks in which a product was actively stocked. Forward-fill imputation is applied first, using the most recent observed price for that product-store combination. Where no prior price observation exists, backward-fill imputation is applied from the first available price. This approach preserves the temporal structure of price variation and is consistent with retail practice, where products carry a stable price between changes (Nasseri et al., 2023; Barghi, 2025). Missing values in calendar event fields are treated as absence of an event and imputed with the label "No Event". No missing values are present in the core sales columns, as zero-sales records are valid observations.</w:t>
      </w:r>
    </w:p>
    <w:p w14:paraId="106B45E5" w14:textId="77777777" w:rsidR="000238AF" w:rsidRDefault="00000000">
      <w:pPr>
        <w:pStyle w:val="Heading2"/>
      </w:pPr>
      <w:r>
        <w:rPr>
          <w:rFonts w:ascii="Arial" w:hAnsi="Arial"/>
          <w:color w:val="000000"/>
        </w:rPr>
        <w:t>3.4.3 Handling Zero-Sale Records</w:t>
      </w:r>
    </w:p>
    <w:p w14:paraId="7E651AC2" w14:textId="77777777" w:rsidR="000238AF" w:rsidRDefault="00000000">
      <w:pPr>
        <w:spacing w:after="120"/>
      </w:pPr>
      <w:r>
        <w:t>Zero-sale records may represent genuine zero demand, temporary stockouts, or store closures. Following Barghi (2025), zero-sales records corresponding to confirmed store closure days — identifiable from the calendar event_type field — are removed from the training set, as they do not represent purchasable demand. Zero-sale records on non-closure days are retained, as they represent genuine demand signals that are particularly important for safety stock calibration on intermittent series.</w:t>
      </w:r>
    </w:p>
    <w:p w14:paraId="07C08A01" w14:textId="77777777" w:rsidR="000238AF" w:rsidRDefault="00000000">
      <w:pPr>
        <w:pStyle w:val="Heading2"/>
      </w:pPr>
      <w:r>
        <w:rPr>
          <w:rFonts w:ascii="Arial" w:hAnsi="Arial"/>
          <w:color w:val="000000"/>
        </w:rPr>
        <w:t>3.4.4 Outlier Detection and Treatment</w:t>
      </w:r>
    </w:p>
    <w:p w14:paraId="007AEFB4" w14:textId="77777777" w:rsidR="000238AF" w:rsidRDefault="00000000">
      <w:pPr>
        <w:spacing w:after="120"/>
      </w:pPr>
      <w:r>
        <w:t>Extreme sales outliers — defined as daily unit sales exceeding three standard deviations above the rolling 28-day mean for a given product-store combination — are identified and flagged. Outliers corresponding to confirmed promotional events or special calendar events are retained, as they represent genuine demand spikes that the model should learn to predict. Outliers that cannot be explained by any calendar or promotional event are winsorised to the 99th percentile for that product-store series, preventing extreme values from distorting gradient-based model training (Nasseri et al., 2023).</w:t>
      </w:r>
    </w:p>
    <w:p w14:paraId="074A8DBB" w14:textId="77777777" w:rsidR="000238AF" w:rsidRDefault="00000000">
      <w:pPr>
        <w:pStyle w:val="Heading2"/>
      </w:pPr>
      <w:r>
        <w:rPr>
          <w:rFonts w:ascii="Arial" w:hAnsi="Arial"/>
          <w:color w:val="000000"/>
        </w:rPr>
        <w:t>3.4.5 Categorical Variable Encoding</w:t>
      </w:r>
    </w:p>
    <w:p w14:paraId="522C0165" w14:textId="77777777" w:rsidR="000238AF" w:rsidRDefault="00000000">
      <w:pPr>
        <w:spacing w:after="120"/>
      </w:pPr>
      <w:r>
        <w:t>Identifier and categorical variables — item_id, dept_id, cat_id, store_id, state_id, event_type, and event_name — are encoded using label encoding. Label encoding is preferred over one-hot encoding for tree-based models because it preserves ordinality within compact integer representations without generating high-dimensional sparse matrices, which would substantially increase memory consumption. LightGBM natively handles label-encoded categoricals through its histogram-based splitting mechanism (Barghi, 2025; Obi, 2024).</w:t>
      </w:r>
    </w:p>
    <w:p w14:paraId="7D3E6973" w14:textId="77777777" w:rsidR="000238AF" w:rsidRDefault="00000000">
      <w:pPr>
        <w:pStyle w:val="Heading2"/>
      </w:pPr>
      <w:r>
        <w:rPr>
          <w:rFonts w:ascii="Arial" w:hAnsi="Arial"/>
          <w:color w:val="000000"/>
        </w:rPr>
        <w:t>3.4.6 Target-Encoded Mean Features</w:t>
      </w:r>
    </w:p>
    <w:p w14:paraId="5E605CA2" w14:textId="77777777" w:rsidR="000238AF" w:rsidRDefault="00000000">
      <w:pPr>
        <w:spacing w:after="120"/>
      </w:pPr>
      <w:r>
        <w:t xml:space="preserve">To complement the label-encoded identifiers, eight target-encoded mean features are constructed: item_mean, dept_mean, store_mean, state_mean, item_dow_mean, store_dow_mean, cat_month_mean, and item_month_mean. Each is the mean of the target variable computed exclusively over the training data, grouped by the relevant identifier(s). Target encoding is applied because it provides a strong prior for the expected demand level of each product-store combination, separating that signal cleanly from the temporal lag and rolling features. To prevent data leakage, all target encodings are fitted on the training window only and propagated unchanged to the validation and test windows. Missing combinations </w:t>
      </w:r>
      <w:r>
        <w:lastRenderedPageBreak/>
        <w:t>(categories not seen in training) are imputed with the global training mean. This technique is reported by M5 competition retrospectives as a significant contributor to top-performing solutions (Obi, 2024).</w:t>
      </w:r>
    </w:p>
    <w:p w14:paraId="31CE966F" w14:textId="77777777" w:rsidR="000238AF" w:rsidRDefault="00000000">
      <w:pPr>
        <w:pStyle w:val="Heading1"/>
      </w:pPr>
      <w:r>
        <w:rPr>
          <w:rFonts w:ascii="Arial" w:hAnsi="Arial"/>
          <w:color w:val="000000"/>
        </w:rPr>
        <w:t>3.5 Feature Engineering</w:t>
      </w:r>
    </w:p>
    <w:p w14:paraId="5D6DE329" w14:textId="77777777" w:rsidR="000238AF" w:rsidRDefault="00000000">
      <w:pPr>
        <w:spacing w:after="120"/>
      </w:pPr>
      <w:r>
        <w:t>Feature engineering is the process of constructing derived variables from raw data that capture the demand patterns the models need to learn. The literature review identified feature engineering as contributing as much to predictive performance as model architecture choice: Barghi (2025) demonstrated that preprocessing alone reduced MAPE by 45.5% in a comparable retail forecasting study. The feature engineering strategy in this study is organised across six categories.</w:t>
      </w:r>
    </w:p>
    <w:p w14:paraId="5BB076A2" w14:textId="77777777" w:rsidR="000238AF" w:rsidRDefault="00000000">
      <w:pPr>
        <w:pStyle w:val="Heading2"/>
      </w:pPr>
      <w:r>
        <w:rPr>
          <w:rFonts w:ascii="Arial" w:hAnsi="Arial"/>
          <w:color w:val="000000"/>
        </w:rPr>
        <w:t>3.5.1 Lag Features</w:t>
      </w:r>
    </w:p>
    <w:p w14:paraId="1BC3FD6B" w14:textId="77777777" w:rsidR="000238AF" w:rsidRDefault="00000000">
      <w:pPr>
        <w:spacing w:after="120"/>
      </w:pPr>
      <w:r>
        <w:t>Lag features capture temporal autocorrelation by including historical sales values as predictors. Three lag windows are constructed for each product-store series: lag_7 (sales 7 days prior, capturing weekly cyclical patterns), lag_14 (sales 14 days prior, capturing bi-weekly patterns), and lag_28 (sales 28 days prior, capturing monthly demand cycles and promotional recurrence). These windows are consistent with those used by Nasseri et al. (2023) and Obi (2024) on the M5 dataset.</w:t>
      </w:r>
    </w:p>
    <w:p w14:paraId="48DDC02C" w14:textId="77777777" w:rsidR="000238AF" w:rsidRDefault="00000000">
      <w:pPr>
        <w:pStyle w:val="Heading2"/>
      </w:pPr>
      <w:r>
        <w:rPr>
          <w:rFonts w:ascii="Arial" w:hAnsi="Arial"/>
          <w:color w:val="000000"/>
        </w:rPr>
        <w:t>3.5.2 Rolling Average Features</w:t>
      </w:r>
    </w:p>
    <w:p w14:paraId="7E222AB4" w14:textId="77777777" w:rsidR="000238AF" w:rsidRDefault="00000000">
      <w:pPr>
        <w:spacing w:after="120"/>
      </w:pPr>
      <w:r>
        <w:t>Rolling averages smooth demand signals across multiple time windows, providing estimates of recent trend and mean demand levels. Three rolling statistics are constructed: rolling_mean_7 (7-day rolling mean, capturing short-term trend), rolling_mean_28 (28-day rolling mean, capturing medium-term trend and reducing noise from single-day spikes), and rolling_std_7 (7-day rolling standard deviation, providing an estimate of recent demand volatility for safety stock calibration). All rolling statistics are computed over strictly historical windows to prevent data leakage.</w:t>
      </w:r>
    </w:p>
    <w:p w14:paraId="7FCD299B" w14:textId="77777777" w:rsidR="000238AF" w:rsidRDefault="00000000">
      <w:pPr>
        <w:pStyle w:val="Heading2"/>
      </w:pPr>
      <w:r>
        <w:rPr>
          <w:rFonts w:ascii="Arial" w:hAnsi="Arial"/>
          <w:color w:val="000000"/>
        </w:rPr>
        <w:t>3.5.3 Calendar and Temporal Features</w:t>
      </w:r>
    </w:p>
    <w:p w14:paraId="7CC22700" w14:textId="77777777" w:rsidR="000238AF" w:rsidRDefault="00000000">
      <w:pPr>
        <w:spacing w:after="120"/>
      </w:pPr>
      <w:r>
        <w:t>Calendar features decompose the date variable into components that capture known demand seasonality patterns: day_of_week (0–6), week_of_year (1–52), month (1–12), year, is_weekend (binary indicator), days_since_last_event (count of days since the most recent calendar event, capturing pre-event demand run-up), and days_to_next_event (count of days until the next calendar event, capturing anticipation effects). Day-of-week is consistently the strongest temporal predictor across the literature; Seyedan et al. (2022) found Saturday sales exceeded midweek averages by 25–30% in comparable retail data.</w:t>
      </w:r>
    </w:p>
    <w:p w14:paraId="3F5F2968" w14:textId="77777777" w:rsidR="000238AF" w:rsidRDefault="00000000">
      <w:pPr>
        <w:pStyle w:val="Heading2"/>
      </w:pPr>
      <w:r>
        <w:rPr>
          <w:rFonts w:ascii="Arial" w:hAnsi="Arial"/>
          <w:color w:val="000000"/>
        </w:rPr>
        <w:t>3.5.4 Promotional and Event Features</w:t>
      </w:r>
    </w:p>
    <w:p w14:paraId="40C43EBE" w14:textId="77777777" w:rsidR="000238AF" w:rsidRDefault="00000000">
      <w:pPr>
        <w:spacing w:after="120"/>
      </w:pPr>
      <w:r>
        <w:t>Promotional and event indicators are among the strongest predictors of demand spikes in retail contexts (Ungureanu, 2025; Nasseri et al., 2023). The following binary indicators are constructed from the calendar file: is_snap_day (SNAP benefit eligibility in the relevant state, which drives demand for food products), is_sporting_event, is_cultural_event, is_national_event, and is_religious_event (derived from the event_type field).</w:t>
      </w:r>
    </w:p>
    <w:p w14:paraId="43A7CF32" w14:textId="77777777" w:rsidR="000238AF" w:rsidRDefault="00000000">
      <w:pPr>
        <w:pStyle w:val="Heading2"/>
      </w:pPr>
      <w:r>
        <w:rPr>
          <w:rFonts w:ascii="Arial" w:hAnsi="Arial"/>
          <w:color w:val="000000"/>
        </w:rPr>
        <w:lastRenderedPageBreak/>
        <w:t>3.5.5 Price Features</w:t>
      </w:r>
    </w:p>
    <w:p w14:paraId="17C498A5" w14:textId="77777777" w:rsidR="000238AF" w:rsidRDefault="00000000">
      <w:pPr>
        <w:spacing w:after="120"/>
      </w:pPr>
      <w:r>
        <w:t>Two price-related features are constructed from the sell_prices file: sell_price (the weekly selling price of each product-store combination, a direct demand driver through price elasticity effects) and price_change (the week-on-week price difference, capturing the direction and magnitude of price movements and their potential demand impact).</w:t>
      </w:r>
    </w:p>
    <w:p w14:paraId="6C209F7F" w14:textId="77777777" w:rsidR="000238AF" w:rsidRDefault="00000000">
      <w:pPr>
        <w:pStyle w:val="Heading2"/>
      </w:pPr>
      <w:r>
        <w:rPr>
          <w:rFonts w:ascii="Arial" w:hAnsi="Arial"/>
          <w:color w:val="000000"/>
        </w:rPr>
        <w:t>3.5.6 Target-Encoded Mean Features</w:t>
      </w:r>
    </w:p>
    <w:p w14:paraId="3A93B5C3" w14:textId="77777777" w:rsidR="000238AF" w:rsidRDefault="00000000">
      <w:pPr>
        <w:spacing w:after="120"/>
      </w:pPr>
      <w:r>
        <w:t>As specified in §3.4.6, eight target-encoded mean features are added to the feature set: item_mean, dept_mean, store_mean, state_mean, item_dow_mean, store_dow_mean, cat_month_mean, and item_month_mean. Table 3.2 summarises the complete engineered feature set.</w:t>
      </w:r>
    </w:p>
    <w:p w14:paraId="4FB0BF99" w14:textId="77777777" w:rsidR="000238AF" w:rsidRDefault="00000000">
      <w:pPr>
        <w:spacing w:before="160" w:after="80"/>
      </w:pPr>
      <w:r>
        <w:rPr>
          <w:b/>
          <w:sz w:val="20"/>
        </w:rPr>
        <w:t>Table 3.2: Complete feature engineering summary</w:t>
      </w:r>
    </w:p>
    <w:tbl>
      <w:tblPr>
        <w:tblStyle w:val="LightGrid-Accent1"/>
        <w:tblW w:w="0" w:type="auto"/>
        <w:tblLook w:val="04A0" w:firstRow="1" w:lastRow="0" w:firstColumn="1" w:lastColumn="0" w:noHBand="0" w:noVBand="1"/>
      </w:tblPr>
      <w:tblGrid>
        <w:gridCol w:w="3120"/>
        <w:gridCol w:w="3120"/>
        <w:gridCol w:w="3120"/>
      </w:tblGrid>
      <w:tr w:rsidR="000238AF" w14:paraId="013AAADE" w14:textId="77777777" w:rsidTr="000238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vAlign w:val="center"/>
          </w:tcPr>
          <w:p w14:paraId="4AB32E8B" w14:textId="77777777" w:rsidR="000238AF" w:rsidRDefault="00000000">
            <w:r>
              <w:rPr>
                <w:sz w:val="20"/>
              </w:rPr>
              <w:t>Category</w:t>
            </w:r>
          </w:p>
        </w:tc>
        <w:tc>
          <w:tcPr>
            <w:tcW w:w="3120" w:type="dxa"/>
            <w:shd w:val="clear" w:color="auto" w:fill="D5E8F0"/>
            <w:vAlign w:val="center"/>
          </w:tcPr>
          <w:p w14:paraId="570D5BCB" w14:textId="77777777" w:rsidR="000238AF"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c>
          <w:tcPr>
            <w:tcW w:w="3120" w:type="dxa"/>
            <w:shd w:val="clear" w:color="auto" w:fill="D5E8F0"/>
            <w:vAlign w:val="center"/>
          </w:tcPr>
          <w:p w14:paraId="368757A8" w14:textId="77777777" w:rsidR="000238AF" w:rsidRDefault="00000000">
            <w:pPr>
              <w:cnfStyle w:val="100000000000" w:firstRow="1" w:lastRow="0" w:firstColumn="0" w:lastColumn="0" w:oddVBand="0" w:evenVBand="0" w:oddHBand="0" w:evenHBand="0" w:firstRowFirstColumn="0" w:firstRowLastColumn="0" w:lastRowFirstColumn="0" w:lastRowLastColumn="0"/>
            </w:pPr>
            <w:r>
              <w:rPr>
                <w:sz w:val="20"/>
              </w:rPr>
              <w:t>Demand signal captured</w:t>
            </w:r>
          </w:p>
        </w:tc>
      </w:tr>
      <w:tr w:rsidR="000238AF" w14:paraId="68CFEF3F" w14:textId="77777777" w:rsidTr="00023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2B9AA2A" w14:textId="77777777" w:rsidR="000238AF" w:rsidRDefault="00000000">
            <w:r>
              <w:rPr>
                <w:sz w:val="20"/>
              </w:rPr>
              <w:t>Lag</w:t>
            </w:r>
          </w:p>
        </w:tc>
        <w:tc>
          <w:tcPr>
            <w:tcW w:w="3120" w:type="dxa"/>
            <w:vAlign w:val="center"/>
          </w:tcPr>
          <w:p w14:paraId="67C1EAD8"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lag_7, lag_14, lag_28</w:t>
            </w:r>
          </w:p>
        </w:tc>
        <w:tc>
          <w:tcPr>
            <w:tcW w:w="3120" w:type="dxa"/>
            <w:vAlign w:val="center"/>
          </w:tcPr>
          <w:p w14:paraId="155B40C1"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Historical sales at 7-, 14-, 28-day offsets</w:t>
            </w:r>
          </w:p>
        </w:tc>
      </w:tr>
      <w:tr w:rsidR="000238AF" w14:paraId="24AF6E19" w14:textId="77777777" w:rsidTr="000238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C1A3A80" w14:textId="77777777" w:rsidR="000238AF" w:rsidRDefault="00000000">
            <w:r>
              <w:rPr>
                <w:sz w:val="20"/>
              </w:rPr>
              <w:t>Rolling statistics</w:t>
            </w:r>
          </w:p>
        </w:tc>
        <w:tc>
          <w:tcPr>
            <w:tcW w:w="3120" w:type="dxa"/>
            <w:vAlign w:val="center"/>
          </w:tcPr>
          <w:p w14:paraId="65430894"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rolling_mean_7, rolling_mean_28, rolling_std_7</w:t>
            </w:r>
          </w:p>
        </w:tc>
        <w:tc>
          <w:tcPr>
            <w:tcW w:w="3120" w:type="dxa"/>
            <w:vAlign w:val="center"/>
          </w:tcPr>
          <w:p w14:paraId="57AD0BED"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Short- and medium-term trend; volatility</w:t>
            </w:r>
          </w:p>
        </w:tc>
      </w:tr>
      <w:tr w:rsidR="000238AF" w14:paraId="25C46623" w14:textId="77777777" w:rsidTr="00023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791F773E" w14:textId="77777777" w:rsidR="000238AF" w:rsidRDefault="00000000">
            <w:r>
              <w:rPr>
                <w:sz w:val="20"/>
              </w:rPr>
              <w:t>Temporal</w:t>
            </w:r>
          </w:p>
        </w:tc>
        <w:tc>
          <w:tcPr>
            <w:tcW w:w="3120" w:type="dxa"/>
            <w:vAlign w:val="center"/>
          </w:tcPr>
          <w:p w14:paraId="472E6E46"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day_of_week, week_of_year, month, year, is_weekend</w:t>
            </w:r>
          </w:p>
        </w:tc>
        <w:tc>
          <w:tcPr>
            <w:tcW w:w="3120" w:type="dxa"/>
            <w:vAlign w:val="center"/>
          </w:tcPr>
          <w:p w14:paraId="5B494AB8"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Weekly, seasonal and annual cycles</w:t>
            </w:r>
          </w:p>
        </w:tc>
      </w:tr>
      <w:tr w:rsidR="000238AF" w14:paraId="21484711" w14:textId="77777777" w:rsidTr="000238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7A8F18C4" w14:textId="77777777" w:rsidR="000238AF" w:rsidRDefault="00000000">
            <w:r>
              <w:rPr>
                <w:sz w:val="20"/>
              </w:rPr>
              <w:t>Event proximity</w:t>
            </w:r>
          </w:p>
        </w:tc>
        <w:tc>
          <w:tcPr>
            <w:tcW w:w="3120" w:type="dxa"/>
            <w:vAlign w:val="center"/>
          </w:tcPr>
          <w:p w14:paraId="5EB5FF0D"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days_since_last_event, days_to_next_event</w:t>
            </w:r>
          </w:p>
        </w:tc>
        <w:tc>
          <w:tcPr>
            <w:tcW w:w="3120" w:type="dxa"/>
            <w:vAlign w:val="center"/>
          </w:tcPr>
          <w:p w14:paraId="07068C7D"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Pre- and post-event demand run-up and decay</w:t>
            </w:r>
          </w:p>
        </w:tc>
      </w:tr>
      <w:tr w:rsidR="000238AF" w14:paraId="264FDF35" w14:textId="77777777" w:rsidTr="00023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CDB1EBB" w14:textId="77777777" w:rsidR="000238AF" w:rsidRDefault="00000000">
            <w:r>
              <w:rPr>
                <w:sz w:val="20"/>
              </w:rPr>
              <w:t>Promotional / event</w:t>
            </w:r>
          </w:p>
        </w:tc>
        <w:tc>
          <w:tcPr>
            <w:tcW w:w="3120" w:type="dxa"/>
            <w:vAlign w:val="center"/>
          </w:tcPr>
          <w:p w14:paraId="2D36D7AF"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is_snap_day, is_sporting_event, is_cultural_event, is_national_event, is_religious_event</w:t>
            </w:r>
          </w:p>
        </w:tc>
        <w:tc>
          <w:tcPr>
            <w:tcW w:w="3120" w:type="dxa"/>
            <w:vAlign w:val="center"/>
          </w:tcPr>
          <w:p w14:paraId="2BFD0FB2"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SNAP eligibility; event-type spikes</w:t>
            </w:r>
          </w:p>
        </w:tc>
      </w:tr>
      <w:tr w:rsidR="000238AF" w14:paraId="071A9D93" w14:textId="77777777" w:rsidTr="000238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132A8ED" w14:textId="77777777" w:rsidR="000238AF" w:rsidRDefault="00000000">
            <w:r>
              <w:rPr>
                <w:sz w:val="20"/>
              </w:rPr>
              <w:t>Price</w:t>
            </w:r>
          </w:p>
        </w:tc>
        <w:tc>
          <w:tcPr>
            <w:tcW w:w="3120" w:type="dxa"/>
            <w:vAlign w:val="center"/>
          </w:tcPr>
          <w:p w14:paraId="6F878089"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sell_price, price_change</w:t>
            </w:r>
          </w:p>
        </w:tc>
        <w:tc>
          <w:tcPr>
            <w:tcW w:w="3120" w:type="dxa"/>
            <w:vAlign w:val="center"/>
          </w:tcPr>
          <w:p w14:paraId="3C5AEBF3"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Price level and week-on-week movement</w:t>
            </w:r>
          </w:p>
        </w:tc>
      </w:tr>
      <w:tr w:rsidR="000238AF" w14:paraId="7CF64AE2" w14:textId="77777777" w:rsidTr="00023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31BD124" w14:textId="77777777" w:rsidR="000238AF" w:rsidRDefault="00000000">
            <w:r>
              <w:rPr>
                <w:sz w:val="20"/>
              </w:rPr>
              <w:t>Identifier (label-encoded)</w:t>
            </w:r>
          </w:p>
        </w:tc>
        <w:tc>
          <w:tcPr>
            <w:tcW w:w="3120" w:type="dxa"/>
            <w:vAlign w:val="center"/>
          </w:tcPr>
          <w:p w14:paraId="7D332984"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item_id, dept_id, cat_id, store_id, state_id</w:t>
            </w:r>
          </w:p>
        </w:tc>
        <w:tc>
          <w:tcPr>
            <w:tcW w:w="3120" w:type="dxa"/>
            <w:vAlign w:val="center"/>
          </w:tcPr>
          <w:p w14:paraId="2ECCAC2F"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Cross-series generalisation</w:t>
            </w:r>
          </w:p>
        </w:tc>
      </w:tr>
      <w:tr w:rsidR="000238AF" w14:paraId="2C003D41" w14:textId="77777777" w:rsidTr="000238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FA3A8B4" w14:textId="77777777" w:rsidR="000238AF" w:rsidRDefault="00000000">
            <w:r>
              <w:rPr>
                <w:sz w:val="20"/>
              </w:rPr>
              <w:t>Target-encoded mean</w:t>
            </w:r>
          </w:p>
        </w:tc>
        <w:tc>
          <w:tcPr>
            <w:tcW w:w="3120" w:type="dxa"/>
            <w:vAlign w:val="center"/>
          </w:tcPr>
          <w:p w14:paraId="148BCAC0"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item_mean, dept_mean, store_mean, state_mean, item_dow_mean, store_dow_mean, cat_month_mean, item_month_mean</w:t>
            </w:r>
          </w:p>
        </w:tc>
        <w:tc>
          <w:tcPr>
            <w:tcW w:w="3120" w:type="dxa"/>
            <w:vAlign w:val="center"/>
          </w:tcPr>
          <w:p w14:paraId="51EDD48E"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Demand-level prior per item, store, day-of-week and month</w:t>
            </w:r>
          </w:p>
        </w:tc>
      </w:tr>
    </w:tbl>
    <w:p w14:paraId="203AAF25" w14:textId="77777777" w:rsidR="000238AF" w:rsidRDefault="00000000">
      <w:pPr>
        <w:pStyle w:val="Heading1"/>
      </w:pPr>
      <w:r>
        <w:rPr>
          <w:rFonts w:ascii="Arial" w:hAnsi="Arial"/>
          <w:color w:val="000000"/>
        </w:rPr>
        <w:t>3.6 Model Development and Evaluation Framework</w:t>
      </w:r>
    </w:p>
    <w:p w14:paraId="065DF1B1" w14:textId="77777777" w:rsidR="000238AF" w:rsidRDefault="00000000">
      <w:pPr>
        <w:pStyle w:val="Heading2"/>
      </w:pPr>
      <w:r>
        <w:rPr>
          <w:rFonts w:ascii="Arial" w:hAnsi="Arial"/>
          <w:color w:val="000000"/>
        </w:rPr>
        <w:t>3.6.1 Model Selection Rationale</w:t>
      </w:r>
    </w:p>
    <w:p w14:paraId="5D0DBF35" w14:textId="77777777" w:rsidR="000238AF" w:rsidRDefault="00000000">
      <w:pPr>
        <w:spacing w:after="120"/>
      </w:pPr>
      <w:r>
        <w:t>Five model tiers are evaluated in this study, structured to provide a systematic performance progression from classical statistical baselines through to a quantile-regression model that supports the inventory policy integration. This tiered design reflects the comparative methodology adopted in the most rigorous studies reviewed in Chapter 2 — notably Barghi (2025), Nasseri et al. (2023), Mitra et al. (2022), and Seyedan et al. (2023) — and ensures that the performance improvement claimed for the proposed ensemble is substantiated against the full range of alternatives a practitioner might deploy.</w:t>
      </w:r>
    </w:p>
    <w:p w14:paraId="736D3F06" w14:textId="77777777" w:rsidR="000238AF" w:rsidRDefault="00000000">
      <w:pPr>
        <w:spacing w:after="120"/>
      </w:pPr>
      <w:r>
        <w:lastRenderedPageBreak/>
        <w:t>Tier 1 — Classical statistical baselines. Six classical models are implemented as performance baselines. The Moving Average (MA, 28-day window) provides a naïve demand estimate with no external features. Simple Exponential Smoothing (SES) applies exponentially decreasing weights to historical observations. AutoARIMA performs automatic parameter selection by AIC minimisation and is configured with a seasonal component of length seven to capture weekly cycles, encompassing both ARIMA and SARIMA as required by the data. Croston's Classic method and the Syntetos-Boylan Approximation (Croston-SBA) are added in recognition that retail SKU-daily demand is intermittent and contains many zero-sale days, conditions under which conventional methods like ARIMA and SES are known to underperform (Croston, 1972; Syntetos &amp; Boylan, 2005). Seasonal Naive is included as a transparent reference baseline that simply forecasts the value observed seven days prior. These baselines represent methods that many SME retailers currently deploy in some form (Wahedi et al., 2023; Keith, 2023). All Tier 1 models are implemented via the statsforecast Python library, which provides parallel per-series fitting.</w:t>
      </w:r>
    </w:p>
    <w:p w14:paraId="4117C32A" w14:textId="77777777" w:rsidR="000238AF" w:rsidRDefault="00000000">
      <w:pPr>
        <w:spacing w:after="120"/>
      </w:pPr>
      <w:r>
        <w:t>Tier 2 — Standard machine learning models. Random Forest (RF) is a bagging ensemble of decision trees providing variance reduction and tolerance for non-linear interactions (Nasseri et al., 2023), implemented using scikit-learn. XGBoost is a gradient boosting algorithm with L1/L2 regularisation; LightGBM is a gradient boosting algorithm with leaf-wise tree growth and histogram-based binning that is well-suited to large tabular datasets (Obi, 2024; Barghi, 2025). For this study, both XGBoost and LightGBM are configured with the Tweedie loss function (variance power = 1.1), which is designed for non-negative count data with many zero observations and is consistently reported by M5 retrospective analyses as a significant contributor to top-performing solutions on intermittent demand.</w:t>
      </w:r>
    </w:p>
    <w:p w14:paraId="47A6F102" w14:textId="77777777" w:rsidR="000238AF" w:rsidRDefault="00000000">
      <w:pPr>
        <w:spacing w:after="120"/>
      </w:pPr>
      <w:r>
        <w:t>Tier 3 — Deep learning time-series model. A Long Short-Term Memory (LSTM) network captures long-range temporal dependencies through gated memory cells, learning multi-day promotional dynamics and seasonal rhythms that tree-based models treat as independent feature interactions (Punia et al., 2020; Nasseri et al., 2023). The LSTM architecture comprises two stacked recurrent layers (128 and 64 units respectively), each followed by a dropout layer with rate 0.2 for regularisation, and a single dense output unit. Input sequences use a 28-day lookback window. The target variable is transformed using log1p prior to training to handle the zero-inflated demand distribution and stabilise gradient updates; predictions are inverse-transformed using expm1 and clipped at zero. Training uses the Adam optimiser with mean-squared-error loss in log space, with early stopping on validation loss (patience = 5 epochs). Implementation uses TensorFlow/Keras.</w:t>
      </w:r>
    </w:p>
    <w:p w14:paraId="6A78AFE4" w14:textId="77777777" w:rsidR="000238AF" w:rsidRDefault="00000000">
      <w:pPr>
        <w:spacing w:after="120"/>
      </w:pPr>
      <w:r>
        <w:t>Tier 4 — Stacking ensemble (primary methodological contribution). The primary modelling contribution of this study is a stacking ensemble in which the three Tier 2 base learners — LightGBM, XGBoost, and Random Forest — produce predictions over the validation window, and these predictions serve as features for a Ridge regression meta-learner that learns the optimal combination weights:</w:t>
      </w:r>
    </w:p>
    <w:p w14:paraId="3300B9B0" w14:textId="77777777" w:rsidR="000238AF" w:rsidRDefault="00000000">
      <w:pPr>
        <w:spacing w:before="120" w:after="120"/>
        <w:jc w:val="center"/>
      </w:pPr>
      <w:r>
        <w:rPr>
          <w:rFonts w:ascii="Cambria Math" w:hAnsi="Cambria Math"/>
          <w:i/>
        </w:rPr>
        <w:t>ŷ_ensemble = w_LGBM · ŷ_LGBM + w_XGB · ŷ_XGB + w_RF · ŷ_RF + b</w:t>
      </w:r>
    </w:p>
    <w:p w14:paraId="3DE05214" w14:textId="77777777" w:rsidR="000238AF" w:rsidRDefault="00000000">
      <w:pPr>
        <w:spacing w:after="120"/>
      </w:pPr>
      <w:r>
        <w:t xml:space="preserve">where the weights w_i are constrained to be non-negative (forecast combination weights should not invert the base model's direction) and b is an intercept absorbing any systematic bias. The </w:t>
      </w:r>
      <w:r>
        <w:lastRenderedPageBreak/>
        <w:t>Ridge meta-learner is trained on the validation set predictions and applied to test set predictions to produce the final ensemble output. This architecture follows the stacking approach used by Seyedan et al. (2023) and Mitra et al. (2022), and is preferred over the sequential residual-correction design described in some prior work (Barghi, 2025) because (a) sequential residual chaining tends to overfit successive layers to the noise of earlier layers, and (b) the stacking approach with non-negative Ridge weights is the standard heterogeneous ensemble architecture in the modern forecasting literature.</w:t>
      </w:r>
    </w:p>
    <w:p w14:paraId="61B9AB7F" w14:textId="77777777" w:rsidR="000238AF" w:rsidRDefault="00000000">
      <w:pPr>
        <w:spacing w:after="120"/>
      </w:pPr>
      <w:r>
        <w:t>Tier 5 — LightGBM quantile regression (for inventory robustness). A fifth tier provides quantile forecasts at five probability levels (P10, P50, P90, P95, P99) by training five independent LightGBM models with objective="quantile". These forecasts are used not as a competing point predictor against Tiers 1–4 (they predict quantiles, not means) but as the empirical input to the safety-stock robustness check defined in Section 3.7.4. This addresses the methodological gap identified by Seyedan et al. (2023): point forecast accuracy does not, on its own, govern inventory cost, because the standard Gaussian safety stock formula SS = z · σ · √(R + L) assumes normality of forecast residuals — an assumption that intermittent retail demand systematically violates.</w:t>
      </w:r>
    </w:p>
    <w:p w14:paraId="2AF505FF" w14:textId="77777777" w:rsidR="000238AF" w:rsidRDefault="00000000">
      <w:pPr>
        <w:pStyle w:val="Heading2"/>
      </w:pPr>
      <w:r>
        <w:rPr>
          <w:rFonts w:ascii="Arial" w:hAnsi="Arial"/>
          <w:color w:val="000000"/>
        </w:rPr>
        <w:t>3.6.2 Training, Validation, and Test Split</w:t>
      </w:r>
    </w:p>
    <w:p w14:paraId="14F3DFD5" w14:textId="77777777" w:rsidR="000238AF" w:rsidRDefault="00000000">
      <w:pPr>
        <w:spacing w:after="120"/>
      </w:pPr>
      <w:r>
        <w:t>Temporal integrity is the critical constraint governing data splitting in time-series forecasting. Random splits risk data leakage — using future information to predict the past — which artificially inflates reported performance and renders results undeployable. All splits in this study strictly respect chronological order (Nasseri et al., 2023; Ungureanu, 2025).</w:t>
      </w:r>
    </w:p>
    <w:p w14:paraId="6ADE99D6" w14:textId="77777777" w:rsidR="000238AF" w:rsidRDefault="00000000">
      <w:pPr>
        <w:spacing w:after="120"/>
      </w:pPr>
      <w:r>
        <w:t>The dataset is partitioned into three chronologically ordered windows:</w:t>
      </w:r>
    </w:p>
    <w:p w14:paraId="78C08E11" w14:textId="77777777" w:rsidR="000238AF" w:rsidRDefault="00000000">
      <w:pPr>
        <w:pStyle w:val="ListBullet"/>
      </w:pPr>
      <w:r>
        <w:t>Training set: January 2011 to 31 December 2015 (approximately 80% of the time series, covering five full calendar years and at least one complete cycle of seasonal and promotional patterns).</w:t>
      </w:r>
    </w:p>
    <w:p w14:paraId="0E170E9A" w14:textId="77777777" w:rsidR="000238AF" w:rsidRDefault="00000000">
      <w:pPr>
        <w:pStyle w:val="ListBullet"/>
      </w:pPr>
      <w:r>
        <w:t>Validation set: 1 January 2016 to 29 February 2016 (used for hyperparameter tuning, early stopping, and meta-learner training).</w:t>
      </w:r>
    </w:p>
    <w:p w14:paraId="2597D721" w14:textId="77777777" w:rsidR="000238AF" w:rsidRDefault="00000000">
      <w:pPr>
        <w:pStyle w:val="ListBullet"/>
      </w:pPr>
      <w:r>
        <w:t>Test set: 1 March 2016 to 24 April 2016 (the final eight weeks of the publicly distributed M5 data, reserved for out-of-sample evaluation and not observed during training or tuning).</w:t>
      </w:r>
    </w:p>
    <w:p w14:paraId="4D24D4C5" w14:textId="77777777" w:rsidR="000238AF" w:rsidRDefault="00000000">
      <w:pPr>
        <w:spacing w:after="120"/>
      </w:pPr>
      <w:r>
        <w:t>Walk-forward validation with three folds is additionally specified for hyperparameter tuning to ensure that performance estimates are stable across time windows: Fold 1 trains on 2011–2013 and validates on 2014; Fold 2 trains on 2011–2014 and validates on 2015; Fold 3 trains on 2011–2015 and validates on Q1 2016.</w:t>
      </w:r>
    </w:p>
    <w:p w14:paraId="190363DC" w14:textId="77777777" w:rsidR="000238AF" w:rsidRDefault="00000000">
      <w:pPr>
        <w:pStyle w:val="Heading2"/>
      </w:pPr>
      <w:r>
        <w:rPr>
          <w:rFonts w:ascii="Arial" w:hAnsi="Arial"/>
          <w:color w:val="000000"/>
        </w:rPr>
        <w:t>3.6.3 Hyperparameter Optimisation</w:t>
      </w:r>
    </w:p>
    <w:p w14:paraId="321A9DAE" w14:textId="77777777" w:rsidR="000238AF" w:rsidRDefault="00000000">
      <w:pPr>
        <w:spacing w:after="120"/>
      </w:pPr>
      <w:r>
        <w:t>Hyperparameter optimisation uses a two-stage approach. In the first stage, a coarse random search over a broad parameter space identifies promising parameter regions efficiently. In the second stage, a fine-grained grid search is conducted over the promising regions with walk-forward cross-validation. Early stopping on the validation loss is applied for all gradient boosting and deep learning models. Table 3.3 documents the key hyperparameters.</w:t>
      </w:r>
    </w:p>
    <w:p w14:paraId="421FDCE0" w14:textId="77777777" w:rsidR="000238AF" w:rsidRDefault="00000000">
      <w:pPr>
        <w:spacing w:before="160" w:after="80"/>
      </w:pPr>
      <w:r>
        <w:rPr>
          <w:b/>
          <w:sz w:val="20"/>
        </w:rPr>
        <w:t>Table 3.3: Hyperparameter search spaces</w:t>
      </w:r>
    </w:p>
    <w:tbl>
      <w:tblPr>
        <w:tblStyle w:val="LightGrid-Accent1"/>
        <w:tblW w:w="0" w:type="auto"/>
        <w:tblLook w:val="04A0" w:firstRow="1" w:lastRow="0" w:firstColumn="1" w:lastColumn="0" w:noHBand="0" w:noVBand="1"/>
      </w:tblPr>
      <w:tblGrid>
        <w:gridCol w:w="3120"/>
        <w:gridCol w:w="3120"/>
        <w:gridCol w:w="3120"/>
      </w:tblGrid>
      <w:tr w:rsidR="000238AF" w14:paraId="4570BE54" w14:textId="77777777" w:rsidTr="000238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vAlign w:val="center"/>
          </w:tcPr>
          <w:p w14:paraId="5B694DD9" w14:textId="77777777" w:rsidR="000238AF" w:rsidRDefault="00000000">
            <w:r>
              <w:rPr>
                <w:sz w:val="20"/>
              </w:rPr>
              <w:lastRenderedPageBreak/>
              <w:t>Model</w:t>
            </w:r>
          </w:p>
        </w:tc>
        <w:tc>
          <w:tcPr>
            <w:tcW w:w="3120" w:type="dxa"/>
            <w:shd w:val="clear" w:color="auto" w:fill="D5E8F0"/>
            <w:vAlign w:val="center"/>
          </w:tcPr>
          <w:p w14:paraId="71DC5AD1" w14:textId="77777777" w:rsidR="000238AF" w:rsidRDefault="00000000">
            <w:pPr>
              <w:cnfStyle w:val="100000000000" w:firstRow="1" w:lastRow="0" w:firstColumn="0" w:lastColumn="0" w:oddVBand="0" w:evenVBand="0" w:oddHBand="0" w:evenHBand="0" w:firstRowFirstColumn="0" w:firstRowLastColumn="0" w:lastRowFirstColumn="0" w:lastRowLastColumn="0"/>
            </w:pPr>
            <w:r>
              <w:rPr>
                <w:sz w:val="20"/>
              </w:rPr>
              <w:t>Key hyperparameters</w:t>
            </w:r>
          </w:p>
        </w:tc>
        <w:tc>
          <w:tcPr>
            <w:tcW w:w="3120" w:type="dxa"/>
            <w:shd w:val="clear" w:color="auto" w:fill="D5E8F0"/>
            <w:vAlign w:val="center"/>
          </w:tcPr>
          <w:p w14:paraId="2D94EDBA" w14:textId="77777777" w:rsidR="000238AF" w:rsidRDefault="00000000">
            <w:pPr>
              <w:cnfStyle w:val="100000000000" w:firstRow="1" w:lastRow="0" w:firstColumn="0" w:lastColumn="0" w:oddVBand="0" w:evenVBand="0" w:oddHBand="0" w:evenHBand="0" w:firstRowFirstColumn="0" w:firstRowLastColumn="0" w:lastRowFirstColumn="0" w:lastRowLastColumn="0"/>
            </w:pPr>
            <w:r>
              <w:rPr>
                <w:sz w:val="20"/>
              </w:rPr>
              <w:t>Search strategy</w:t>
            </w:r>
          </w:p>
        </w:tc>
      </w:tr>
      <w:tr w:rsidR="000238AF" w14:paraId="1F56DE88" w14:textId="77777777" w:rsidTr="00023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1427A7B" w14:textId="77777777" w:rsidR="000238AF" w:rsidRDefault="00000000">
            <w:r>
              <w:rPr>
                <w:sz w:val="20"/>
              </w:rPr>
              <w:t>LightGBM (Tweedie)</w:t>
            </w:r>
          </w:p>
        </w:tc>
        <w:tc>
          <w:tcPr>
            <w:tcW w:w="3120" w:type="dxa"/>
            <w:vAlign w:val="center"/>
          </w:tcPr>
          <w:p w14:paraId="3E616B9E"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n_estimators, learning_rate, num_leaves, min_child_samples, tweedie_variance_power</w:t>
            </w:r>
          </w:p>
        </w:tc>
        <w:tc>
          <w:tcPr>
            <w:tcW w:w="3120" w:type="dxa"/>
            <w:vAlign w:val="center"/>
          </w:tcPr>
          <w:p w14:paraId="3A6A694F"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Random + Grid, walk-forward CV; early stopping on validation RMSE</w:t>
            </w:r>
          </w:p>
        </w:tc>
      </w:tr>
      <w:tr w:rsidR="000238AF" w14:paraId="27C81EA5" w14:textId="77777777" w:rsidTr="000238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2A3D149" w14:textId="77777777" w:rsidR="000238AF" w:rsidRDefault="00000000">
            <w:r>
              <w:rPr>
                <w:sz w:val="20"/>
              </w:rPr>
              <w:t>XGBoost (Tweedie)</w:t>
            </w:r>
          </w:p>
        </w:tc>
        <w:tc>
          <w:tcPr>
            <w:tcW w:w="3120" w:type="dxa"/>
            <w:vAlign w:val="center"/>
          </w:tcPr>
          <w:p w14:paraId="41A0BB1B"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n_estimators, learning_rate, max_depth, subsample, colsample_bytree, reg_lambda, tweedie_variance_power</w:t>
            </w:r>
          </w:p>
        </w:tc>
        <w:tc>
          <w:tcPr>
            <w:tcW w:w="3120" w:type="dxa"/>
            <w:vAlign w:val="center"/>
          </w:tcPr>
          <w:p w14:paraId="4E36CFA0"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Random + Grid, walk-forward CV; early stopping</w:t>
            </w:r>
          </w:p>
        </w:tc>
      </w:tr>
      <w:tr w:rsidR="000238AF" w14:paraId="465937F4" w14:textId="77777777" w:rsidTr="00023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34C5A89" w14:textId="77777777" w:rsidR="000238AF" w:rsidRDefault="00000000">
            <w:r>
              <w:rPr>
                <w:sz w:val="20"/>
              </w:rPr>
              <w:t>Random Forest</w:t>
            </w:r>
          </w:p>
        </w:tc>
        <w:tc>
          <w:tcPr>
            <w:tcW w:w="3120" w:type="dxa"/>
            <w:vAlign w:val="center"/>
          </w:tcPr>
          <w:p w14:paraId="633A1541"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n_estimators, max_depth, min_samples_leaf, max_features</w:t>
            </w:r>
          </w:p>
        </w:tc>
        <w:tc>
          <w:tcPr>
            <w:tcW w:w="3120" w:type="dxa"/>
            <w:vAlign w:val="center"/>
          </w:tcPr>
          <w:p w14:paraId="464E5680"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Grid Search</w:t>
            </w:r>
          </w:p>
        </w:tc>
      </w:tr>
      <w:tr w:rsidR="000238AF" w14:paraId="204235E1" w14:textId="77777777" w:rsidTr="000238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7C4621B" w14:textId="77777777" w:rsidR="000238AF" w:rsidRDefault="00000000">
            <w:r>
              <w:rPr>
                <w:sz w:val="20"/>
              </w:rPr>
              <w:t>LSTM</w:t>
            </w:r>
          </w:p>
        </w:tc>
        <w:tc>
          <w:tcPr>
            <w:tcW w:w="3120" w:type="dxa"/>
            <w:vAlign w:val="center"/>
          </w:tcPr>
          <w:p w14:paraId="73F4972C"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units (L1, L2), dropout_rate, batch_size</w:t>
            </w:r>
          </w:p>
        </w:tc>
        <w:tc>
          <w:tcPr>
            <w:tcW w:w="3120" w:type="dxa"/>
            <w:vAlign w:val="center"/>
          </w:tcPr>
          <w:p w14:paraId="09586C5F"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Fixed architecture (128/64, 0.2); learning rate and batch size grid; early stopping (patience 5)</w:t>
            </w:r>
          </w:p>
        </w:tc>
      </w:tr>
      <w:tr w:rsidR="000238AF" w14:paraId="371C0FF5" w14:textId="77777777" w:rsidTr="00023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719C983" w14:textId="77777777" w:rsidR="000238AF" w:rsidRDefault="00000000">
            <w:r>
              <w:rPr>
                <w:sz w:val="20"/>
              </w:rPr>
              <w:t>LightGBM Quantile</w:t>
            </w:r>
          </w:p>
        </w:tc>
        <w:tc>
          <w:tcPr>
            <w:tcW w:w="3120" w:type="dxa"/>
            <w:vAlign w:val="center"/>
          </w:tcPr>
          <w:p w14:paraId="23547917"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n_estimators, learning_rate, num_leaves (per quantile level)</w:t>
            </w:r>
          </w:p>
        </w:tc>
        <w:tc>
          <w:tcPr>
            <w:tcW w:w="3120" w:type="dxa"/>
            <w:vAlign w:val="center"/>
          </w:tcPr>
          <w:p w14:paraId="7AB61A4E" w14:textId="77777777" w:rsidR="000238AF" w:rsidRDefault="00000000">
            <w:pPr>
              <w:cnfStyle w:val="000000100000" w:firstRow="0" w:lastRow="0" w:firstColumn="0" w:lastColumn="0" w:oddVBand="0" w:evenVBand="0" w:oddHBand="1" w:evenHBand="0" w:firstRowFirstColumn="0" w:firstRowLastColumn="0" w:lastRowFirstColumn="0" w:lastRowLastColumn="0"/>
            </w:pPr>
            <w:r>
              <w:rPr>
                <w:sz w:val="20"/>
              </w:rPr>
              <w:t>Same as LightGBM, one fit per quantile α ∈ {0.10, 0.50, 0.90, 0.95, 0.99}</w:t>
            </w:r>
          </w:p>
        </w:tc>
      </w:tr>
      <w:tr w:rsidR="000238AF" w14:paraId="0DEDB40F" w14:textId="77777777" w:rsidTr="000238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A9CF9F4" w14:textId="77777777" w:rsidR="000238AF" w:rsidRDefault="00000000">
            <w:r>
              <w:rPr>
                <w:sz w:val="20"/>
              </w:rPr>
              <w:t>Ridge meta-learner</w:t>
            </w:r>
          </w:p>
        </w:tc>
        <w:tc>
          <w:tcPr>
            <w:tcW w:w="3120" w:type="dxa"/>
            <w:vAlign w:val="center"/>
          </w:tcPr>
          <w:p w14:paraId="032DD837"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alpha, fit_intercept, positive</w:t>
            </w:r>
          </w:p>
        </w:tc>
        <w:tc>
          <w:tcPr>
            <w:tcW w:w="3120" w:type="dxa"/>
            <w:vAlign w:val="center"/>
          </w:tcPr>
          <w:p w14:paraId="10CC6FE7" w14:textId="77777777" w:rsidR="000238AF" w:rsidRDefault="00000000">
            <w:pPr>
              <w:cnfStyle w:val="000000010000" w:firstRow="0" w:lastRow="0" w:firstColumn="0" w:lastColumn="0" w:oddVBand="0" w:evenVBand="0" w:oddHBand="0" w:evenHBand="1" w:firstRowFirstColumn="0" w:firstRowLastColumn="0" w:lastRowFirstColumn="0" w:lastRowLastColumn="0"/>
            </w:pPr>
            <w:r>
              <w:rPr>
                <w:sz w:val="20"/>
              </w:rPr>
              <w:t>Grid (alpha ∈ {0.1, 1.0, 10.0}); positive=True enforced</w:t>
            </w:r>
          </w:p>
        </w:tc>
      </w:tr>
    </w:tbl>
    <w:p w14:paraId="73216456" w14:textId="77777777" w:rsidR="000238AF" w:rsidRDefault="00000000">
      <w:pPr>
        <w:pStyle w:val="Heading2"/>
      </w:pPr>
      <w:r>
        <w:rPr>
          <w:rFonts w:ascii="Arial" w:hAnsi="Arial"/>
          <w:color w:val="000000"/>
        </w:rPr>
        <w:t>3.6.4 Evaluation Metrics</w:t>
      </w:r>
    </w:p>
    <w:p w14:paraId="63131C9E" w14:textId="77777777" w:rsidR="000238AF" w:rsidRDefault="00000000">
      <w:pPr>
        <w:spacing w:after="120"/>
      </w:pPr>
      <w:r>
        <w:t>Five complementary accuracy metrics evaluate forecasting performance across all models. Mean Absolute Error (MAE) measures the average absolute difference between predicted and actual demand in original demand units; it is the primary operational metric for store managers because it is expressed in the same units as daily sales. Root Mean Squared Error (RMSE) penalises large errors more heavily than MAE and is sensitive to promotional demand spikes. Mean Absolute Percentage Error (MAPE) normalises errors as a percentage of actual demand, enabling cross-product and cross-study comparisons; following standard practice, MAPE in this study masks zero-actual rows to avoid division blow-ups.</w:t>
      </w:r>
    </w:p>
    <w:p w14:paraId="6F3DD075" w14:textId="77777777" w:rsidR="000238AF" w:rsidRDefault="00000000">
      <w:pPr>
        <w:spacing w:after="120"/>
      </w:pPr>
      <w:r>
        <w:t>To complement MAPE on intermittent demand series, Weighted Mean Absolute Percentage Error (WMAPE) is reported as a supplementary metric. WMAPE divides the sum of absolute errors by the sum of absolute actual values across all observations rather than averaging per-row percentage errors, and is therefore robust to the zero-actual rows that distort per-row MAPE on retail data. WMAPE is the metric family used by the M5 competition itself (in the form of WRMSSE) and by the broader modern forecasting literature for intermittent demand (Hyndman &amp; Athanasopoulos, 2021). Finally, Pred(10%) — the percentage of forecasts falling within 10% of the actual value — is reported as a threshold-based precision measure directly relevant to inventory decisions (Barghi, 2025).</w:t>
      </w:r>
    </w:p>
    <w:p w14:paraId="31730A65" w14:textId="77777777" w:rsidR="000238AF" w:rsidRDefault="00000000">
      <w:pPr>
        <w:spacing w:after="120"/>
      </w:pPr>
      <w:r>
        <w:t xml:space="preserve">The performance targets stated in Chapter 1 — 10–25% improvement in MAPE and 5–15% reduction in inventory cost relative to classical baselines — are informed by benchmarks reported in Barghi (2025) and Seyedan et al. (2023). However, the M5 retrospective literature indicates that double-digit MAPE improvements at the SKU-daily level are at the upper end of what is typically achievable, because per-series residual variance is bounded below by the inherent intermittence of the data. Chapter 4 will report results against both ends of the target range and discuss any deviation in light of these constraints, in line with Seyedan et al. (2023)'s </w:t>
      </w:r>
      <w:r>
        <w:lastRenderedPageBreak/>
        <w:t>observation that operational value at the inventory level can be substantial even when forecast accuracy improvements at the SKU-daily level are modest.</w:t>
      </w:r>
    </w:p>
    <w:p w14:paraId="2562A221" w14:textId="77777777" w:rsidR="000238AF" w:rsidRDefault="00000000">
      <w:pPr>
        <w:pStyle w:val="Heading1"/>
      </w:pPr>
      <w:r>
        <w:rPr>
          <w:rFonts w:ascii="Arial" w:hAnsi="Arial"/>
          <w:color w:val="000000"/>
        </w:rPr>
        <w:t>3.7 Inventory Policy Integration: The Order-Up-To-Level Framework</w:t>
      </w:r>
    </w:p>
    <w:p w14:paraId="53F292DF" w14:textId="77777777" w:rsidR="000238AF" w:rsidRDefault="00000000">
      <w:pPr>
        <w:pStyle w:val="Heading2"/>
      </w:pPr>
      <w:r>
        <w:rPr>
          <w:rFonts w:ascii="Arial" w:hAnsi="Arial"/>
          <w:color w:val="000000"/>
        </w:rPr>
        <w:t>3.7.1 Policy Selection and Justification</w:t>
      </w:r>
    </w:p>
    <w:p w14:paraId="1BF94869" w14:textId="77777777" w:rsidR="000238AF" w:rsidRDefault="00000000">
      <w:pPr>
        <w:spacing w:after="120"/>
      </w:pPr>
      <w:r>
        <w:t>The Order-Up-To-Level (OUTL) policy, implemented as a periodic (R, s, S) review system, is selected as the inventory framework for this study. Under this policy, inventory is reviewed at fixed intervals R; if the inventory position falls at or below the reorder point s, a replenishment order is placed to raise the inventory level to the order-up-to level S. The (R, s, S) system is selected over alternative policies — such as continuous (s, Q) or Newsvendor formulations — because of its compatibility with batch data updates characteristic of retail sales systems (Barghi, 2025; Seyedan et al., 2023), its widespread use in the empirical literature, and its explicit parameterisation in terms of forecast accuracy and lead time, which enables direct quantification of the operational value of improved forecasting.</w:t>
      </w:r>
    </w:p>
    <w:p w14:paraId="455B9DFD" w14:textId="77777777" w:rsidR="000238AF" w:rsidRDefault="00000000">
      <w:pPr>
        <w:pStyle w:val="Heading2"/>
      </w:pPr>
      <w:r>
        <w:rPr>
          <w:rFonts w:ascii="Arial" w:hAnsi="Arial"/>
          <w:color w:val="000000"/>
        </w:rPr>
        <w:t>3.7.2 Gaussian Policy Parameter Formulations (Primary)</w:t>
      </w:r>
    </w:p>
    <w:p w14:paraId="66C8D570" w14:textId="77777777" w:rsidR="000238AF" w:rsidRDefault="00000000">
      <w:pPr>
        <w:spacing w:after="120"/>
      </w:pPr>
      <w:r>
        <w:t>The primary OUTL parameters are computed following Silver, Pyke and Thomas (2017) and consistent with the formulations in Barghi (2025) and Seyedan et al. (2023). Safety Stock (SS) represents the buffer inventory maintained to absorb demand variability:</w:t>
      </w:r>
    </w:p>
    <w:p w14:paraId="41B1246C" w14:textId="77777777" w:rsidR="000238AF" w:rsidRDefault="00000000">
      <w:pPr>
        <w:spacing w:before="120" w:after="120"/>
        <w:jc w:val="center"/>
      </w:pPr>
      <w:r>
        <w:rPr>
          <w:rFonts w:ascii="Cambria Math" w:hAnsi="Cambria Math"/>
          <w:i/>
        </w:rPr>
        <w:t>SS = z · σ · √(R + L)</w:t>
      </w:r>
    </w:p>
    <w:p w14:paraId="43CF0AF1" w14:textId="77777777" w:rsidR="000238AF" w:rsidRDefault="00000000">
      <w:pPr>
        <w:spacing w:after="120"/>
      </w:pPr>
      <w:r>
        <w:t>where z is the service-level z-score, σ is the standard deviation of forecast residuals derived from the forecasting model's prediction errors on the validation set, R is the review period in days, and L is the replenishment lead time in days. Crucially, σ is set to the standard deviation of forecast residuals rather than historical demand variability, representing the tighter coupling of forecasting and inventory stages identified as an unaddressed gap by Seyedan et al. (2023). A 95% service level is the primary target, corresponding to z = 1.6449.</w:t>
      </w:r>
    </w:p>
    <w:p w14:paraId="78E392DE" w14:textId="77777777" w:rsidR="000238AF" w:rsidRDefault="00000000">
      <w:pPr>
        <w:spacing w:after="120"/>
      </w:pPr>
      <w:r>
        <w:t>The Reorder Point (r) triggers replenishment:</w:t>
      </w:r>
    </w:p>
    <w:p w14:paraId="4D864E40" w14:textId="77777777" w:rsidR="000238AF" w:rsidRDefault="00000000">
      <w:pPr>
        <w:spacing w:before="120" w:after="120"/>
        <w:jc w:val="center"/>
      </w:pPr>
      <w:r>
        <w:rPr>
          <w:rFonts w:ascii="Cambria Math" w:hAnsi="Cambria Math"/>
          <w:i/>
        </w:rPr>
        <w:t>r = d̄ · (R + L) + z · σ · √(R + L)</w:t>
      </w:r>
    </w:p>
    <w:p w14:paraId="3474D3FA" w14:textId="77777777" w:rsidR="000238AF" w:rsidRDefault="00000000">
      <w:pPr>
        <w:spacing w:after="120"/>
      </w:pPr>
      <w:r>
        <w:t>where d̄ is the mean daily demand over the review and lead-time horizon, estimated from the model's point forecasts.</w:t>
      </w:r>
    </w:p>
    <w:p w14:paraId="00F4F8CA" w14:textId="77777777" w:rsidR="000238AF" w:rsidRDefault="00000000">
      <w:pPr>
        <w:spacing w:after="120"/>
      </w:pPr>
      <w:r>
        <w:t>The Order-Up-To Level (S) is the target inventory level to which stock is replenished:</w:t>
      </w:r>
    </w:p>
    <w:p w14:paraId="50F8FE20" w14:textId="77777777" w:rsidR="000238AF" w:rsidRDefault="00000000">
      <w:pPr>
        <w:spacing w:before="120" w:after="120"/>
        <w:jc w:val="center"/>
      </w:pPr>
      <w:r>
        <w:rPr>
          <w:rFonts w:ascii="Cambria Math" w:hAnsi="Cambria Math"/>
          <w:i/>
        </w:rPr>
        <w:t>S = r + Q</w:t>
      </w:r>
    </w:p>
    <w:p w14:paraId="7B39F9EC" w14:textId="77777777" w:rsidR="000238AF" w:rsidRDefault="00000000">
      <w:pPr>
        <w:spacing w:after="120"/>
      </w:pPr>
      <w:r>
        <w:t>where Q is the order quantity, computed from the Economic Order Quantity (EOQ) formula Q* = √(2 · D · K / h) with D the annual demand, K the fixed ordering cost, and h = unit_cost · carrying_rate the per-unit annual holding cost. EOQ is used in preference to a fixed Q = d̄ · R quantity because it decouples ordering frequency from forecast magnitude, ensuring that comparative cost analysis isolates the effect of forecast quality on inventory carrying costs rather than confounding it with ordering operations (Silver et al., 2017).</w:t>
      </w:r>
    </w:p>
    <w:p w14:paraId="7A35D867" w14:textId="77777777" w:rsidR="000238AF" w:rsidRDefault="00000000">
      <w:pPr>
        <w:spacing w:after="120"/>
      </w:pPr>
      <w:r>
        <w:t>Total annual cost integrates holding, ordering and stockout components:</w:t>
      </w:r>
    </w:p>
    <w:p w14:paraId="7EBBE96A" w14:textId="77777777" w:rsidR="000238AF" w:rsidRDefault="00000000">
      <w:pPr>
        <w:spacing w:before="120" w:after="120"/>
        <w:jc w:val="center"/>
      </w:pPr>
      <w:r>
        <w:rPr>
          <w:rFonts w:ascii="Cambria Math" w:hAnsi="Cambria Math"/>
          <w:i/>
        </w:rPr>
        <w:lastRenderedPageBreak/>
        <w:t>TC = HC + OC + SC</w:t>
      </w:r>
    </w:p>
    <w:p w14:paraId="09F68D69" w14:textId="77777777" w:rsidR="000238AF" w:rsidRDefault="00000000">
      <w:pPr>
        <w:spacing w:after="120"/>
      </w:pPr>
      <w:r>
        <w:t>where holding cost HC = (SS + Q/2) · h, ordering cost OC = (D / Q) · K, and stockout cost SC is defined in §3.7.5. The carrying-rate is estimated at 25% of unit cost per year, reflecting the standard industry range of 10–30% documented by Silver et al. (2017). Unit cost is estimated as 60% of selling price (40% gross margin) following standard retail practice. Fixed ordering cost K is set at $50 per order, a typical value for small and medium retailers.</w:t>
      </w:r>
    </w:p>
    <w:p w14:paraId="529B9909" w14:textId="77777777" w:rsidR="000238AF" w:rsidRDefault="00000000">
      <w:pPr>
        <w:pStyle w:val="Heading2"/>
      </w:pPr>
      <w:r>
        <w:rPr>
          <w:rFonts w:ascii="Arial" w:hAnsi="Arial"/>
          <w:color w:val="000000"/>
        </w:rPr>
        <w:t>3.7.3 Lead Time Scenarios</w:t>
      </w:r>
    </w:p>
    <w:p w14:paraId="364AC856" w14:textId="77777777" w:rsidR="000238AF" w:rsidRDefault="00000000">
      <w:pPr>
        <w:spacing w:after="120"/>
      </w:pPr>
      <w:r>
        <w:t>OUTL parameters are evaluated across four lead-time scenarios: L = 7 days (short, regional distribution), L = 10 days (moderate), L = 14 days (medium, national distribution), and L = 21 days (extended, international or seasonal supply). This multi-scenario evaluation mirrors the approach of Seyedan et al. (2023), who demonstrate that the operational value of improved forecasting is most pronounced at longer lead times, because safety stock requirements grow with √(R + L), amplifying the cost impact of forecast accuracy differences. Inventory cost reductions of 5–15% relative to classical baseline-driven OUTL parameters are the primary operational performance target.</w:t>
      </w:r>
    </w:p>
    <w:p w14:paraId="6DF44B74" w14:textId="77777777" w:rsidR="000238AF" w:rsidRDefault="00000000">
      <w:pPr>
        <w:pStyle w:val="Heading2"/>
      </w:pPr>
      <w:r>
        <w:rPr>
          <w:rFonts w:ascii="Arial" w:hAnsi="Arial"/>
          <w:color w:val="000000"/>
        </w:rPr>
        <w:t>3.7.4 Robustness Check: Empirical Quantile Safety Stock</w:t>
      </w:r>
    </w:p>
    <w:p w14:paraId="4FFF9488" w14:textId="77777777" w:rsidR="000238AF" w:rsidRDefault="00000000">
      <w:pPr>
        <w:spacing w:after="120"/>
      </w:pPr>
      <w:r>
        <w:t>The standard Gaussian formula SS = z · σ · √(R + L) assumes that forecast residuals are normally distributed. For retail SKU-daily demand, this assumption is systematically violated: residuals are right-skewed (because demand has a long upper tail driven by promotions and events) and zero-inflated (because many days have no sales). The Gaussian formula consequently under-allocates safety stock relative to what is actually required to achieve the targeted service level on this class of data.</w:t>
      </w:r>
    </w:p>
    <w:p w14:paraId="1AF1F4C2" w14:textId="77777777" w:rsidR="000238AF" w:rsidRDefault="00000000">
      <w:pPr>
        <w:spacing w:after="120"/>
      </w:pPr>
      <w:r>
        <w:t>To quantify and correct for this, the study computes a parallel, empirical safety stock derived from the LightGBM quantile-regression model of Tier 5. For each series, the per-day quantile spread q_α(x) − q_0.5(x) is computed at the service-level quantile α (e.g., 0.95 for a 95% service level). This per-day spread is then scaled to the (R + L)-day horizon under the same i.i.d. assumption used in the Gaussian formula:</w:t>
      </w:r>
    </w:p>
    <w:p w14:paraId="4F4777AA" w14:textId="77777777" w:rsidR="000238AF" w:rsidRDefault="00000000">
      <w:pPr>
        <w:spacing w:before="120" w:after="120"/>
        <w:jc w:val="center"/>
      </w:pPr>
      <w:r>
        <w:rPr>
          <w:rFonts w:ascii="Cambria Math" w:hAnsi="Cambria Math"/>
          <w:i/>
        </w:rPr>
        <w:t>SS_empirical(α, L) = (q_α − q_0.5) · √(R + L)</w:t>
      </w:r>
    </w:p>
    <w:p w14:paraId="03C68FA6" w14:textId="77777777" w:rsidR="000238AF" w:rsidRDefault="00000000">
      <w:pPr>
        <w:spacing w:after="120"/>
      </w:pPr>
      <w:r>
        <w:t>The empirical and Gaussian safety stocks are computed for the same series, lead times, and service levels, and OUTL parameters are recomputed for both. The comparison provides the methodological evidence required to assess whether the Gaussian formula systematically over- or under-allocates safety stock for intermittent retail demand — a question explicitly identified as unaddressed in the literature by Seyedan et al. (2023) and central to Gap 1 of this thesis.</w:t>
      </w:r>
    </w:p>
    <w:p w14:paraId="73819371" w14:textId="77777777" w:rsidR="000238AF" w:rsidRDefault="00000000">
      <w:pPr>
        <w:pStyle w:val="Heading2"/>
      </w:pPr>
      <w:r>
        <w:rPr>
          <w:rFonts w:ascii="Arial" w:hAnsi="Arial"/>
          <w:color w:val="000000"/>
        </w:rPr>
        <w:t>3.7.5 Stockout Cost Modelling</w:t>
      </w:r>
    </w:p>
    <w:p w14:paraId="4D024279" w14:textId="77777777" w:rsidR="000238AF" w:rsidRDefault="00000000">
      <w:pPr>
        <w:spacing w:after="120"/>
      </w:pPr>
      <w:r>
        <w:t>A realistic total-cost model requires the inclusion of stockout cost — the financial penalty incurred when actual demand exceeds available inventory. Following Silver et al. (2017), stockout cost is modelled as:</w:t>
      </w:r>
    </w:p>
    <w:p w14:paraId="6ABCEF80" w14:textId="77777777" w:rsidR="000238AF" w:rsidRDefault="00000000">
      <w:pPr>
        <w:spacing w:before="120" w:after="120"/>
        <w:jc w:val="center"/>
      </w:pPr>
      <w:r>
        <w:rPr>
          <w:rFonts w:ascii="Cambria Math" w:hAnsi="Cambria Math"/>
          <w:i/>
        </w:rPr>
        <w:t>SC = (target_SL − achieved_SL) · D · unit_cost · m</w:t>
      </w:r>
    </w:p>
    <w:p w14:paraId="6D3CEFA4" w14:textId="77777777" w:rsidR="000238AF" w:rsidRDefault="00000000">
      <w:pPr>
        <w:spacing w:after="120"/>
      </w:pPr>
      <w:r>
        <w:lastRenderedPageBreak/>
        <w:t>where the achieved service level is the empirical fraction of demand that the safety stock buffer covers, target_SL is the policy's nominal service level (e.g., 0.95), D is annual demand, and m is a stockout cost multiplier capturing the effective cost per stockout unit. For the empirical (quantile-based) policy, achieved_SL ≈ target_SL by calibration. For the Gaussian policy, achieved_SL is computed by projecting the Gaussian buffer onto the empirical demand distribution observed in the quantile model — yielding a quantification of the under-allocation gap.</w:t>
      </w:r>
    </w:p>
    <w:p w14:paraId="55C2673B" w14:textId="77777777" w:rsidR="000238AF" w:rsidRDefault="00000000">
      <w:pPr>
        <w:spacing w:after="120"/>
      </w:pPr>
      <w:r>
        <w:t>Three stockout cost multipliers are evaluated as sensitivity scenarios: m = 0.4 (lost gross margin only, conservative), m = 1.0 (full unit cost, baseline industry assumption following Silver et al. 2017), and m = 2.0 (full cost plus reputational damage). This three-point sensitivity bound provides Chapter 5 with an honest range for the headline inventory cost reduction figure.</w:t>
      </w:r>
    </w:p>
    <w:p w14:paraId="1DFF17A1" w14:textId="77777777" w:rsidR="000238AF" w:rsidRDefault="00000000">
      <w:pPr>
        <w:pStyle w:val="Heading1"/>
      </w:pPr>
      <w:r>
        <w:rPr>
          <w:rFonts w:ascii="Arial" w:hAnsi="Arial"/>
          <w:color w:val="000000"/>
        </w:rPr>
        <w:t>3.8 Power BI Dashboard Development</w:t>
      </w:r>
    </w:p>
    <w:p w14:paraId="5E3A431E" w14:textId="77777777" w:rsidR="000238AF" w:rsidRDefault="00000000">
      <w:pPr>
        <w:spacing w:after="120"/>
      </w:pPr>
      <w:r>
        <w:t>A Power BI dashboard is developed to translate forecasting outputs and inventory parameters into an interactive, accessible decision-support tool for non-technical retail managers. The dashboard addresses the deployment gap identified in Gap 2 of the literature review and directly serves the SME accessibility objective of Chapter 1. Power BI Desktop is selected as the deployment platform because it is available under Microsoft's free tier, requires no server infrastructure, and is the most widely deployed business-intelligence tool in the SME segment.</w:t>
      </w:r>
    </w:p>
    <w:p w14:paraId="7C2DC89C" w14:textId="77777777" w:rsidR="000238AF" w:rsidRDefault="00000000">
      <w:pPr>
        <w:spacing w:after="120"/>
      </w:pPr>
      <w:r>
        <w:t>The dashboard is structured across four pages, each driven by a separate CSV feed exported from the Python modelling pipeline:</w:t>
      </w:r>
    </w:p>
    <w:p w14:paraId="03760C66" w14:textId="77777777" w:rsidR="000238AF" w:rsidRDefault="00000000">
      <w:pPr>
        <w:pStyle w:val="ListBullet"/>
      </w:pPr>
      <w:r>
        <w:t>Forecast Overview presents actual sales, ML forecasts, classical baseline forecasts, and the LightGBM quantile fan (P50/P90/P95/P99) for any selected product-store combination, with slicers for category, state, and store.</w:t>
      </w:r>
    </w:p>
    <w:p w14:paraId="62C664F7" w14:textId="77777777" w:rsidR="000238AF" w:rsidRDefault="00000000">
      <w:pPr>
        <w:pStyle w:val="ListBullet"/>
      </w:pPr>
      <w:r>
        <w:t>Inventory Status presents safety stock, reorder point, and order-up-to-level values per product-store at the user-selected lead time and service level, with conditional formatting highlighting items approaching their reorder threshold.</w:t>
      </w:r>
    </w:p>
    <w:p w14:paraId="701C559B" w14:textId="77777777" w:rsidR="000238AF" w:rsidRDefault="00000000">
      <w:pPr>
        <w:pStyle w:val="ListBullet"/>
      </w:pPr>
      <w:r>
        <w:t>Cost Analysis decomposes total annual inventory cost into holding, ordering, and stockout components across lead-time scenarios and forecasting policies, enabling like-for-like comparison of Classical, ML-Gaussian, and ML-Empirical-Quantile policies.</w:t>
      </w:r>
    </w:p>
    <w:p w14:paraId="0A0D2182" w14:textId="77777777" w:rsidR="000238AF" w:rsidRDefault="00000000">
      <w:pPr>
        <w:pStyle w:val="ListBullet"/>
      </w:pPr>
      <w:r>
        <w:t>Sensitivity Analysis presents the curves from §3.9, showing how total cost reduction varies with MAPE level, lead time, service level, and stockout cost assumption.</w:t>
      </w:r>
    </w:p>
    <w:p w14:paraId="34CB37FE" w14:textId="77777777" w:rsidR="000238AF" w:rsidRDefault="00000000">
      <w:pPr>
        <w:spacing w:after="120"/>
      </w:pPr>
      <w:r>
        <w:t>The dashboard's data feeds are designed for daily refresh in a production deployment, demonstrating deployment readiness consistent with the SME accessibility principle.</w:t>
      </w:r>
    </w:p>
    <w:p w14:paraId="732FD4DA" w14:textId="77777777" w:rsidR="000238AF" w:rsidRDefault="00000000">
      <w:pPr>
        <w:pStyle w:val="Heading1"/>
      </w:pPr>
      <w:r>
        <w:rPr>
          <w:rFonts w:ascii="Arial" w:hAnsi="Arial"/>
          <w:color w:val="000000"/>
        </w:rPr>
        <w:t>3.9 Sensitivity Analysis Design</w:t>
      </w:r>
    </w:p>
    <w:p w14:paraId="0D059746" w14:textId="77777777" w:rsidR="000238AF" w:rsidRDefault="00000000">
      <w:pPr>
        <w:spacing w:after="120"/>
      </w:pPr>
      <w:r>
        <w:t xml:space="preserve">A sensitivity analysis quantifies how the inventory savings from quantile-based safety stock vary across the principal assumptions of the framework. The analysis varies four parameters independently: forecast MAPE (3% to 15%, the range from state-of-the-art ensemble performance to classical baseline performance), lead time L (7, 10, 14, 21 days), service level </w:t>
      </w:r>
      <w:r>
        <w:lastRenderedPageBreak/>
        <w:t>(0.90, 0.95, 0.99), and stockout cost multiplier m (0.4, 1.0, 2.0). For each combination, the total annual cost under the Gaussian and Empirical-Quantile policies is recomputed and the percentage reduction is tabulated.</w:t>
      </w:r>
    </w:p>
    <w:p w14:paraId="2A891772" w14:textId="77777777" w:rsidR="000238AF" w:rsidRDefault="00000000">
      <w:pPr>
        <w:spacing w:after="120"/>
      </w:pPr>
      <w:r>
        <w:t>This four-dimensional sweep provides decision-relevant guidance for practitioners evaluating forecasting technology investments by quantifying the marginal operational value of each percentage point of MAPE improvement, the cost of meeting higher service levels, and the robustness of the headline cost-reduction figure to the choice of stockout cost assumption. Results are reported as sensitivity curves and a summary table in Chapter 5.</w:t>
      </w:r>
    </w:p>
    <w:p w14:paraId="68554109" w14:textId="77777777" w:rsidR="000238AF" w:rsidRDefault="00000000">
      <w:pPr>
        <w:pStyle w:val="Heading1"/>
      </w:pPr>
      <w:r>
        <w:rPr>
          <w:rFonts w:ascii="Arial" w:hAnsi="Arial"/>
          <w:color w:val="000000"/>
        </w:rPr>
        <w:t>3.10 Ethical Considerations and Model Transparency</w:t>
      </w:r>
    </w:p>
    <w:p w14:paraId="29ACE132" w14:textId="77777777" w:rsidR="000238AF" w:rsidRDefault="00000000">
      <w:pPr>
        <w:spacing w:after="120"/>
      </w:pPr>
      <w:r>
        <w:t>This study uses only publicly available, aggregated, and anonymised data sourced from Kaggle. The M5 dataset contains no personally identifiable information; all records are aggregated at the product-store-day level and contain no individual customer, transaction, or demographic data. No primary data collection from human participants is involved. Accordingly, formal ethics committee approval is not required under the institution's research ethics guidelines. Data usage is governed by the Kaggle Competition Rules and the licence under which the M5 dataset is distributed for academic research.</w:t>
      </w:r>
    </w:p>
    <w:p w14:paraId="6847F65B" w14:textId="77777777" w:rsidR="000238AF" w:rsidRDefault="00000000">
      <w:pPr>
        <w:spacing w:after="120"/>
      </w:pPr>
      <w:r>
        <w:t>In line with the responsible AI principles identified by Ungureanu (2025), the study applies three ethical practices:</w:t>
      </w:r>
    </w:p>
    <w:p w14:paraId="2BC2EDEE" w14:textId="77777777" w:rsidR="000238AF" w:rsidRDefault="00000000">
      <w:pPr>
        <w:spacing w:after="120"/>
      </w:pPr>
      <w:r>
        <w:t>Model transparency. Feature importance for the best-performing model is assessed using SHAP (SHapley Additive exPlanations) values, computed via the shap.TreeExplainer implementation on a 5,000-row stratified sample of the test set. SHAP attribution is reported in tabular form (top 15 features by mean absolute SHAP) and visually (bar and beeswarm plots), ensuring that the key drivers of model predictions can be identified and communicated to practitioners.</w:t>
      </w:r>
    </w:p>
    <w:p w14:paraId="702E9A60" w14:textId="77777777" w:rsidR="000238AF" w:rsidRDefault="00000000">
      <w:pPr>
        <w:spacing w:after="120"/>
      </w:pPr>
      <w:r>
        <w:t>Performance fairness. Forecast error metrics are computed disaggregated by product category (Foods, Hobbies, Household) and by state (California, Texas, Wisconsin), verifying that no category or geographic segment performs more than 2× worse than another — a heuristic threshold for systematic algorithmic bias. Variation in metrics that reflects underlying demand structure (e.g., higher predictability of Foods than Hobbies due to intermittence differences) is documented and distinguished from disparate algorithmic treatment.</w:t>
      </w:r>
    </w:p>
    <w:p w14:paraId="46E549B0" w14:textId="77777777" w:rsidR="000238AF" w:rsidRDefault="00000000">
      <w:pPr>
        <w:spacing w:after="120"/>
      </w:pPr>
      <w:r>
        <w:t>Data minimisation. Only features demonstrably contributing to forecasting performance are retained in the final model, with marginal-impact features identified via SHAP importance ranking dropped where their removal does not degrade evaluation metrics.</w:t>
      </w:r>
    </w:p>
    <w:p w14:paraId="6548C5AB" w14:textId="77777777" w:rsidR="000238AF" w:rsidRDefault="00000000">
      <w:pPr>
        <w:pStyle w:val="Heading1"/>
      </w:pPr>
      <w:r>
        <w:rPr>
          <w:rFonts w:ascii="Arial" w:hAnsi="Arial"/>
          <w:color w:val="000000"/>
        </w:rPr>
        <w:t>3.11 SME Transferability Specification</w:t>
      </w:r>
    </w:p>
    <w:p w14:paraId="33D41E11" w14:textId="77777777" w:rsidR="000238AF" w:rsidRDefault="00000000">
      <w:pPr>
        <w:spacing w:after="120"/>
      </w:pPr>
      <w:r>
        <w:t>A central design principle of this study, stated in Chapter 1, is that the framework is replicable in small and medium-sized retail environments. To make this commitment concrete rather than aspirational, this section specifies the minimum requirements a typical SME would need to deploy the pipeline.</w:t>
      </w:r>
    </w:p>
    <w:p w14:paraId="6B92500F" w14:textId="77777777" w:rsidR="000238AF" w:rsidRDefault="00000000">
      <w:pPr>
        <w:spacing w:after="120"/>
      </w:pPr>
      <w:r>
        <w:lastRenderedPageBreak/>
        <w:t>Data requirements. Three data fields are required: daily unit sales by SKU-store, a calendar containing day-of-week and any locally relevant event flags (national holidays, regional promotions), and a price file containing weekly or daily selling prices by SKU-store. All three are standard outputs of any commercial point-of-sale system, including those bundled with off-the-shelf SME retail software packages (e.g., Square, Lightspeed, Vend).</w:t>
      </w:r>
    </w:p>
    <w:p w14:paraId="67164024" w14:textId="77777777" w:rsidR="000238AF" w:rsidRDefault="00000000">
      <w:pPr>
        <w:spacing w:after="120"/>
      </w:pPr>
      <w:r>
        <w:t>Tooling. The end-to-end pipeline is implemented in open-source Python using pandas, scikit-learn, lightgbm, xgboost, tensorflow, statsforecast, and shap. All libraries are free, run on standard CPU hardware (no GPU is required for the gradient boosting models that constitute the recommended deployment), and are available under permissive licences (MIT, BSD, Apache 2.0). The Power BI dashboard requires only Microsoft Power BI Desktop, which is freely distributed.</w:t>
      </w:r>
    </w:p>
    <w:p w14:paraId="5BA7861C" w14:textId="77777777" w:rsidR="000238AF" w:rsidRDefault="00000000">
      <w:pPr>
        <w:spacing w:after="120"/>
      </w:pPr>
      <w:r>
        <w:t>Hardware. The full pipeline — preprocessing, feature engineering, model training, hyperparameter tuning, OUTL calculations, sensitivity analysis, and dashboard export — runs on a single laptop with 16 GB RAM and a modern multi-core CPU. Total runtime on the 502-series stratified subsample is under three hours; on a typical SME inventory of 200–500 SKUs, runtime would be comparable or lower.</w:t>
      </w:r>
    </w:p>
    <w:p w14:paraId="44D0C2A1" w14:textId="77777777" w:rsidR="000238AF" w:rsidRDefault="00000000">
      <w:pPr>
        <w:spacing w:after="120"/>
      </w:pPr>
      <w:r>
        <w:t>Skills. A single analyst with intermediate Python competence (sufficient to install packages, execute notebooks, and modify configuration constants such as service level and lead time) can operate the pipeline. No specialist data science qualification is required for routine use. Configuration of the pipeline for a new SME would require approximately one to two working days for an experienced analyst, primarily for data ingestion adaptation and dashboard customisation.</w:t>
      </w:r>
    </w:p>
    <w:p w14:paraId="17C767E4" w14:textId="77777777" w:rsidR="000238AF" w:rsidRDefault="00000000">
      <w:pPr>
        <w:spacing w:after="120"/>
      </w:pPr>
      <w:r>
        <w:t>These specifications collectively demonstrate that the framework is operationally accessible to SMEs and is not gated by infrastructure, licensing, or specialist expertise barriers — addressing the SME accessibility objective in concrete terms.</w:t>
      </w:r>
    </w:p>
    <w:p w14:paraId="57E961A8" w14:textId="77777777" w:rsidR="000238AF" w:rsidRDefault="00000000">
      <w:pPr>
        <w:pStyle w:val="Heading1"/>
      </w:pPr>
      <w:r>
        <w:rPr>
          <w:rFonts w:ascii="Arial" w:hAnsi="Arial"/>
          <w:color w:val="000000"/>
        </w:rPr>
        <w:t>3.12 Chapter Summary</w:t>
      </w:r>
    </w:p>
    <w:p w14:paraId="2F543CFA" w14:textId="77777777" w:rsidR="000238AF" w:rsidRDefault="00000000">
      <w:pPr>
        <w:spacing w:after="120"/>
      </w:pPr>
      <w:r>
        <w:t>This chapter has presented the complete research methodology governing the empirical work of this thesis. The CRISP-DM framework structures the research across data understanding, preparation, modelling, evaluation, and deployment, each grounded in the gaps identified in Chapter 2 and designed to deliver against the objectives stated in Chapter 1.</w:t>
      </w:r>
    </w:p>
    <w:p w14:paraId="4DB41F95" w14:textId="77777777" w:rsidR="000238AF" w:rsidRDefault="00000000">
      <w:pPr>
        <w:spacing w:after="120"/>
      </w:pPr>
      <w:r>
        <w:t>The M5-Forecasting (Walmart) dataset provides a large-scale, richly featured empirical benchmark. A stratified subsample of 502 product-store series, preserving category × state proportions, is used to enable rigorous walk-forward cross-validation and recurrent neural network training within the project's compute budget. The preprocessing pipeline addresses missing values, zero-sales records, outliers, and categorical encoding in a principled, literature-grounded manner. The feature engineering strategy constructs derived variables across lag, rolling statistic, temporal, event proximity, promotional, price, identifier, and target-encoded categories.</w:t>
      </w:r>
    </w:p>
    <w:p w14:paraId="122C6C07" w14:textId="77777777" w:rsidR="000238AF" w:rsidRDefault="00000000">
      <w:pPr>
        <w:spacing w:after="120"/>
      </w:pPr>
      <w:r>
        <w:t xml:space="preserve">The model comparison framework evaluates five tiers of forecasting approaches: classical statistical baselines (including Croston's method for intermittent demand), standard machine </w:t>
      </w:r>
      <w:r>
        <w:lastRenderedPageBreak/>
        <w:t>learning models with Tweedie-loss configuration, a stacked LSTM, a stacking ensemble with Ridge meta-learner, and a quantile-regression model that enables empirically calibrated safety stock. Performance is measured by MAE, RMSE, MAPE, WMAPE, and Pred(10%) — with WMAPE added explicitly to provide an honest metric for the intermittent-demand setting where per-row MAPE is unstable.</w:t>
      </w:r>
    </w:p>
    <w:p w14:paraId="4D38F44D" w14:textId="77777777" w:rsidR="000238AF" w:rsidRDefault="00000000">
      <w:pPr>
        <w:spacing w:after="120"/>
      </w:pPr>
      <w:r>
        <w:t>The OUTL inventory framework integrates forecasting outputs into operational safety stock, reorder point, and total cost estimates across four lead-time scenarios and three service levels. The Gaussian safety stock formulation remains the primary, Chapter-1-anchored approach; an empirical quantile-based safety stock provides a robustness check that quantifies the systematic under-allocation of the Gaussian formula on intermittent demand. Stockout cost is modelled with a three-point sensitivity to provide an honest range for the headline cost-reduction figure.</w:t>
      </w:r>
    </w:p>
    <w:p w14:paraId="1D010AD0" w14:textId="77777777" w:rsidR="000238AF" w:rsidRDefault="00000000">
      <w:pPr>
        <w:spacing w:after="120"/>
      </w:pPr>
      <w:r>
        <w:t>The Power BI dashboard delivers the framework's outputs in an accessible format for non-technical retail managers. A four-dimensional sensitivity analysis quantifies how cost savings scale with forecast accuracy, lead time, service level, and stockout cost assumptions. SHAP-based transparency, disaggregated fairness analysis, and a concrete SME transferability specification complete the responsible-AI dimension of the methodology.</w:t>
      </w:r>
    </w:p>
    <w:p w14:paraId="4C088310" w14:textId="77777777" w:rsidR="000238AF" w:rsidRDefault="00000000">
      <w:pPr>
        <w:spacing w:after="120"/>
      </w:pPr>
      <w:r>
        <w:t>Chapter 4 presents the implementation and results of this framework, reporting model performance metrics and feature attribution. Chapter 5 reports the OUTL inventory parameter estimates and sensitivity analysis findings, integrating Chapter 1's quantitative targets with the empirical results across all model tiers and operating scenarios.</w:t>
      </w:r>
    </w:p>
    <w:p w14:paraId="7D98CACF" w14:textId="77777777" w:rsidR="000238AF" w:rsidRDefault="00000000">
      <w:pPr>
        <w:pStyle w:val="Heading1"/>
      </w:pPr>
      <w:r>
        <w:rPr>
          <w:rFonts w:ascii="Arial" w:hAnsi="Arial"/>
          <w:color w:val="000000"/>
        </w:rPr>
        <w:t>References (Chapter 3)</w:t>
      </w:r>
    </w:p>
    <w:p w14:paraId="69A96AC5" w14:textId="77777777" w:rsidR="000238AF" w:rsidRDefault="00000000">
      <w:pPr>
        <w:spacing w:after="120"/>
      </w:pPr>
      <w:r>
        <w:rPr>
          <w:i/>
          <w:sz w:val="20"/>
        </w:rPr>
        <w:t>The following entries are additions for this chapter; the full Chapter 3 bibliography is retained as in the parent thesis document.</w:t>
      </w:r>
    </w:p>
    <w:p w14:paraId="23720646" w14:textId="77777777" w:rsidR="000238AF" w:rsidRDefault="00000000">
      <w:pPr>
        <w:spacing w:after="80"/>
        <w:ind w:left="576" w:hanging="576"/>
      </w:pPr>
      <w:r>
        <w:rPr>
          <w:sz w:val="20"/>
        </w:rPr>
        <w:t>Barghi, S. (2025). Demand forecasting and inventory improvement in supply chain management using hybrid boosting ensemble techniques. Master's thesis, École de Technologie Supérieure, Université du Québec.</w:t>
      </w:r>
    </w:p>
    <w:p w14:paraId="686764D3" w14:textId="77777777" w:rsidR="000238AF" w:rsidRDefault="00000000">
      <w:pPr>
        <w:spacing w:after="80"/>
        <w:ind w:left="576" w:hanging="576"/>
      </w:pPr>
      <w:r>
        <w:rPr>
          <w:sz w:val="20"/>
        </w:rPr>
        <w:t>Bastos, A. S. T. (2023). Machine learning in digital retail demand forecasting for inventory management in a sportswear company. Master's thesis, NOVA Information Management School, Universidade Nova de Lisboa.</w:t>
      </w:r>
    </w:p>
    <w:p w14:paraId="6193D1BC" w14:textId="77777777" w:rsidR="000238AF" w:rsidRDefault="00000000">
      <w:pPr>
        <w:spacing w:after="80"/>
        <w:ind w:left="576" w:hanging="576"/>
      </w:pPr>
      <w:r>
        <w:rPr>
          <w:sz w:val="20"/>
        </w:rPr>
        <w:t>Croston, J. D. (1972). Forecasting and stock control for intermittent demands. Operational Research Quarterly, 23(3), 289–303.</w:t>
      </w:r>
    </w:p>
    <w:p w14:paraId="7EE20664" w14:textId="77777777" w:rsidR="000238AF" w:rsidRDefault="00000000">
      <w:pPr>
        <w:spacing w:after="80"/>
        <w:ind w:left="576" w:hanging="576"/>
      </w:pPr>
      <w:r>
        <w:rPr>
          <w:sz w:val="20"/>
        </w:rPr>
        <w:t>Haque, M. S., Amin, M. S., &amp; Miah, J. (2023). Retail demand forecasting: A comparative study for multivariate time series (arXiv:2308.11939). arXiv.</w:t>
      </w:r>
    </w:p>
    <w:p w14:paraId="401C1626" w14:textId="77777777" w:rsidR="000238AF" w:rsidRDefault="00000000">
      <w:pPr>
        <w:spacing w:after="80"/>
        <w:ind w:left="576" w:hanging="576"/>
      </w:pPr>
      <w:r>
        <w:rPr>
          <w:sz w:val="20"/>
        </w:rPr>
        <w:t>Hyndman, R. J., &amp; Athanasopoulos, G. (2021). Forecasting: Principles and Practice (3rd ed.). OTexts.</w:t>
      </w:r>
    </w:p>
    <w:p w14:paraId="108A9855" w14:textId="77777777" w:rsidR="000238AF" w:rsidRDefault="00000000">
      <w:pPr>
        <w:spacing w:after="80"/>
        <w:ind w:left="576" w:hanging="576"/>
      </w:pPr>
      <w:r>
        <w:rPr>
          <w:sz w:val="20"/>
        </w:rPr>
        <w:t>Keith, E. (2023). Optimizing inventory management through advanced forecasting techniques in supply chains. European Journal of Supply Chain Management, 1(1), 22–30.</w:t>
      </w:r>
    </w:p>
    <w:p w14:paraId="3002B744" w14:textId="77777777" w:rsidR="000238AF" w:rsidRDefault="00000000">
      <w:pPr>
        <w:spacing w:after="80"/>
        <w:ind w:left="576" w:hanging="576"/>
      </w:pPr>
      <w:r>
        <w:rPr>
          <w:sz w:val="20"/>
        </w:rPr>
        <w:t>Mitra, A., Jain, A., Kishore, A., &amp; Kumar, P. (2022). A comparative study of demand forecasting models for a multi-channel retail company: A novel hybrid machine learning approach. Operations Research Forum, 3, 58.</w:t>
      </w:r>
    </w:p>
    <w:p w14:paraId="733D82FE" w14:textId="77777777" w:rsidR="000238AF" w:rsidRDefault="00000000">
      <w:pPr>
        <w:spacing w:after="80"/>
        <w:ind w:left="576" w:hanging="576"/>
      </w:pPr>
      <w:r>
        <w:rPr>
          <w:sz w:val="20"/>
        </w:rPr>
        <w:lastRenderedPageBreak/>
        <w:t>Nasseri, M., Falatouri, T., Brandtner, P., &amp; Darbanian, F. (2023). Applying machine learning in retail demand prediction — A comparison of tree-based ensembles and long short-term memory-based deep learning. Applied Sciences, 13, 11112.</w:t>
      </w:r>
    </w:p>
    <w:p w14:paraId="19D73B91" w14:textId="77777777" w:rsidR="000238AF" w:rsidRDefault="00000000">
      <w:pPr>
        <w:spacing w:after="80"/>
        <w:ind w:left="576" w:hanging="576"/>
      </w:pPr>
      <w:r>
        <w:rPr>
          <w:sz w:val="20"/>
        </w:rPr>
        <w:t>Obi, C. I. C. (2024). Demand forecasting in retail business using the ensemble machine learning framework: A stacking approach. American Academic Scientific Research Journal for Engineering, Technology, and Sciences, 98(1), 309–329.</w:t>
      </w:r>
    </w:p>
    <w:p w14:paraId="7114F5BA" w14:textId="77777777" w:rsidR="000238AF" w:rsidRDefault="00000000">
      <w:pPr>
        <w:spacing w:after="80"/>
        <w:ind w:left="576" w:hanging="576"/>
      </w:pPr>
      <w:r>
        <w:rPr>
          <w:sz w:val="20"/>
        </w:rPr>
        <w:t>Punia, S., Nikolopoulos, K., Prakash Singh, S., Madaan, J. K., &amp; Litsiou, K. (2020). Deep learning with long short-term memory networks and random forests for demand forecasting in multi-channel retail. International Journal of Production Research, 58(16), 4964–4979.</w:t>
      </w:r>
    </w:p>
    <w:p w14:paraId="4C23C86C" w14:textId="77777777" w:rsidR="000238AF" w:rsidRDefault="00000000">
      <w:pPr>
        <w:spacing w:after="80"/>
        <w:ind w:left="576" w:hanging="576"/>
      </w:pPr>
      <w:r>
        <w:rPr>
          <w:sz w:val="20"/>
        </w:rPr>
        <w:t>Seyedan, M. (2023). Development of predictive analytics for demand forecasting and inventory management in supply chain using machine learning techniques (Doctoral dissertation). Concordia University, Montreal.</w:t>
      </w:r>
    </w:p>
    <w:p w14:paraId="13CCA7A3" w14:textId="77777777" w:rsidR="000238AF" w:rsidRDefault="00000000">
      <w:pPr>
        <w:spacing w:after="80"/>
        <w:ind w:left="576" w:hanging="576"/>
      </w:pPr>
      <w:r>
        <w:rPr>
          <w:sz w:val="20"/>
        </w:rPr>
        <w:t>Seyedan, M., Mafakheri, F., &amp; Wang, C. (2022). Cluster-based demand forecasting using Bayesian model averaging: An ensemble learning approach. Decision Analytics Journal, 3, 100033.</w:t>
      </w:r>
    </w:p>
    <w:p w14:paraId="2D47C7DF" w14:textId="77777777" w:rsidR="000238AF" w:rsidRDefault="00000000">
      <w:pPr>
        <w:spacing w:after="80"/>
        <w:ind w:left="576" w:hanging="576"/>
      </w:pPr>
      <w:r>
        <w:rPr>
          <w:sz w:val="20"/>
        </w:rPr>
        <w:t>Seyedan, M., Mafakheri, F., &amp; Wang, C. (2023). Order-up-to-level inventory optimization model using time-series demand forecasting with ensemble deep learning. Supply Chain Analytics, 3, 100024.</w:t>
      </w:r>
    </w:p>
    <w:p w14:paraId="35CB7D92" w14:textId="77777777" w:rsidR="000238AF" w:rsidRDefault="00000000">
      <w:pPr>
        <w:spacing w:after="80"/>
        <w:ind w:left="576" w:hanging="576"/>
      </w:pPr>
      <w:r>
        <w:rPr>
          <w:sz w:val="20"/>
        </w:rPr>
        <w:t>Silver, E. A., Pyke, D. F., &amp; Thomas, D. J. (2017). Inventory and production management in supply chains (4th ed.). CRC Press.</w:t>
      </w:r>
    </w:p>
    <w:p w14:paraId="5A9D0F6C" w14:textId="77777777" w:rsidR="000238AF" w:rsidRDefault="00000000">
      <w:pPr>
        <w:spacing w:after="80"/>
        <w:ind w:left="576" w:hanging="576"/>
      </w:pPr>
      <w:r>
        <w:rPr>
          <w:sz w:val="20"/>
        </w:rPr>
        <w:t>Syntetos, A. A., &amp; Boylan, J. E. (2005). The accuracy of intermittent demand estimates. International Journal of Forecasting, 21(2), 303–314.</w:t>
      </w:r>
    </w:p>
    <w:p w14:paraId="566583B7" w14:textId="77777777" w:rsidR="000238AF" w:rsidRDefault="00000000">
      <w:pPr>
        <w:spacing w:after="80"/>
        <w:ind w:left="576" w:hanging="576"/>
      </w:pPr>
      <w:r>
        <w:rPr>
          <w:sz w:val="20"/>
        </w:rPr>
        <w:t>Ungureanu, D. A. (2025). Demand forecasting and inventory optimization in mid-sized grocery retail using machine learning. Master's thesis, CCT College Dublin.</w:t>
      </w:r>
    </w:p>
    <w:p w14:paraId="0F7AE963" w14:textId="77777777" w:rsidR="000238AF" w:rsidRDefault="00000000">
      <w:pPr>
        <w:spacing w:after="80"/>
        <w:ind w:left="576" w:hanging="576"/>
      </w:pPr>
      <w:r>
        <w:rPr>
          <w:sz w:val="20"/>
        </w:rPr>
        <w:t>Wahedi, H. J., Heltoft, M., Christophersen, G. J., Severinsen, T., Saha, S., &amp; Nielsen, I. E. (2023). Forecasting and inventory planning: An empirical investigation of classical and machine learning approaches for Svanehøj's future software consolidation. Applied Sciences, 13, 8581.</w:t>
      </w:r>
    </w:p>
    <w:sectPr w:rsidR="000238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572279">
    <w:abstractNumId w:val="8"/>
  </w:num>
  <w:num w:numId="2" w16cid:durableId="724718934">
    <w:abstractNumId w:val="6"/>
  </w:num>
  <w:num w:numId="3" w16cid:durableId="749043007">
    <w:abstractNumId w:val="5"/>
  </w:num>
  <w:num w:numId="4" w16cid:durableId="772021258">
    <w:abstractNumId w:val="4"/>
  </w:num>
  <w:num w:numId="5" w16cid:durableId="2003853536">
    <w:abstractNumId w:val="7"/>
  </w:num>
  <w:num w:numId="6" w16cid:durableId="1069963330">
    <w:abstractNumId w:val="3"/>
  </w:num>
  <w:num w:numId="7" w16cid:durableId="1642926498">
    <w:abstractNumId w:val="2"/>
  </w:num>
  <w:num w:numId="8" w16cid:durableId="128208845">
    <w:abstractNumId w:val="1"/>
  </w:num>
  <w:num w:numId="9" w16cid:durableId="10558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8AF"/>
    <w:rsid w:val="00034616"/>
    <w:rsid w:val="0006063C"/>
    <w:rsid w:val="0015074B"/>
    <w:rsid w:val="0029639D"/>
    <w:rsid w:val="00326F90"/>
    <w:rsid w:val="0040143D"/>
    <w:rsid w:val="00A365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66F0D"/>
  <w14:defaultImageDpi w14:val="300"/>
  <w15:docId w15:val="{A6F835C2-9CB3-F24E-9CA4-882099CF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6639</Words>
  <Characters>40768</Characters>
  <Application>Microsoft Office Word</Application>
  <DocSecurity>0</DocSecurity>
  <Lines>690</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Desmond Aziega</cp:lastModifiedBy>
  <cp:revision>2</cp:revision>
  <dcterms:created xsi:type="dcterms:W3CDTF">2013-12-23T23:15:00Z</dcterms:created>
  <dcterms:modified xsi:type="dcterms:W3CDTF">2026-05-24T01:20:00Z</dcterms:modified>
  <cp:category/>
</cp:coreProperties>
</file>