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CHAPTER 7</w:t>
      </w:r>
    </w:p>
    <w:p>
      <w:pPr>
        <w:spacing w:after="360"/>
        <w:jc w:val="center"/>
      </w:pPr>
      <w:r>
        <w:rPr>
          <w:rFonts w:ascii="Arial" w:hAnsi="Arial"/>
          <w:b/>
          <w:sz w:val="32"/>
        </w:rPr>
        <w:t>Conclusion</w:t>
      </w:r>
    </w:p>
    <w:p>
      <w:pPr>
        <w:pStyle w:val="Heading1"/>
      </w:pPr>
      <w:r>
        <w:rPr>
          <w:rFonts w:ascii="Arial" w:hAnsi="Arial"/>
          <w:color w:val="000000"/>
        </w:rPr>
        <w:t>7.1 Introduction</w:t>
      </w:r>
    </w:p>
    <w:p>
      <w:pPr>
        <w:spacing w:after="120"/>
      </w:pPr>
      <w:r>
        <w:rPr>
          <w:rFonts w:ascii="Arial" w:hAnsi="Arial"/>
          <w:b w:val="0"/>
          <w:i w:val="0"/>
          <w:sz w:val="22"/>
        </w:rPr>
        <w:t>This chapter concludes the thesis. It returns to the research objectives stated in Chapter 1, evaluates the extent to which each has been achieved through the empirical work documented in Chapters 3 to 6, restates the principal scholarly and practical contributions of the thesis, and offers closing reflections on the operational significance of the findings for the small and medium-sized retail sector. The chapter is structured as follows. Section 7.2 restates the five research objectives. Section 7.3 evaluates achievement against each objective. Section 7.4 consolidates the principal contributions of the thesis. Section 7.5 offers closing remarks and identifies the broader significance of the work.</w:t>
      </w:r>
    </w:p>
    <w:p>
      <w:pPr>
        <w:pStyle w:val="Heading1"/>
      </w:pPr>
      <w:r>
        <w:rPr>
          <w:rFonts w:ascii="Arial" w:hAnsi="Arial"/>
          <w:color w:val="000000"/>
        </w:rPr>
        <w:t>7.2 Restatement of the Research Objectives</w:t>
      </w:r>
    </w:p>
    <w:p>
      <w:pPr>
        <w:spacing w:after="120"/>
      </w:pPr>
      <w:r>
        <w:rPr>
          <w:rFonts w:ascii="Arial" w:hAnsi="Arial"/>
          <w:b w:val="0"/>
          <w:i w:val="0"/>
          <w:sz w:val="22"/>
        </w:rPr>
        <w:t>Chapter 1 set out five research objectives that have guided the thesis:</w:t>
      </w:r>
    </w:p>
    <w:p>
      <w:pPr>
        <w:pStyle w:val="ListBullet"/>
      </w:pPr>
      <w:r>
        <w:rPr>
          <w:rFonts w:ascii="Arial" w:hAnsi="Arial"/>
          <w:sz w:val="22"/>
        </w:rPr>
        <w:t>Objective 1: Conduct a comparative evaluation of forecasting approaches spanning classical statistical, standard machine learning, deep learning, ensemble, and probabilistic methods on a hierarchical retail demand benchmark.</w:t>
      </w:r>
    </w:p>
    <w:p>
      <w:pPr>
        <w:pStyle w:val="ListBullet"/>
      </w:pPr>
      <w:r>
        <w:rPr>
          <w:rFonts w:ascii="Arial" w:hAnsi="Arial"/>
          <w:sz w:val="22"/>
        </w:rPr>
        <w:t>Objective 2: Develop a systematic feature engineering strategy capturing the principal drivers of retail demand — lags, rolling statistics, calendar and event signals, price movement, and identifier-level prior information.</w:t>
      </w:r>
    </w:p>
    <w:p>
      <w:pPr>
        <w:pStyle w:val="ListBullet"/>
      </w:pPr>
      <w:r>
        <w:rPr>
          <w:rFonts w:ascii="Arial" w:hAnsi="Arial"/>
          <w:sz w:val="22"/>
        </w:rPr>
        <w:t>Objective 3: Integrate the best-performing forecasting approach with the Order-Up-To-Level (OUTL) inventory policy and quantify the resulting operational parameters across lead-time scenarios.</w:t>
      </w:r>
    </w:p>
    <w:p>
      <w:pPr>
        <w:pStyle w:val="ListBullet"/>
      </w:pPr>
      <w:r>
        <w:rPr>
          <w:rFonts w:ascii="Arial" w:hAnsi="Arial"/>
          <w:sz w:val="22"/>
        </w:rPr>
        <w:t>Objective 4: Test whether the operational gains reported in closely related studies — improvements of 10–25% in forecast accuracy and inventory cost reductions of 5–15% — transfer to this setting at SKU-daily granularity.</w:t>
      </w:r>
    </w:p>
    <w:p>
      <w:pPr>
        <w:pStyle w:val="ListBullet"/>
      </w:pPr>
      <w:r>
        <w:rPr>
          <w:rFonts w:ascii="Arial" w:hAnsi="Arial"/>
          <w:sz w:val="22"/>
        </w:rPr>
        <w:t>Objective 5: Develop a Power BI dashboard that translates forecasting outputs and inventory recommendations into an accessible, interactive decision-support tool suitable for deployment in resource-constrained retail environments, including small and medium-sized enterprises.</w:t>
      </w:r>
    </w:p>
    <w:p>
      <w:pPr>
        <w:pStyle w:val="Heading1"/>
      </w:pPr>
      <w:r>
        <w:rPr>
          <w:rFonts w:ascii="Arial" w:hAnsi="Arial"/>
          <w:color w:val="000000"/>
        </w:rPr>
        <w:t>7.3 Achievement Against Research Objectives</w:t>
      </w:r>
    </w:p>
    <w:p>
      <w:pPr>
        <w:pStyle w:val="Heading2"/>
      </w:pPr>
      <w:r>
        <w:rPr>
          <w:rFonts w:ascii="Arial" w:hAnsi="Arial"/>
          <w:color w:val="000000"/>
        </w:rPr>
        <w:t>7.3.1 Objective 1 — Comparative evaluation of forecasting approaches</w:t>
      </w:r>
    </w:p>
    <w:p>
      <w:pPr>
        <w:spacing w:after="120"/>
      </w:pPr>
      <w:r>
        <w:rPr>
          <w:rFonts w:ascii="Arial" w:hAnsi="Arial"/>
          <w:b w:val="0"/>
          <w:i w:val="0"/>
          <w:sz w:val="22"/>
        </w:rPr>
        <w:t>The thesis evaluated twelve forecasting models organised across five tiers on a stratified subsample of the M5-Forecasting (Walmart) dataset. Tier 1 implemented six classical baselines (Moving Average, Simple Exponential Smoothing, AutoARIMA, Croston's Classic, Croston-SBA, and Seasonal Naive); Tier 2 implemented three standard ML models (LightGBM and XGBoost with Tweedie loss, and Random Forest); Tier 3 implemented a stacked LSTM with log1p target transformation; Tier 4 implemented a stacking ensemble of the Tier 2 base learners through a non-negative Ridge meta-learner; and Tier 5 implemented a five-quantile LightGBM model supporting the inventory analysis.</w:t>
      </w:r>
    </w:p>
    <w:p>
      <w:pPr>
        <w:spacing w:after="120"/>
      </w:pPr>
      <w:r>
        <w:rPr>
          <w:rFonts w:ascii="Arial" w:hAnsi="Arial"/>
          <w:b w:val="0"/>
          <w:i w:val="0"/>
          <w:sz w:val="22"/>
        </w:rPr>
        <w:t>The comparative evaluation produced a ranked leaderboard demonstrating that the Tier 4 stacking ensemble achieves the best MAE (0.952) and WMAPE (73.58%) across all twelve models. The empirical ranking reproduces the consensus of the modern retail forecasting literature: tree-based gradient boosting and ensembles thereof at the top, classical baselines (with Croston-class methods particularly well-suited to intermittent demand) in the middle, and the LSTM at the bottom — a finding that directly replicates Nasseri et al. (2023). Objective 1 is fully achieved.</w:t>
      </w:r>
    </w:p>
    <w:p>
      <w:pPr>
        <w:pStyle w:val="Heading2"/>
      </w:pPr>
      <w:r>
        <w:rPr>
          <w:rFonts w:ascii="Arial" w:hAnsi="Arial"/>
          <w:color w:val="000000"/>
        </w:rPr>
        <w:t>7.3.2 Objective 2 — Systematic feature engineering</w:t>
      </w:r>
    </w:p>
    <w:p>
      <w:pPr>
        <w:spacing w:after="120"/>
      </w:pPr>
      <w:r>
        <w:rPr>
          <w:rFonts w:ascii="Arial" w:hAnsi="Arial"/>
          <w:b w:val="0"/>
          <w:i w:val="0"/>
          <w:sz w:val="22"/>
        </w:rPr>
        <w:t>The thesis constructed thirty-three engineered features organised across six categories (lag, rolling, temporal, event proximity, promotional/event, price) plus eight target-encoded mean features for high-cardinality categoricals. The feature engineering strategy is documented to the level required for independent replication in §3.5 and §3.4.6.</w:t>
      </w:r>
    </w:p>
    <w:p>
      <w:pPr>
        <w:spacing w:after="120"/>
      </w:pPr>
      <w:r>
        <w:rPr>
          <w:rFonts w:ascii="Arial" w:hAnsi="Arial"/>
          <w:b w:val="0"/>
          <w:i w:val="0"/>
          <w:sz w:val="22"/>
        </w:rPr>
        <w:t>SHAP analysis on the LightGBM model (§4.11) demonstrates that the engineered features are the principal predictive drivers: the top five SHAP-ranked features account for 78.6% of model predictions, dominated by rolling means (rolling_mean_7 at 29.9%, rolling_mean_28 at 20.4%), target-encoded item-level seasonality (item_month_mean at 15.3%, item_dow_mean at 5.3%), and demand volatility (rolling_std_7 at 7.7%). Objective 2 is fully achieved.</w:t>
      </w:r>
    </w:p>
    <w:p>
      <w:pPr>
        <w:pStyle w:val="Heading2"/>
      </w:pPr>
      <w:r>
        <w:rPr>
          <w:rFonts w:ascii="Arial" w:hAnsi="Arial"/>
          <w:color w:val="000000"/>
        </w:rPr>
        <w:t>7.3.3 Objective 3 — OUTL inventory integration</w:t>
      </w:r>
    </w:p>
    <w:p>
      <w:pPr>
        <w:spacing w:after="120"/>
      </w:pPr>
      <w:r>
        <w:rPr>
          <w:rFonts w:ascii="Arial" w:hAnsi="Arial"/>
          <w:b w:val="0"/>
          <w:i w:val="0"/>
          <w:sz w:val="22"/>
        </w:rPr>
        <w:t>The thesis integrated the Tier 4 stacking ensemble (for point forecasts) and the Tier 5 quantile model (for empirical safety stock) with a periodic (R, s, S) review policy. The OUTL parameters — safety stock, reorder point, order-up-to-level, order quantity, and annual cost components — are computed for each of the 502 product-store series across four lead-time scenarios (L = 7, 10, 14, 21 days). Critically, the operational outcomes of each policy are measured by direct forward simulation of the (R, s, S) policy over the test window, rather than inferred analytically. This simulation-based measurement is itself a methodological choice that distinguishes the thesis from the comparable studies in the literature, which typically project an assumed service-level gap onto a parametric cost formula. Objective 3 is fully achieved.</w:t>
      </w:r>
    </w:p>
    <w:p>
      <w:pPr>
        <w:pStyle w:val="Heading2"/>
      </w:pPr>
      <w:r>
        <w:rPr>
          <w:rFonts w:ascii="Arial" w:hAnsi="Arial"/>
          <w:color w:val="000000"/>
        </w:rPr>
        <w:t>7.3.4 Objective 4 — Quantification of operational impact</w:t>
      </w:r>
    </w:p>
    <w:p>
      <w:pPr>
        <w:spacing w:after="120"/>
      </w:pPr>
      <w:r>
        <w:rPr>
          <w:rFonts w:ascii="Arial" w:hAnsi="Arial"/>
          <w:b w:val="0"/>
          <w:i w:val="0"/>
          <w:sz w:val="22"/>
        </w:rPr>
        <w:t>Objective 4 specified that the 10–25% MAPE improvement and 5–15% inventory cost reduction reported in the closely related studies of Barghi (2025) and Seyedan et al. (2023) be tested rather than treated as targets the thesis commits to meeting. The empirical results against each are as follows.</w:t>
      </w:r>
    </w:p>
    <w:p>
      <w:pPr>
        <w:spacing w:after="120"/>
      </w:pPr>
      <w:r>
        <w:rPr>
          <w:rFonts w:ascii="Arial" w:hAnsi="Arial"/>
          <w:b w:val="0"/>
          <w:i w:val="0"/>
          <w:sz w:val="22"/>
        </w:rPr>
        <w:t>On forecast accuracy, the stacking ensemble achieves 4.5% MAE improvement and 9.5% RMSE improvement over the best classical baseline, with the MAPE improvement essentially flat (−0.3%). The MAE and MAPE results sit below the 10–25% range; the RMSE result is close to the lower bound. These figures are consistent with the M5 retrospective literature at SKU-daily granularity, which indicates that double-digit MAPE improvements at this granularity are achievable only under weekly or category-level aggregation. The reported literature figures do not, on the present evidence, transfer to SKU-daily intermittent demand.</w:t>
      </w:r>
    </w:p>
    <w:p>
      <w:pPr>
        <w:spacing w:after="120"/>
      </w:pPr>
      <w:r>
        <w:rPr>
          <w:rFonts w:ascii="Arial" w:hAnsi="Arial"/>
          <w:b w:val="0"/>
          <w:i w:val="0"/>
          <w:sz w:val="22"/>
        </w:rPr>
        <w:t>On inventory cost reduction, the simulation-based measurement reveals that all three forecasting policies — Classical, ML-Gaussian, and ML-Empirical-Quantile — achieve a realised service level of 100% on the test window and contain no stockouts. Total annual cost is dominated by holding cost; ML-Gaussian ties the Classical baseline to within 0.0% in total cost, and ML-Empirical-Quantile costs approximately 1.5% more because it allocates a larger safety stock without preventing any additional stockouts. The 5–15% inventory cost reduction reported in the literature does not therefore transfer to this dataset under direct simulation. The Chapter 1 target is not achieved.</w:t>
      </w:r>
    </w:p>
    <w:p>
      <w:pPr>
        <w:spacing w:after="120"/>
      </w:pPr>
      <w:r>
        <w:rPr>
          <w:rFonts w:ascii="Arial" w:hAnsi="Arial"/>
          <w:b w:val="0"/>
          <w:i w:val="0"/>
          <w:sz w:val="22"/>
        </w:rPr>
        <w:t>The thesis treats both shortfalls as findings rather than failures. The published benchmarks of 10–25% MAPE and 5–15% cost reduction were obtained on aggregated data where demand smoothing produces variance levels that the baseline policy cannot fully absorb; at SKU-daily granularity, with baseline (R, s, S) buffers generous enough to meet demand in full, the conditions under which those benchmarks hold do not obtain. The boundary condition identified in §5.6 specifies the regime in which ML forecasting and quantile-based safety stock would deliver operational value: namely, where the baseline policy faces genuine stockout risk. Objective 4 is therefore achieved in the form the supervisor explicitly approved — as a test of literature benchmarks rather than as a commitment to meet them — and the disconfirmation is itself the substantive finding.</w:t>
      </w:r>
    </w:p>
    <w:p>
      <w:pPr>
        <w:pStyle w:val="Heading2"/>
      </w:pPr>
      <w:r>
        <w:rPr>
          <w:rFonts w:ascii="Arial" w:hAnsi="Arial"/>
          <w:color w:val="000000"/>
        </w:rPr>
        <w:t>7.3.5 Objective 5 — Power BI dashboard for SME deployment</w:t>
      </w:r>
    </w:p>
    <w:p>
      <w:pPr>
        <w:spacing w:after="120"/>
      </w:pPr>
      <w:r>
        <w:rPr>
          <w:rFonts w:ascii="Arial" w:hAnsi="Arial"/>
          <w:b w:val="0"/>
          <w:i w:val="0"/>
          <w:sz w:val="22"/>
        </w:rPr>
        <w:t>The thesis implemented a Power BI dashboard with four pages (Forecast Overview, Inventory Status, Cost Analysis, Sensitivity Analysis), consuming five CSV data feeds exported from the Python pipeline and refreshed on a daily cycle. The dashboard is implemented in Microsoft Power BI Service (free tier), requires no commercial licence, and is delivered as a report that can be opened in any browser without further dependencies.</w:t>
      </w:r>
    </w:p>
    <w:p>
      <w:pPr>
        <w:spacing w:after="120"/>
      </w:pPr>
      <w:r>
        <w:rPr>
          <w:rFonts w:ascii="Arial" w:hAnsi="Arial"/>
          <w:b w:val="0"/>
          <w:i w:val="0"/>
          <w:sz w:val="22"/>
        </w:rPr>
        <w:t>Each page is designed to support a distinct operational decision: Forecast Overview surfaces actual demand, ML forecasts, classical baseline forecasts, and the LightGBM quantile fan for any selected product-store combination; Inventory Status presents safety stock, reorder point, and order-up-to-level parameters; Cost Analysis decomposes the simulated total annual cost by policy and lead time, making visible the §5.4 finding that holding cost dominates and stockout cost is zero across the three policies; Sensitivity Analysis presents the invariance result of §5.7 through coordinated line and bar charts. The dashboard supports the SME transferability commitment by translating the modelling outputs into a form accessible to non-technical managers. Objective 5 is fully achieved.</w:t>
      </w:r>
    </w:p>
    <w:p>
      <w:pPr>
        <w:pStyle w:val="Heading1"/>
      </w:pPr>
      <w:r>
        <w:rPr>
          <w:rFonts w:ascii="Arial" w:hAnsi="Arial"/>
          <w:color w:val="000000"/>
        </w:rPr>
        <w:t>7.4 Principal Contributions</w:t>
      </w:r>
    </w:p>
    <w:p>
      <w:pPr>
        <w:spacing w:after="120"/>
      </w:pPr>
      <w:r>
        <w:rPr>
          <w:rFonts w:ascii="Arial" w:hAnsi="Arial"/>
          <w:b w:val="0"/>
          <w:i w:val="0"/>
          <w:sz w:val="22"/>
        </w:rPr>
        <w:t>The thesis advances the demand forecasting and inventory optimisation literature through three theoretical contributions and three practical contributions, each summarised below and discussed in detail in §6.5 and §6.6.</w:t>
      </w:r>
    </w:p>
    <w:p>
      <w:pPr>
        <w:spacing w:after="120"/>
      </w:pPr>
      <w:r>
        <w:rPr>
          <w:rFonts w:ascii="Arial" w:hAnsi="Arial"/>
          <w:b w:val="0"/>
          <w:i w:val="0"/>
          <w:sz w:val="22"/>
        </w:rPr>
        <w:t>Theoretical contribution 1: First simulation-based characterisation on the M5 benchmark of the operational consequence of the Gaussian-versus-empirical safety-stock choice. The empirical quantile spread is 1.36 times the Gaussian buffer, but simulation shows that this distributional mismatch is operationally immaterial when the baseline buffer already meets demand in full. This refines the textbook treatment of safety stock (Silver et al., 2017) by supplying the empirical condition under which the Gaussian assumption fails operationally — and the condition under which it does not.</w:t>
      </w:r>
    </w:p>
    <w:p>
      <w:pPr>
        <w:spacing w:after="120"/>
      </w:pPr>
      <w:r>
        <w:rPr>
          <w:rFonts w:ascii="Arial" w:hAnsi="Arial"/>
          <w:b w:val="0"/>
          <w:i w:val="0"/>
          <w:sz w:val="22"/>
        </w:rPr>
        <w:t>Theoretical contribution 2: Demonstration that the operational value of ML forecasting in retail inventory management is conditional on the demand regime rather than automatic. The ML-Gaussian policy ties the Classical baseline at 0.0% in total cost, and the ML-Empirical-Quantile policy costs 1.5% more, on the M5 test window. The boundary condition under which the comparison would flip — namely, exposure of the baseline policy to genuine stockout risk — is itself the theoretical contribution. This refines the common framing in the forecasting literature in which improved point-forecast accuracy is presumed to translate directly into operational inventory savings.</w:t>
      </w:r>
    </w:p>
    <w:p>
      <w:pPr>
        <w:spacing w:after="120"/>
      </w:pPr>
      <w:r>
        <w:rPr>
          <w:rFonts w:ascii="Arial" w:hAnsi="Arial"/>
          <w:b w:val="0"/>
          <w:i w:val="0"/>
          <w:sz w:val="22"/>
        </w:rPr>
        <w:t>Theoretical contribution 3: Empirical robustness of the cost comparison to MAPE level and to the stockout-cost multiplier within the saturated-service regime. Across the 3–15% MAPE range, the simulated cost comparison varies by less than 0.1 percentage points; across the 0.4× to 2.0× stockout-cost multiplier range, the comparison is unchanged because stockouts are zero and the multiplier never engages. This robustness profile clarifies that further investment in MAPE improvement is unlikely to yield inventory benefit in regimes of saturated service.</w:t>
      </w:r>
    </w:p>
    <w:p>
      <w:pPr>
        <w:spacing w:after="120"/>
      </w:pPr>
      <w:r>
        <w:rPr>
          <w:rFonts w:ascii="Arial" w:hAnsi="Arial"/>
          <w:b w:val="0"/>
          <w:i w:val="0"/>
          <w:sz w:val="22"/>
        </w:rPr>
        <w:t>Practical contribution 1: An end-to-end, reproducible, SME-deployable framework implemented in free and open-source tooling, runnable on a standard laptop, with a total runtime under three hours. The framework is documented to the level required for independent replication.</w:t>
      </w:r>
    </w:p>
    <w:p>
      <w:pPr>
        <w:spacing w:after="120"/>
      </w:pPr>
      <w:r>
        <w:rPr>
          <w:rFonts w:ascii="Arial" w:hAnsi="Arial"/>
          <w:b w:val="0"/>
          <w:i w:val="0"/>
          <w:sz w:val="22"/>
        </w:rPr>
        <w:t>Practical contribution 2: A forward-simulation engine usable as a pre-investment diagnostic for SME practitioners. Before committing to the more complex ML-quantile pipeline, an SME can run the engine on its own demand data to test whether its baseline policy is exposed to genuine stockout risk and therefore whether the additional methodology is likely to recover its cost. This diagnostic capability is itself a practitioner-facing deliverable of the thesis.</w:t>
      </w:r>
    </w:p>
    <w:p>
      <w:pPr>
        <w:spacing w:after="120"/>
      </w:pPr>
      <w:r>
        <w:rPr>
          <w:rFonts w:ascii="Arial" w:hAnsi="Arial"/>
          <w:b w:val="0"/>
          <w:i w:val="0"/>
          <w:sz w:val="22"/>
        </w:rPr>
        <w:t>Practical contribution 3: An interactive Power BI dashboard organised into four operational views, providing non-technical SME managers with access to forecast outputs, inventory parameters, cost decomposition, and sensitivity curves without requiring the user to understand the underlying methodology.</w:t>
      </w:r>
    </w:p>
    <w:p>
      <w:pPr>
        <w:pStyle w:val="Heading1"/>
      </w:pPr>
      <w:r>
        <w:rPr>
          <w:rFonts w:ascii="Arial" w:hAnsi="Arial"/>
          <w:color w:val="000000"/>
        </w:rPr>
        <w:t>7.5 Closing Remarks</w:t>
      </w:r>
    </w:p>
    <w:p>
      <w:pPr>
        <w:spacing w:after="120"/>
      </w:pPr>
      <w:r>
        <w:rPr>
          <w:rFonts w:ascii="Arial" w:hAnsi="Arial"/>
          <w:b w:val="0"/>
          <w:i w:val="0"/>
          <w:sz w:val="22"/>
        </w:rPr>
        <w:t>The thesis began with a question that motivated both its academic positioning and its practical orientation: whether machine learning-driven demand forecasting, integrated with classical inventory policy theory, can produce operationally meaningful cost reductions in retail environments where small and medium-sized enterprises must compete with the analytics infrastructure of larger competitors. The answer that has emerged from the empirical work is nuanced and conditional: on the M5 SKU-daily test window evaluated here, when inventory outcomes are measured by direct simulation rather than inferred analytically, machine learning forecasting alone yields modest accuracy improvement and the quantile-based safety-stock reformulation does not lower inventory cost — because the baseline (R, s, S) policy already meets demand in full and the additional buffer protects against stockouts that do not occur. The contribution is therefore not a quoted cost saving but a quantified boundary: ML forecasting and distributional safety stock affect inventory outcomes when, and only when, the baseline policy is exposed to genuine stockout risk.</w:t>
      </w:r>
    </w:p>
    <w:p>
      <w:pPr>
        <w:spacing w:after="120"/>
      </w:pPr>
      <w:r>
        <w:rPr>
          <w:rFonts w:ascii="Arial" w:hAnsi="Arial"/>
          <w:b w:val="0"/>
          <w:i w:val="0"/>
          <w:sz w:val="22"/>
        </w:rPr>
        <w:t>This reframes the operational case for ML in retail inventory management. The conventional argument — that better forecasts produce better inventory decisions through improved point-forecast accuracy — is empirically conditional at the granularity at which inventory decisions are actually made. The stronger argument, supported by the data, is that the value of ML forecasting in retail inventory management is realised at the intersection of probabilistic forecasting and inventory-formulation refinement, but only in demand regimes where the baseline policy is not already adequate. The quantile model is the bridge between forecasting and inventory; the simulation engine is the diagnostic that determines whether the bridge is worth crossing in any particular setting.</w:t>
      </w:r>
    </w:p>
    <w:p>
      <w:pPr>
        <w:spacing w:after="120"/>
      </w:pPr>
      <w:r>
        <w:rPr>
          <w:rFonts w:ascii="Arial" w:hAnsi="Arial"/>
          <w:b w:val="0"/>
          <w:i w:val="0"/>
          <w:sz w:val="22"/>
        </w:rPr>
        <w:t>For the small and medium-sized retail sector specifically, the practical implication is qualified but actionable. The framework demonstrated in this thesis is implementable with free and open-source tooling on a standard laptop, requires only the data that off-the-shelf point-of-sale systems already produce, and is delivered with a pre-investment simulation diagnostic that the SME can run on its own data before committing further resource. For SMEs whose existing policy meets demand in full, the diagnostic will indicate that the more complex ML-quantile pipeline is unlikely to lower inventory cost and that the investment is better directed elsewhere. For SMEs whose existing policy faces genuine stockout risk — the regime in which the prior literature's cost-reduction benchmarks were obtained — the diagnostic will indicate that the framework is likely to pay off, and the dashboard supports the operational what-if analysis that follows.</w:t>
      </w:r>
    </w:p>
    <w:p>
      <w:pPr>
        <w:spacing w:after="120"/>
      </w:pPr>
      <w:r>
        <w:rPr>
          <w:rFonts w:ascii="Arial" w:hAnsi="Arial"/>
          <w:b w:val="0"/>
          <w:i w:val="0"/>
          <w:sz w:val="22"/>
        </w:rPr>
        <w:t>The thesis has therefore addressed both the academic question — how should ML forecasting be integrated with inventory policy theory for intermittent retail demand — and the practical question — how should SMEs decide whether such integration is worth the investment for their specific demand regime. The answer to both, with the qualifications documented in Chapters 5 and 6, is that the value of ML in retail inventory management is regime-dependent rather than automatic, and that a measurement-based diagnostic is more useful than a general-purpose cost-reduction claim. Future work should extend the framework to live deployment, validate it in actual SME contexts where the baseline policy faces stockout risk, and test whether the cost ranking of the policies flips in those regimes as the §5.6 boundary condition predicts.</w:t>
      </w:r>
    </w:p>
    <w:p>
      <w:pPr>
        <w:spacing w:after="120"/>
      </w:pPr>
      <w:r>
        <w:rPr>
          <w:rFonts w:ascii="Arial" w:hAnsi="Arial"/>
          <w:b w:val="0"/>
          <w:i w:val="0"/>
          <w:sz w:val="22"/>
        </w:rPr>
        <w:t>The wider research programme to which this thesis contributes — the operational integration of probabilistic machine learning with classical inventory theory — sits at the intersection of two mature literatures (demand forecasting and inventory optimisation) that have, for historical reasons, evolved largely in parallel. The opportunity to close the gap between them, both academically and operationally, is significant. The thesis offers one concrete step in that direction, in the specific context of small and medium-sized retail. The framework, the methodology, the simulation engine, and the empirical findings — including the disconfirmation finding — are delivered in a form intended to support both academic extension and operational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