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1607" w14:textId="77777777" w:rsidR="000B7FCE" w:rsidRDefault="00000000">
      <w:pPr>
        <w:spacing w:after="120"/>
      </w:pPr>
      <w:r>
        <w:rPr>
          <w:b/>
          <w:sz w:val="32"/>
        </w:rPr>
        <w:t>Inventory Simulation Results — Real Data</w:t>
      </w:r>
    </w:p>
    <w:p w14:paraId="6FC4E368" w14:textId="77777777" w:rsidR="000B7FCE" w:rsidRDefault="00000000">
      <w:pPr>
        <w:spacing w:after="360"/>
      </w:pPr>
      <w:r>
        <w:rPr>
          <w:i/>
        </w:rPr>
        <w:t>Forward (R, s, S) simulation on the M5 stratified subsample, replacing the analytical assumed-service-level formulation</w:t>
      </w:r>
    </w:p>
    <w:p w14:paraId="6F54F6F4" w14:textId="274D05E8" w:rsidR="000B7FCE" w:rsidRDefault="00000000">
      <w:pPr>
        <w:spacing w:after="120"/>
      </w:pPr>
      <w:r>
        <w:t xml:space="preserve">Hi </w:t>
      </w:r>
      <w:r w:rsidR="00CC27FF">
        <w:t>Prof,</w:t>
      </w:r>
    </w:p>
    <w:p w14:paraId="2992D751" w14:textId="77777777" w:rsidR="000B7FCE" w:rsidRDefault="00000000">
      <w:pPr>
        <w:spacing w:after="120"/>
      </w:pPr>
      <w:r>
        <w:t>I ran the simulation with load_real_</w:t>
      </w:r>
      <w:proofErr w:type="gramStart"/>
      <w:r>
        <w:t>dataset(</w:t>
      </w:r>
      <w:proofErr w:type="gramEnd"/>
      <w:r>
        <w:t>) wired to the trained-pipeline artefacts (ensemble forecasts, Croston-SBA baseline, LightGBM quantile predictions, per-series prices). The script runs on the full 502-series stratified subsample over the 56-day test window (March–April 2016). Output below.</w:t>
      </w:r>
    </w:p>
    <w:p w14:paraId="015B0ED4" w14:textId="77777777" w:rsidR="000B7FCE" w:rsidRDefault="00000000">
      <w:pPr>
        <w:spacing w:before="200" w:after="80"/>
      </w:pPr>
      <w:r>
        <w:rPr>
          <w:b/>
        </w:rPr>
        <w:t>Central case — L = 14 days, m = 1.0, target SL = 95%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83"/>
        <w:gridCol w:w="1170"/>
        <w:gridCol w:w="1170"/>
        <w:gridCol w:w="1170"/>
        <w:gridCol w:w="1170"/>
        <w:gridCol w:w="1170"/>
        <w:gridCol w:w="1170"/>
        <w:gridCol w:w="1170"/>
      </w:tblGrid>
      <w:tr w:rsidR="000B7FCE" w14:paraId="1AE34324" w14:textId="77777777" w:rsidTr="000B7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shd w:val="clear" w:color="auto" w:fill="D5E8F0"/>
            <w:vAlign w:val="center"/>
          </w:tcPr>
          <w:p w14:paraId="1D548AAC" w14:textId="77777777" w:rsidR="000B7FCE" w:rsidRDefault="00000000">
            <w:r>
              <w:rPr>
                <w:sz w:val="20"/>
              </w:rPr>
              <w:t>Policy</w:t>
            </w:r>
          </w:p>
        </w:tc>
        <w:tc>
          <w:tcPr>
            <w:tcW w:w="1170" w:type="dxa"/>
            <w:shd w:val="clear" w:color="auto" w:fill="D5E8F0"/>
            <w:vAlign w:val="center"/>
          </w:tcPr>
          <w:p w14:paraId="4F58B00B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Realised SL</w:t>
            </w:r>
          </w:p>
        </w:tc>
        <w:tc>
          <w:tcPr>
            <w:tcW w:w="1170" w:type="dxa"/>
            <w:shd w:val="clear" w:color="auto" w:fill="D5E8F0"/>
            <w:vAlign w:val="center"/>
          </w:tcPr>
          <w:p w14:paraId="186666E2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SS (units)</w:t>
            </w:r>
          </w:p>
        </w:tc>
        <w:tc>
          <w:tcPr>
            <w:tcW w:w="1170" w:type="dxa"/>
            <w:shd w:val="clear" w:color="auto" w:fill="D5E8F0"/>
            <w:vAlign w:val="center"/>
          </w:tcPr>
          <w:p w14:paraId="2B85B5E8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HC ($)</w:t>
            </w:r>
          </w:p>
        </w:tc>
        <w:tc>
          <w:tcPr>
            <w:tcW w:w="1170" w:type="dxa"/>
            <w:shd w:val="clear" w:color="auto" w:fill="D5E8F0"/>
            <w:vAlign w:val="center"/>
          </w:tcPr>
          <w:p w14:paraId="43A05BE6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OC ($)</w:t>
            </w:r>
          </w:p>
        </w:tc>
        <w:tc>
          <w:tcPr>
            <w:tcW w:w="1170" w:type="dxa"/>
            <w:shd w:val="clear" w:color="auto" w:fill="D5E8F0"/>
            <w:vAlign w:val="center"/>
          </w:tcPr>
          <w:p w14:paraId="79F25F7E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 ($)</w:t>
            </w:r>
          </w:p>
        </w:tc>
        <w:tc>
          <w:tcPr>
            <w:tcW w:w="1170" w:type="dxa"/>
            <w:shd w:val="clear" w:color="auto" w:fill="D5E8F0"/>
            <w:vAlign w:val="center"/>
          </w:tcPr>
          <w:p w14:paraId="624655EA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Total ($)</w:t>
            </w:r>
          </w:p>
        </w:tc>
        <w:tc>
          <w:tcPr>
            <w:tcW w:w="1170" w:type="dxa"/>
            <w:shd w:val="clear" w:color="auto" w:fill="D5E8F0"/>
            <w:vAlign w:val="center"/>
          </w:tcPr>
          <w:p w14:paraId="3F5AD67D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vs Classical</w:t>
            </w:r>
          </w:p>
        </w:tc>
      </w:tr>
      <w:tr w:rsidR="000B7FCE" w14:paraId="56C889FC" w14:textId="77777777" w:rsidTr="000B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</w:tcPr>
          <w:p w14:paraId="1B938BBB" w14:textId="77777777" w:rsidR="000B7FCE" w:rsidRDefault="00000000">
            <w:r>
              <w:rPr>
                <w:sz w:val="20"/>
              </w:rPr>
              <w:t>Classical (Croston-SBA, Gaussian SS)</w:t>
            </w:r>
          </w:p>
        </w:tc>
        <w:tc>
          <w:tcPr>
            <w:tcW w:w="1170" w:type="dxa"/>
            <w:vAlign w:val="center"/>
          </w:tcPr>
          <w:p w14:paraId="06643BA3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100.0%</w:t>
            </w:r>
          </w:p>
        </w:tc>
        <w:tc>
          <w:tcPr>
            <w:tcW w:w="1170" w:type="dxa"/>
            <w:vAlign w:val="center"/>
          </w:tcPr>
          <w:p w14:paraId="4E508041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4,620</w:t>
            </w:r>
          </w:p>
        </w:tc>
        <w:tc>
          <w:tcPr>
            <w:tcW w:w="1170" w:type="dxa"/>
            <w:vAlign w:val="center"/>
          </w:tcPr>
          <w:p w14:paraId="0155259E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63,256</w:t>
            </w:r>
          </w:p>
        </w:tc>
        <w:tc>
          <w:tcPr>
            <w:tcW w:w="1170" w:type="dxa"/>
            <w:vAlign w:val="center"/>
          </w:tcPr>
          <w:p w14:paraId="3A90D65F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332</w:t>
            </w:r>
          </w:p>
        </w:tc>
        <w:tc>
          <w:tcPr>
            <w:tcW w:w="1170" w:type="dxa"/>
            <w:vAlign w:val="center"/>
          </w:tcPr>
          <w:p w14:paraId="617CC849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0B1C92A8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63,587</w:t>
            </w:r>
          </w:p>
        </w:tc>
        <w:tc>
          <w:tcPr>
            <w:tcW w:w="1170" w:type="dxa"/>
            <w:vAlign w:val="center"/>
          </w:tcPr>
          <w:p w14:paraId="6232ED5A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0B7FCE" w14:paraId="74EE1663" w14:textId="77777777" w:rsidTr="000B7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</w:tcPr>
          <w:p w14:paraId="66625ECA" w14:textId="77777777" w:rsidR="000B7FCE" w:rsidRDefault="00000000">
            <w:r>
              <w:rPr>
                <w:sz w:val="20"/>
              </w:rPr>
              <w:t>ML-Gaussian</w:t>
            </w:r>
          </w:p>
        </w:tc>
        <w:tc>
          <w:tcPr>
            <w:tcW w:w="1170" w:type="dxa"/>
            <w:vAlign w:val="center"/>
          </w:tcPr>
          <w:p w14:paraId="66DB47D8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100.0%</w:t>
            </w:r>
          </w:p>
        </w:tc>
        <w:tc>
          <w:tcPr>
            <w:tcW w:w="1170" w:type="dxa"/>
            <w:vAlign w:val="center"/>
          </w:tcPr>
          <w:p w14:paraId="056008DB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4,572</w:t>
            </w:r>
          </w:p>
        </w:tc>
        <w:tc>
          <w:tcPr>
            <w:tcW w:w="1170" w:type="dxa"/>
            <w:vAlign w:val="center"/>
          </w:tcPr>
          <w:p w14:paraId="504075CD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63,243</w:t>
            </w:r>
          </w:p>
        </w:tc>
        <w:tc>
          <w:tcPr>
            <w:tcW w:w="1170" w:type="dxa"/>
            <w:vAlign w:val="center"/>
          </w:tcPr>
          <w:p w14:paraId="53F414CF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332</w:t>
            </w:r>
          </w:p>
        </w:tc>
        <w:tc>
          <w:tcPr>
            <w:tcW w:w="1170" w:type="dxa"/>
            <w:vAlign w:val="center"/>
          </w:tcPr>
          <w:p w14:paraId="55CF3326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08EA0C81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63,575</w:t>
            </w:r>
          </w:p>
        </w:tc>
        <w:tc>
          <w:tcPr>
            <w:tcW w:w="1170" w:type="dxa"/>
            <w:vAlign w:val="center"/>
          </w:tcPr>
          <w:p w14:paraId="15EE6039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+0.0%</w:t>
            </w:r>
          </w:p>
        </w:tc>
      </w:tr>
      <w:tr w:rsidR="000B7FCE" w14:paraId="69F0626E" w14:textId="77777777" w:rsidTr="000B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</w:tcPr>
          <w:p w14:paraId="6CDDD032" w14:textId="77777777" w:rsidR="000B7FCE" w:rsidRDefault="00000000">
            <w:r>
              <w:rPr>
                <w:sz w:val="20"/>
              </w:rPr>
              <w:t>ML-Empirical-Quantile</w:t>
            </w:r>
          </w:p>
        </w:tc>
        <w:tc>
          <w:tcPr>
            <w:tcW w:w="1170" w:type="dxa"/>
            <w:vAlign w:val="center"/>
          </w:tcPr>
          <w:p w14:paraId="1488EE26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100.0%</w:t>
            </w:r>
          </w:p>
        </w:tc>
        <w:tc>
          <w:tcPr>
            <w:tcW w:w="1170" w:type="dxa"/>
            <w:vAlign w:val="center"/>
          </w:tcPr>
          <w:p w14:paraId="6424F581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6,287</w:t>
            </w:r>
          </w:p>
        </w:tc>
        <w:tc>
          <w:tcPr>
            <w:tcW w:w="1170" w:type="dxa"/>
            <w:vAlign w:val="center"/>
          </w:tcPr>
          <w:p w14:paraId="78EB3D90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64,241</w:t>
            </w:r>
          </w:p>
        </w:tc>
        <w:tc>
          <w:tcPr>
            <w:tcW w:w="1170" w:type="dxa"/>
            <w:vAlign w:val="center"/>
          </w:tcPr>
          <w:p w14:paraId="73A5A622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332</w:t>
            </w:r>
          </w:p>
        </w:tc>
        <w:tc>
          <w:tcPr>
            <w:tcW w:w="1170" w:type="dxa"/>
            <w:vAlign w:val="center"/>
          </w:tcPr>
          <w:p w14:paraId="34E36B0D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138E9F94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64,573</w:t>
            </w:r>
          </w:p>
        </w:tc>
        <w:tc>
          <w:tcPr>
            <w:tcW w:w="1170" w:type="dxa"/>
            <w:vAlign w:val="center"/>
          </w:tcPr>
          <w:p w14:paraId="618C99AD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−1.5%</w:t>
            </w:r>
          </w:p>
        </w:tc>
      </w:tr>
    </w:tbl>
    <w:p w14:paraId="45FCF4F8" w14:textId="77777777" w:rsidR="000B7FCE" w:rsidRDefault="00000000">
      <w:pPr>
        <w:spacing w:before="200" w:after="80"/>
      </w:pPr>
      <w:r>
        <w:rPr>
          <w:b/>
        </w:rPr>
        <w:t>Sensitivity to stockout multiplier m  (L = 14, target SL = 95%)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B7FCE" w14:paraId="76868A55" w14:textId="77777777" w:rsidTr="000B7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5E8F0"/>
            <w:vAlign w:val="center"/>
          </w:tcPr>
          <w:p w14:paraId="144EB439" w14:textId="77777777" w:rsidR="000B7FCE" w:rsidRDefault="00000000">
            <w:r>
              <w:rPr>
                <w:sz w:val="20"/>
              </w:rPr>
              <w:t>m</w:t>
            </w:r>
          </w:p>
        </w:tc>
        <w:tc>
          <w:tcPr>
            <w:tcW w:w="2340" w:type="dxa"/>
            <w:shd w:val="clear" w:color="auto" w:fill="D5E8F0"/>
            <w:vAlign w:val="center"/>
          </w:tcPr>
          <w:p w14:paraId="2A64B84A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Interpretation</w:t>
            </w:r>
          </w:p>
        </w:tc>
        <w:tc>
          <w:tcPr>
            <w:tcW w:w="2340" w:type="dxa"/>
            <w:shd w:val="clear" w:color="auto" w:fill="D5E8F0"/>
            <w:vAlign w:val="center"/>
          </w:tcPr>
          <w:p w14:paraId="74FEB098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ML-Quantile vs Classical</w:t>
            </w:r>
          </w:p>
        </w:tc>
        <w:tc>
          <w:tcPr>
            <w:tcW w:w="2340" w:type="dxa"/>
            <w:shd w:val="clear" w:color="auto" w:fill="D5E8F0"/>
            <w:vAlign w:val="center"/>
          </w:tcPr>
          <w:p w14:paraId="69C99C85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ML-Gaussian vs Classical</w:t>
            </w:r>
          </w:p>
        </w:tc>
      </w:tr>
      <w:tr w:rsidR="000B7FCE" w14:paraId="26903A58" w14:textId="77777777" w:rsidTr="000B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2275CDED" w14:textId="77777777" w:rsidR="000B7FCE" w:rsidRDefault="00000000">
            <w:r>
              <w:rPr>
                <w:sz w:val="20"/>
              </w:rPr>
              <w:t>0.4</w:t>
            </w:r>
          </w:p>
        </w:tc>
        <w:tc>
          <w:tcPr>
            <w:tcW w:w="2340" w:type="dxa"/>
            <w:vAlign w:val="center"/>
          </w:tcPr>
          <w:p w14:paraId="1C69B7EB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lost margin only (conservative)</w:t>
            </w:r>
          </w:p>
        </w:tc>
        <w:tc>
          <w:tcPr>
            <w:tcW w:w="2340" w:type="dxa"/>
            <w:vAlign w:val="center"/>
          </w:tcPr>
          <w:p w14:paraId="1EC17C67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−1.5%</w:t>
            </w:r>
          </w:p>
        </w:tc>
        <w:tc>
          <w:tcPr>
            <w:tcW w:w="2340" w:type="dxa"/>
            <w:vAlign w:val="center"/>
          </w:tcPr>
          <w:p w14:paraId="7FCE4093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0.0%</w:t>
            </w:r>
          </w:p>
        </w:tc>
      </w:tr>
      <w:tr w:rsidR="000B7FCE" w14:paraId="7D29D10F" w14:textId="77777777" w:rsidTr="000B7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061B0DE0" w14:textId="77777777" w:rsidR="000B7FCE" w:rsidRDefault="00000000">
            <w:r>
              <w:rPr>
                <w:sz w:val="20"/>
              </w:rPr>
              <w:t>1.0</w:t>
            </w:r>
          </w:p>
        </w:tc>
        <w:tc>
          <w:tcPr>
            <w:tcW w:w="2340" w:type="dxa"/>
            <w:vAlign w:val="center"/>
          </w:tcPr>
          <w:p w14:paraId="56EFFDED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full unit cost (baseline)</w:t>
            </w:r>
          </w:p>
        </w:tc>
        <w:tc>
          <w:tcPr>
            <w:tcW w:w="2340" w:type="dxa"/>
            <w:vAlign w:val="center"/>
          </w:tcPr>
          <w:p w14:paraId="4FED45BD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−1.5%</w:t>
            </w:r>
          </w:p>
        </w:tc>
        <w:tc>
          <w:tcPr>
            <w:tcW w:w="2340" w:type="dxa"/>
            <w:vAlign w:val="center"/>
          </w:tcPr>
          <w:p w14:paraId="5C9938ED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0.0%</w:t>
            </w:r>
          </w:p>
        </w:tc>
      </w:tr>
      <w:tr w:rsidR="000B7FCE" w14:paraId="58504053" w14:textId="77777777" w:rsidTr="000B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48461B0B" w14:textId="77777777" w:rsidR="000B7FCE" w:rsidRDefault="00000000">
            <w:r>
              <w:rPr>
                <w:sz w:val="20"/>
              </w:rPr>
              <w:t>2.0</w:t>
            </w:r>
          </w:p>
        </w:tc>
        <w:tc>
          <w:tcPr>
            <w:tcW w:w="2340" w:type="dxa"/>
            <w:vAlign w:val="center"/>
          </w:tcPr>
          <w:p w14:paraId="448852BB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unit cost + reputation (aggressive)</w:t>
            </w:r>
          </w:p>
        </w:tc>
        <w:tc>
          <w:tcPr>
            <w:tcW w:w="2340" w:type="dxa"/>
            <w:vAlign w:val="center"/>
          </w:tcPr>
          <w:p w14:paraId="3CDAB2B1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−1.5%</w:t>
            </w:r>
          </w:p>
        </w:tc>
        <w:tc>
          <w:tcPr>
            <w:tcW w:w="2340" w:type="dxa"/>
            <w:vAlign w:val="center"/>
          </w:tcPr>
          <w:p w14:paraId="2D05F337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0.0%</w:t>
            </w:r>
          </w:p>
        </w:tc>
      </w:tr>
    </w:tbl>
    <w:p w14:paraId="19C08499" w14:textId="77777777" w:rsidR="000B7FCE" w:rsidRDefault="00000000">
      <w:pPr>
        <w:spacing w:after="120"/>
      </w:pPr>
      <w:r>
        <w:rPr>
          <w:i/>
          <w:sz w:val="20"/>
        </w:rPr>
        <w:t>The reduction is invariant to m because no policy stocks out — SC is zero across the board, so the multiplier never engages.</w:t>
      </w:r>
    </w:p>
    <w:p w14:paraId="09ABB043" w14:textId="77777777" w:rsidR="000B7FCE" w:rsidRDefault="00000000">
      <w:pPr>
        <w:spacing w:before="200" w:after="80"/>
      </w:pPr>
      <w:r>
        <w:rPr>
          <w:b/>
        </w:rPr>
        <w:t>Sensitivity to lead time L  (m = 1.0, target SL = 95%)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B7FCE" w14:paraId="1AE1B6CD" w14:textId="77777777" w:rsidTr="000B7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5E8F0"/>
            <w:vAlign w:val="center"/>
          </w:tcPr>
          <w:p w14:paraId="1A95A32E" w14:textId="77777777" w:rsidR="000B7FCE" w:rsidRDefault="00000000">
            <w:r>
              <w:rPr>
                <w:sz w:val="20"/>
              </w:rPr>
              <w:t>L (days)</w:t>
            </w:r>
          </w:p>
        </w:tc>
        <w:tc>
          <w:tcPr>
            <w:tcW w:w="2340" w:type="dxa"/>
            <w:shd w:val="clear" w:color="auto" w:fill="D5E8F0"/>
            <w:vAlign w:val="center"/>
          </w:tcPr>
          <w:p w14:paraId="79A1CEF5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Classical TC ($)</w:t>
            </w:r>
          </w:p>
        </w:tc>
        <w:tc>
          <w:tcPr>
            <w:tcW w:w="2340" w:type="dxa"/>
            <w:shd w:val="clear" w:color="auto" w:fill="D5E8F0"/>
            <w:vAlign w:val="center"/>
          </w:tcPr>
          <w:p w14:paraId="4F8D967F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ML-Quantile TC ($)</w:t>
            </w:r>
          </w:p>
        </w:tc>
        <w:tc>
          <w:tcPr>
            <w:tcW w:w="2340" w:type="dxa"/>
            <w:shd w:val="clear" w:color="auto" w:fill="D5E8F0"/>
            <w:vAlign w:val="center"/>
          </w:tcPr>
          <w:p w14:paraId="05D36BF8" w14:textId="77777777" w:rsidR="000B7F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Reduction</w:t>
            </w:r>
          </w:p>
        </w:tc>
      </w:tr>
      <w:tr w:rsidR="000B7FCE" w14:paraId="7D4F8051" w14:textId="77777777" w:rsidTr="000B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602EA8AB" w14:textId="77777777" w:rsidR="000B7FCE" w:rsidRDefault="00000000">
            <w:r>
              <w:rPr>
                <w:sz w:val="20"/>
              </w:rPr>
              <w:t>7</w:t>
            </w:r>
          </w:p>
        </w:tc>
        <w:tc>
          <w:tcPr>
            <w:tcW w:w="2340" w:type="dxa"/>
            <w:vAlign w:val="center"/>
          </w:tcPr>
          <w:p w14:paraId="79098BEC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61,020</w:t>
            </w:r>
          </w:p>
        </w:tc>
        <w:tc>
          <w:tcPr>
            <w:tcW w:w="2340" w:type="dxa"/>
            <w:vAlign w:val="center"/>
          </w:tcPr>
          <w:p w14:paraId="7E49DAD6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61,825</w:t>
            </w:r>
          </w:p>
        </w:tc>
        <w:tc>
          <w:tcPr>
            <w:tcW w:w="2340" w:type="dxa"/>
            <w:vAlign w:val="center"/>
          </w:tcPr>
          <w:p w14:paraId="725D388D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−1.3%</w:t>
            </w:r>
          </w:p>
        </w:tc>
      </w:tr>
      <w:tr w:rsidR="000B7FCE" w14:paraId="6F2507C4" w14:textId="77777777" w:rsidTr="000B7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6DFA9072" w14:textId="77777777" w:rsidR="000B7FCE" w:rsidRDefault="00000000">
            <w:r>
              <w:rPr>
                <w:sz w:val="20"/>
              </w:rPr>
              <w:t>10</w:t>
            </w:r>
          </w:p>
        </w:tc>
        <w:tc>
          <w:tcPr>
            <w:tcW w:w="2340" w:type="dxa"/>
            <w:vAlign w:val="center"/>
          </w:tcPr>
          <w:p w14:paraId="40844A58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62,125</w:t>
            </w:r>
          </w:p>
        </w:tc>
        <w:tc>
          <w:tcPr>
            <w:tcW w:w="2340" w:type="dxa"/>
            <w:vAlign w:val="center"/>
          </w:tcPr>
          <w:p w14:paraId="2E24DF39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63,011</w:t>
            </w:r>
          </w:p>
        </w:tc>
        <w:tc>
          <w:tcPr>
            <w:tcW w:w="2340" w:type="dxa"/>
            <w:vAlign w:val="center"/>
          </w:tcPr>
          <w:p w14:paraId="57944B99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−1.4%</w:t>
            </w:r>
          </w:p>
        </w:tc>
      </w:tr>
      <w:tr w:rsidR="000B7FCE" w14:paraId="42395532" w14:textId="77777777" w:rsidTr="000B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7AA7EC93" w14:textId="77777777" w:rsidR="000B7FCE" w:rsidRDefault="00000000">
            <w:r>
              <w:rPr>
                <w:sz w:val="20"/>
              </w:rPr>
              <w:t>14</w:t>
            </w:r>
          </w:p>
        </w:tc>
        <w:tc>
          <w:tcPr>
            <w:tcW w:w="2340" w:type="dxa"/>
            <w:vAlign w:val="center"/>
          </w:tcPr>
          <w:p w14:paraId="172BC5B5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63,587</w:t>
            </w:r>
          </w:p>
        </w:tc>
        <w:tc>
          <w:tcPr>
            <w:tcW w:w="2340" w:type="dxa"/>
            <w:vAlign w:val="center"/>
          </w:tcPr>
          <w:p w14:paraId="054C5F70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64,573</w:t>
            </w:r>
          </w:p>
        </w:tc>
        <w:tc>
          <w:tcPr>
            <w:tcW w:w="2340" w:type="dxa"/>
            <w:vAlign w:val="center"/>
          </w:tcPr>
          <w:p w14:paraId="5DF60561" w14:textId="77777777" w:rsidR="000B7F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−1.5%</w:t>
            </w:r>
          </w:p>
        </w:tc>
      </w:tr>
      <w:tr w:rsidR="000B7FCE" w14:paraId="28B7602B" w14:textId="77777777" w:rsidTr="000B7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2C863BC7" w14:textId="77777777" w:rsidR="000B7FCE" w:rsidRDefault="00000000">
            <w:r>
              <w:rPr>
                <w:sz w:val="20"/>
              </w:rPr>
              <w:t>21</w:t>
            </w:r>
          </w:p>
        </w:tc>
        <w:tc>
          <w:tcPr>
            <w:tcW w:w="2340" w:type="dxa"/>
            <w:vAlign w:val="center"/>
          </w:tcPr>
          <w:p w14:paraId="34B00840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66,184</w:t>
            </w:r>
          </w:p>
        </w:tc>
        <w:tc>
          <w:tcPr>
            <w:tcW w:w="2340" w:type="dxa"/>
            <w:vAlign w:val="center"/>
          </w:tcPr>
          <w:p w14:paraId="6039599D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67,321</w:t>
            </w:r>
          </w:p>
        </w:tc>
        <w:tc>
          <w:tcPr>
            <w:tcW w:w="2340" w:type="dxa"/>
            <w:vAlign w:val="center"/>
          </w:tcPr>
          <w:p w14:paraId="132FB820" w14:textId="77777777" w:rsidR="000B7F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−1.7%</w:t>
            </w:r>
          </w:p>
        </w:tc>
      </w:tr>
    </w:tbl>
    <w:p w14:paraId="1DF12279" w14:textId="77777777" w:rsidR="000B7FCE" w:rsidRDefault="000B7FCE">
      <w:pPr>
        <w:spacing w:after="120"/>
      </w:pPr>
    </w:p>
    <w:p w14:paraId="46C42F0F" w14:textId="77777777" w:rsidR="000B7FCE" w:rsidRDefault="00000000">
      <w:pPr>
        <w:spacing w:after="80"/>
      </w:pPr>
      <w:r>
        <w:rPr>
          <w:b/>
          <w:sz w:val="24"/>
        </w:rPr>
        <w:t>Reading this</w:t>
      </w:r>
    </w:p>
    <w:p w14:paraId="6F4E27A4" w14:textId="77777777" w:rsidR="000B7FCE" w:rsidRDefault="00000000">
      <w:pPr>
        <w:spacing w:after="120"/>
      </w:pPr>
      <w:r>
        <w:t>Realised service level is 100% for all three policies — measured by counting unmet demand day-by-day, not assigned. The thesis's prior assumption of 83% (Gaussian) / 95% (Quantile) does not hold on the test window: there are essentially no stockouts.</w:t>
      </w:r>
    </w:p>
    <w:p w14:paraId="2453AC93" w14:textId="77777777" w:rsidR="000B7FCE" w:rsidRDefault="00000000">
      <w:pPr>
        <w:spacing w:after="120"/>
      </w:pPr>
      <w:r>
        <w:lastRenderedPageBreak/>
        <w:t>The 21% reduction collapses to ±0–2%. ML-Gaussian moves total cost by 0.0%, and ML-Empirical-Quantile actually increases cost by ~1.5% because it allocates ~36% more safety stock than the Gaussian policy without preventing any additional stockouts.</w:t>
      </w:r>
    </w:p>
    <w:p w14:paraId="39104FC1" w14:textId="77777777" w:rsidR="000B7FCE" w:rsidRDefault="00000000">
      <w:pPr>
        <w:spacing w:after="120"/>
      </w:pPr>
      <w:r>
        <w:t>Your secondary finding is confirmed: better point forecasts barely move inventory cost under the standard analytical (R, s, S) policy on SKU-daily M5. The quantile-based safety-stock reformulation, sound in principle, does not pay off when the policy is already well-served by point forecasts.</w:t>
      </w:r>
    </w:p>
    <w:p w14:paraId="41D07C79" w14:textId="77777777" w:rsidR="000B7FCE" w:rsidRDefault="000B7FCE">
      <w:pPr>
        <w:spacing w:after="120"/>
      </w:pPr>
    </w:p>
    <w:p w14:paraId="7644143B" w14:textId="77777777" w:rsidR="000B7FCE" w:rsidRDefault="00000000">
      <w:pPr>
        <w:spacing w:after="80"/>
      </w:pPr>
      <w:r>
        <w:rPr>
          <w:b/>
          <w:sz w:val="24"/>
        </w:rPr>
        <w:t>Next steps</w:t>
      </w:r>
    </w:p>
    <w:p w14:paraId="2CC91951" w14:textId="77777777" w:rsidR="000B7FCE" w:rsidRDefault="00000000">
      <w:pPr>
        <w:spacing w:after="120"/>
      </w:pPr>
      <w:r>
        <w:t>I will rewrite Chapter 5 around this finding as a disconfirmation result — explicitly stating that the Chapter 1 5–15% inventory cost target was not achieved, and reframing the contribution as bounding the conditions under which ML forecasting affects inventory outcomes. Chapter 4 (forecast accuracy, SHAP, fairness analysis) is unaffected. The full simulation grid (36 rows covering all L × m combinations) is saved to data/processed/simulation_results.csv for inclusion in the appendix.</w:t>
      </w:r>
    </w:p>
    <w:p w14:paraId="39DCF1E6" w14:textId="77777777" w:rsidR="000B7FCE" w:rsidRDefault="00000000">
      <w:pPr>
        <w:spacing w:after="120"/>
      </w:pPr>
      <w:r>
        <w:t>Let me know if you want me to proceed with the rewrite, or whether you'd like to discuss the framing first.</w:t>
      </w:r>
    </w:p>
    <w:p w14:paraId="6C38C43E" w14:textId="77777777" w:rsidR="000B7FCE" w:rsidRDefault="000B7FCE">
      <w:pPr>
        <w:spacing w:after="120"/>
      </w:pPr>
    </w:p>
    <w:p w14:paraId="58CD677F" w14:textId="77777777" w:rsidR="000B7FCE" w:rsidRDefault="00000000">
      <w:pPr>
        <w:spacing w:after="120"/>
      </w:pPr>
      <w:r>
        <w:t>Best regards,</w:t>
      </w:r>
    </w:p>
    <w:p w14:paraId="5B085F68" w14:textId="425DBAC8" w:rsidR="000B7FCE" w:rsidRDefault="00CC27FF">
      <w:pPr>
        <w:spacing w:after="120"/>
      </w:pPr>
      <w:r>
        <w:t>The Team.</w:t>
      </w:r>
    </w:p>
    <w:sectPr w:rsidR="000B7F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1059">
    <w:abstractNumId w:val="8"/>
  </w:num>
  <w:num w:numId="2" w16cid:durableId="60953451">
    <w:abstractNumId w:val="6"/>
  </w:num>
  <w:num w:numId="3" w16cid:durableId="272906563">
    <w:abstractNumId w:val="5"/>
  </w:num>
  <w:num w:numId="4" w16cid:durableId="1272861143">
    <w:abstractNumId w:val="4"/>
  </w:num>
  <w:num w:numId="5" w16cid:durableId="2019116486">
    <w:abstractNumId w:val="7"/>
  </w:num>
  <w:num w:numId="6" w16cid:durableId="1379091963">
    <w:abstractNumId w:val="3"/>
  </w:num>
  <w:num w:numId="7" w16cid:durableId="219365744">
    <w:abstractNumId w:val="2"/>
  </w:num>
  <w:num w:numId="8" w16cid:durableId="477890337">
    <w:abstractNumId w:val="1"/>
  </w:num>
  <w:num w:numId="9" w16cid:durableId="38144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FCE"/>
    <w:rsid w:val="0015074B"/>
    <w:rsid w:val="0029639D"/>
    <w:rsid w:val="00326F90"/>
    <w:rsid w:val="00AA1D8D"/>
    <w:rsid w:val="00B47730"/>
    <w:rsid w:val="00C65F7F"/>
    <w:rsid w:val="00CB0664"/>
    <w:rsid w:val="00CC2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59172"/>
  <w14:defaultImageDpi w14:val="300"/>
  <w15:docId w15:val="{ED6EE7A2-C31D-7C4B-9CCF-4A51D527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436</Words>
  <Characters>2399</Characters>
  <Application>Microsoft Office Word</Application>
  <DocSecurity>0</DocSecurity>
  <Lines>119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Desmond Aziega</cp:lastModifiedBy>
  <cp:revision>2</cp:revision>
  <dcterms:created xsi:type="dcterms:W3CDTF">2013-12-23T23:15:00Z</dcterms:created>
  <dcterms:modified xsi:type="dcterms:W3CDTF">2026-06-20T10:57:00Z</dcterms:modified>
  <cp:category/>
</cp:coreProperties>
</file>