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6"/>
        </w:rPr>
        <w:t>Defense Q&amp;A Card</w:t>
      </w:r>
    </w:p>
    <w:p>
      <w:pPr>
        <w:spacing w:after="400"/>
        <w:jc w:val="center"/>
      </w:pPr>
      <w:r>
        <w:rPr>
          <w:rFonts w:ascii="Times New Roman" w:hAnsi="Times New Roman"/>
          <w:i/>
          <w:sz w:val="22"/>
        </w:rPr>
        <w:t>Two questions with no slide fix — answers to have ready verbatim</w:t>
      </w:r>
    </w:p>
    <w:p>
      <w:pPr>
        <w:spacing w:before="320" w:after="120"/>
      </w:pPr>
      <w:r>
        <w:rPr>
          <w:rFonts w:ascii="Times New Roman" w:hAnsi="Times New Roman"/>
          <w:b/>
          <w:color w:val="1E2761"/>
          <w:sz w:val="26"/>
        </w:rPr>
        <w:t>Q1. You report zero stockouts across roughly 28,000 series-days. How do I know that isn't an artifact of how the simulation was initialised rather than a genuine finding?</w:t>
      </w:r>
    </w:p>
    <w:p>
      <w:pPr>
        <w:spacing w:line="336" w:lineRule="auto"/>
        <w:ind w:left="280"/>
        <w:jc w:val="both"/>
      </w:pPr>
      <w:r>
        <w:rPr>
          <w:rFonts w:ascii="Times New Roman" w:hAnsi="Times New Roman"/>
          <w:b/>
          <w:sz w:val="24"/>
        </w:rPr>
        <w:t xml:space="preserve">A.  </w:t>
      </w:r>
      <w:r>
        <w:rPr>
          <w:rFonts w:ascii="Times New Roman" w:hAnsi="Times New Roman"/>
          <w:sz w:val="24"/>
        </w:rPr>
        <w:t>That's a fair challenge, and I want to be precise about it. The baseline simulation starts each series fully stocked, at the order-up-to level — that is a disclosed modelling choice representing a policy already in steady-state operation, not a hidden assumption. The falsification suite in Section 5.3 directly tests what happens when that assumption is removed: one stress condition starts every series at zero on-hand inventory instead of fully stocked. Under that condition, realised service level drops to 74 percent and stockout cost rises to over $124,000 — so the simulation engine demonstrably can and does register stockouts from a cold start. That is strong evidence the 100 percent baseline result reflects the policy genuinely meeting demand over the 56-day window, not an engine that cannot fail. What it doesn't rule out is that a fully-stocked start is a favourable condition in general — and that is a fair limitation to name: the finding describes a policy already in steady state, not a cold-launch scenario.</w:t>
      </w:r>
    </w:p>
    <w:p>
      <w:pPr>
        <w:spacing w:before="320" w:after="120"/>
      </w:pPr>
      <w:r>
        <w:rPr>
          <w:rFonts w:ascii="Times New Roman" w:hAnsi="Times New Roman"/>
          <w:b/>
          <w:color w:val="1E2761"/>
          <w:sz w:val="26"/>
        </w:rPr>
        <w:t>Q2. Your headline numbers are a 4.5 percent MAE improvement and a 1.5 percent cost difference. With 502 series, how do I know these are real effects and not just noise?</w:t>
      </w:r>
    </w:p>
    <w:p>
      <w:pPr>
        <w:spacing w:line="336" w:lineRule="auto"/>
        <w:ind w:left="280"/>
        <w:jc w:val="both"/>
      </w:pPr>
      <w:r>
        <w:rPr>
          <w:rFonts w:ascii="Times New Roman" w:hAnsi="Times New Roman"/>
          <w:b/>
          <w:sz w:val="24"/>
        </w:rPr>
        <w:t xml:space="preserve">A.  </w:t>
      </w:r>
      <w:r>
        <w:rPr>
          <w:rFonts w:ascii="Times New Roman" w:hAnsi="Times New Roman"/>
          <w:sz w:val="24"/>
        </w:rPr>
        <w:t>I don't have a formal significance test to point to — no confidence intervals or hypothesis tests are reported in the thesis, and that is a genuine limitation I would name rather than paper over. But the two numbers carry different weight. The 1.5 percent cost difference isn't really the finding — the mechanism is: with zero stockouts across all three policies, there is structurally no stockout cost for any safety-stock formula to save, so holding cost, which is nearly identical across policies by construction, dominates the total. That is a mechanical result, not a point estimate that needs a p-value to be believable. The 4.5 percent MAE improvement is more properly a point estimate, and I would accept that formal variance reporting across the 502 series is a legitimate next step — I would expect the effect to hold directionally, given how consistently the ensemble outperforms across the full twelve-model comparison in Table 4.7, but I cannot quote a confidence interval today.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