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1E2761"/>
          <w:sz w:val="48"/>
        </w:rPr>
        <w:t>Defense Slide Walkthrough Guide</w:t>
      </w:r>
    </w:p>
    <w:p>
      <w:pPr>
        <w:spacing w:after="400"/>
        <w:jc w:val="center"/>
      </w:pPr>
      <w:r>
        <w:rPr>
          <w:rFonts w:ascii="Times New Roman" w:hAnsi="Times New Roman"/>
          <w:i/>
          <w:sz w:val="26"/>
        </w:rPr>
        <w:t>A slide-by-slide cross-reference to the thesis document</w:t>
      </w:r>
    </w:p>
    <w:p>
      <w:pPr>
        <w:spacing w:line="336" w:lineRule="auto"/>
        <w:jc w:val="both"/>
      </w:pPr>
      <w:r>
        <w:rPr>
          <w:sz w:val="22"/>
        </w:rPr>
        <w:t>This guide pairs each of the 25 defense slides with the exact chapter, section, table, or figure in TFM_Final.docx it is drawn from, plus a short note on what to actually re-read before the defense if that slide comes up. It is a study companion, not a script — the in-deck speaker notes (visible in PowerPoint's Notes pane) handle delivery and anticipated questions; this document handles “where did this number come from, and what else does that section say.” Page numbers reflect TFM_Final.docx as of this guide's creation and will drift if the document is edited further — if in doubt, navigate by section number (e.g. §5.4), which is stable regardless of pagination.</w:t>
      </w:r>
    </w:p>
    <w:p>
      <w:r>
        <w:br w:type="page"/>
      </w:r>
    </w:p>
    <w:p>
      <w:pPr>
        <w:spacing w:before="80" w:after="40"/>
      </w:pPr>
      <w:r>
        <w:rPr>
          <w:rFonts w:ascii="Times New Roman" w:hAnsi="Times New Roman"/>
          <w:b/>
          <w:color w:val="1E2761"/>
          <w:sz w:val="28"/>
        </w:rPr>
        <w:t>Slide 1 — Title</w:t>
      </w:r>
    </w:p>
    <w:p>
      <w:pPr>
        <w:spacing w:after="60"/>
      </w:pPr>
      <w:r>
        <w:rPr>
          <w:rFonts w:ascii="Times New Roman" w:hAnsi="Times New Roman"/>
          <w:b/>
          <w:color w:val="1C9C8E"/>
          <w:sz w:val="21"/>
        </w:rPr>
        <w:t xml:space="preserve">On the slide:  </w:t>
      </w:r>
      <w:r>
        <w:rPr>
          <w:rFonts w:ascii="Times New Roman" w:hAnsi="Times New Roman"/>
          <w:sz w:val="21"/>
        </w:rPr>
        <w:t>Thesis title, authors, supervisor, framing subtitle.</w:t>
      </w:r>
    </w:p>
    <w:p>
      <w:pPr>
        <w:spacing w:after="60"/>
      </w:pPr>
      <w:r>
        <w:rPr>
          <w:rFonts w:ascii="Times New Roman" w:hAnsi="Times New Roman"/>
          <w:b/>
          <w:color w:val="1C9C8E"/>
          <w:sz w:val="21"/>
        </w:rPr>
        <w:t xml:space="preserve">Thesis reference:  </w:t>
      </w:r>
      <w:r>
        <w:rPr>
          <w:rFonts w:ascii="Times New Roman" w:hAnsi="Times New Roman"/>
          <w:i/>
          <w:sz w:val="21"/>
        </w:rPr>
        <w:t>Title page (p.1); Abstract (p.3) and Resumen (p.4) for the exact framing language.</w:t>
      </w:r>
    </w:p>
    <w:p>
      <w:pPr>
        <w:spacing w:after="280"/>
        <w:jc w:val="both"/>
      </w:pPr>
      <w:r>
        <w:rPr>
          <w:rFonts w:ascii="Times New Roman" w:hAnsi="Times New Roman"/>
          <w:b/>
          <w:color w:val="1C9C8E"/>
          <w:sz w:val="21"/>
        </w:rPr>
        <w:t xml:space="preserve">What to review:  </w:t>
      </w:r>
      <w:r>
        <w:rPr>
          <w:rFonts w:ascii="Times New Roman" w:hAnsi="Times New Roman"/>
          <w:sz w:val="21"/>
        </w:rPr>
        <w:t>Just confirm the subtitle phrasing matches the Abstract's opening claim verbatim — the committee will have read the Abstract closely before you speak.</w:t>
      </w:r>
    </w:p>
    <w:p>
      <w:pPr>
        <w:spacing w:after="120"/>
      </w:pPr>
      <w:r>
        <w:rPr>
          <w:color w:val="CCCCCC"/>
          <w:sz w:val="12"/>
        </w:rPr>
        <w:t>————————————————————————————————————————</w:t>
      </w:r>
    </w:p>
    <w:p>
      <w:pPr>
        <w:spacing w:before="80" w:after="40"/>
      </w:pPr>
      <w:r>
        <w:rPr>
          <w:rFonts w:ascii="Times New Roman" w:hAnsi="Times New Roman"/>
          <w:b/>
          <w:color w:val="1E2761"/>
          <w:sz w:val="28"/>
        </w:rPr>
        <w:t>Slide 2 — Roadmap</w:t>
      </w:r>
    </w:p>
    <w:p>
      <w:pPr>
        <w:spacing w:after="60"/>
      </w:pPr>
      <w:r>
        <w:rPr>
          <w:rFonts w:ascii="Times New Roman" w:hAnsi="Times New Roman"/>
          <w:b/>
          <w:color w:val="1C9C8E"/>
          <w:sz w:val="21"/>
        </w:rPr>
        <w:t xml:space="preserve">On the slide:  </w:t>
      </w:r>
      <w:r>
        <w:rPr>
          <w:rFonts w:ascii="Times New Roman" w:hAnsi="Times New Roman"/>
          <w:sz w:val="21"/>
        </w:rPr>
        <w:t>Four-part agenda: business problem, methodology, results, recommendations.</w:t>
      </w:r>
    </w:p>
    <w:p>
      <w:pPr>
        <w:spacing w:after="60"/>
      </w:pPr>
      <w:r>
        <w:rPr>
          <w:rFonts w:ascii="Times New Roman" w:hAnsi="Times New Roman"/>
          <w:b/>
          <w:color w:val="1C9C8E"/>
          <w:sz w:val="21"/>
        </w:rPr>
        <w:t xml:space="preserve">Thesis reference:  </w:t>
      </w:r>
      <w:r>
        <w:rPr>
          <w:rFonts w:ascii="Times New Roman" w:hAnsi="Times New Roman"/>
          <w:i/>
          <w:sz w:val="21"/>
        </w:rPr>
        <w:t>Chapter 1, §1.4 “Structure of the Thesis” (p.40) — the deck's four sections map onto the thesis's seven chapters, not 1:1, so be ready to say which chapters live under which agenda item if asked (Business Problem = Ch.1–2; Methodology = Ch.3; Results = Ch.4–5; Recommendations = Ch.6–7).</w:t>
      </w:r>
    </w:p>
    <w:p>
      <w:pPr>
        <w:spacing w:after="280"/>
        <w:jc w:val="both"/>
      </w:pPr>
      <w:r>
        <w:rPr>
          <w:rFonts w:ascii="Times New Roman" w:hAnsi="Times New Roman"/>
          <w:b/>
          <w:color w:val="1C9C8E"/>
          <w:sz w:val="21"/>
        </w:rPr>
        <w:t xml:space="preserve">What to review:  </w:t>
      </w:r>
      <w:r>
        <w:rPr>
          <w:rFonts w:ascii="Times New Roman" w:hAnsi="Times New Roman"/>
          <w:sz w:val="21"/>
        </w:rPr>
        <w:t>Skim §1.4 once so the chapter-to-agenda mapping is automatic if a panelist asks “where in the written thesis is that?” mid-question.</w:t>
      </w:r>
    </w:p>
    <w:p>
      <w:pPr>
        <w:spacing w:after="120"/>
      </w:pPr>
      <w:r>
        <w:rPr>
          <w:color w:val="CCCCCC"/>
          <w:sz w:val="12"/>
        </w:rPr>
        <w:t>————————————————————————————————————————</w:t>
      </w:r>
    </w:p>
    <w:p>
      <w:pPr>
        <w:spacing w:before="80" w:after="40"/>
      </w:pPr>
      <w:r>
        <w:rPr>
          <w:rFonts w:ascii="Times New Roman" w:hAnsi="Times New Roman"/>
          <w:b/>
          <w:color w:val="1E2761"/>
          <w:sz w:val="28"/>
        </w:rPr>
        <w:t>Slide 3 — The Decision-Making Context</w:t>
      </w:r>
    </w:p>
    <w:p>
      <w:pPr>
        <w:spacing w:after="60"/>
      </w:pPr>
      <w:r>
        <w:rPr>
          <w:rFonts w:ascii="Times New Roman" w:hAnsi="Times New Roman"/>
          <w:b/>
          <w:color w:val="1C9C8E"/>
          <w:sz w:val="21"/>
        </w:rPr>
        <w:t xml:space="preserve">On the slide:  </w:t>
      </w:r>
      <w:r>
        <w:rPr>
          <w:rFonts w:ascii="Times New Roman" w:hAnsi="Times New Roman"/>
          <w:sz w:val="21"/>
        </w:rPr>
        <w:t>Stockout vs. overstock trade-off; SMEs lack the infrastructure large retailers have; the 10–25% / 5–15% published benchmark figures.</w:t>
      </w:r>
    </w:p>
    <w:p>
      <w:pPr>
        <w:spacing w:after="60"/>
      </w:pPr>
      <w:r>
        <w:rPr>
          <w:rFonts w:ascii="Times New Roman" w:hAnsi="Times New Roman"/>
          <w:b/>
          <w:color w:val="1C9C8E"/>
          <w:sz w:val="21"/>
        </w:rPr>
        <w:t xml:space="preserve">Thesis reference:  </w:t>
      </w:r>
      <w:r>
        <w:rPr>
          <w:rFonts w:ascii="Times New Roman" w:hAnsi="Times New Roman"/>
          <w:i/>
          <w:sz w:val="21"/>
        </w:rPr>
        <w:t>Chapter 1, §1.2.1 “Practical Industry Context” (p.34) for the SME-resource-gap argument; the 10–25% / 5–15% figures are stated in §1.1 Objective 4 (p.33) and re-appear as the explicit test target throughout.</w:t>
      </w:r>
    </w:p>
    <w:p>
      <w:pPr>
        <w:spacing w:after="280"/>
        <w:jc w:val="both"/>
      </w:pPr>
      <w:r>
        <w:rPr>
          <w:rFonts w:ascii="Times New Roman" w:hAnsi="Times New Roman"/>
          <w:b/>
          <w:color w:val="1C9C8E"/>
          <w:sz w:val="21"/>
        </w:rPr>
        <w:t xml:space="preserve">What to review:  </w:t>
      </w:r>
      <w:r>
        <w:rPr>
          <w:rFonts w:ascii="Times New Roman" w:hAnsi="Times New Roman"/>
          <w:sz w:val="21"/>
        </w:rPr>
        <w:t>Re-read §1.2.1's SME paragraph — it names the specific resource gap (no dedicated data science team, no enterprise software) this thesis is designed to close.</w:t>
      </w:r>
    </w:p>
    <w:p>
      <w:pPr>
        <w:spacing w:after="120"/>
      </w:pPr>
      <w:r>
        <w:rPr>
          <w:color w:val="CCCCCC"/>
          <w:sz w:val="12"/>
        </w:rPr>
        <w:t>————————————————————————————————————————</w:t>
      </w:r>
    </w:p>
    <w:p>
      <w:pPr>
        <w:spacing w:before="80" w:after="40"/>
      </w:pPr>
      <w:r>
        <w:rPr>
          <w:rFonts w:ascii="Times New Roman" w:hAnsi="Times New Roman"/>
          <w:b/>
          <w:color w:val="1E2761"/>
          <w:sz w:val="28"/>
        </w:rPr>
        <w:t>Slide 4 — Four Structural Gaps</w:t>
      </w:r>
    </w:p>
    <w:p>
      <w:pPr>
        <w:spacing w:after="60"/>
      </w:pPr>
      <w:r>
        <w:rPr>
          <w:rFonts w:ascii="Times New Roman" w:hAnsi="Times New Roman"/>
          <w:b/>
          <w:color w:val="1C9C8E"/>
          <w:sz w:val="21"/>
        </w:rPr>
        <w:t xml:space="preserve">On the slide:  </w:t>
      </w:r>
      <w:r>
        <w:rPr>
          <w:rFonts w:ascii="Times New Roman" w:hAnsi="Times New Roman"/>
          <w:sz w:val="21"/>
        </w:rPr>
        <w:t>Gap 1 forecast→decision disconnect; Gap 2 no live validation; Gap 3 SMEs left behind; Gap 4 uncertainty ignored in safety-stock formulas.</w:t>
      </w:r>
    </w:p>
    <w:p>
      <w:pPr>
        <w:spacing w:after="60"/>
      </w:pPr>
      <w:r>
        <w:rPr>
          <w:rFonts w:ascii="Times New Roman" w:hAnsi="Times New Roman"/>
          <w:b/>
          <w:color w:val="1C9C8E"/>
          <w:sz w:val="21"/>
        </w:rPr>
        <w:t xml:space="preserve">Thesis reference:  </w:t>
      </w:r>
      <w:r>
        <w:rPr>
          <w:rFonts w:ascii="Times New Roman" w:hAnsi="Times New Roman"/>
          <w:i/>
          <w:sz w:val="21"/>
        </w:rPr>
        <w:t>Chapter 1, §1.2.2 “Academic Gaps and Research Motivation” (p.35) defines all four gaps verbatim. Chapter 6, §6.3 “Revisiting the Four Research Gaps” (p.119, subsections 6.3.1–6.3.4, p.119–121) reports how each was actually addressed by the end of the research.</w:t>
      </w:r>
    </w:p>
    <w:p>
      <w:pPr>
        <w:spacing w:after="280"/>
        <w:jc w:val="both"/>
      </w:pPr>
      <w:r>
        <w:rPr>
          <w:rFonts w:ascii="Times New Roman" w:hAnsi="Times New Roman"/>
          <w:b/>
          <w:color w:val="1C9C8E"/>
          <w:sz w:val="21"/>
        </w:rPr>
        <w:t xml:space="preserve">What to review:  </w:t>
      </w:r>
      <w:r>
        <w:rPr>
          <w:rFonts w:ascii="Times New Roman" w:hAnsi="Times New Roman"/>
          <w:sz w:val="21"/>
        </w:rPr>
        <w:t>Read §6.3 closely, not just §1.2.2 — the panel is more likely to ask “did you actually close this gap” than “what was the gap,” and §6.3 is where that verdict is given gap-by-gap.</w:t>
      </w:r>
    </w:p>
    <w:p>
      <w:pPr>
        <w:spacing w:after="120"/>
      </w:pPr>
      <w:r>
        <w:rPr>
          <w:color w:val="CCCCCC"/>
          <w:sz w:val="12"/>
        </w:rPr>
        <w:t>————————————————————————————————————————</w:t>
      </w:r>
    </w:p>
    <w:p>
      <w:pPr>
        <w:spacing w:before="80" w:after="40"/>
      </w:pPr>
      <w:r>
        <w:rPr>
          <w:rFonts w:ascii="Times New Roman" w:hAnsi="Times New Roman"/>
          <w:b/>
          <w:color w:val="1E2761"/>
          <w:sz w:val="28"/>
        </w:rPr>
        <w:t>Slide 5 — Five Research Objectives</w:t>
      </w:r>
    </w:p>
    <w:p>
      <w:pPr>
        <w:spacing w:after="60"/>
      </w:pPr>
      <w:r>
        <w:rPr>
          <w:rFonts w:ascii="Times New Roman" w:hAnsi="Times New Roman"/>
          <w:b/>
          <w:color w:val="1C9C8E"/>
          <w:sz w:val="21"/>
        </w:rPr>
        <w:t xml:space="preserve">On the slide:  </w:t>
      </w:r>
      <w:r>
        <w:rPr>
          <w:rFonts w:ascii="Times New Roman" w:hAnsi="Times New Roman"/>
          <w:sz w:val="21"/>
        </w:rPr>
        <w:t>The five numbered objectives, with Objective 4 (“test whether gains transfer”) as the load-bearing one.</w:t>
      </w:r>
    </w:p>
    <w:p>
      <w:pPr>
        <w:spacing w:after="60"/>
      </w:pPr>
      <w:r>
        <w:rPr>
          <w:rFonts w:ascii="Times New Roman" w:hAnsi="Times New Roman"/>
          <w:b/>
          <w:color w:val="1C9C8E"/>
          <w:sz w:val="21"/>
        </w:rPr>
        <w:t xml:space="preserve">Thesis reference:  </w:t>
      </w:r>
      <w:r>
        <w:rPr>
          <w:rFonts w:ascii="Times New Roman" w:hAnsi="Times New Roman"/>
          <w:i/>
          <w:sz w:val="21"/>
        </w:rPr>
        <w:t>Chapter 1, §1.1 “General Objectives of the Study” (p.33), five numbered items verbatim.</w:t>
      </w:r>
    </w:p>
    <w:p>
      <w:pPr>
        <w:spacing w:after="280"/>
        <w:jc w:val="both"/>
      </w:pPr>
      <w:r>
        <w:rPr>
          <w:rFonts w:ascii="Times New Roman" w:hAnsi="Times New Roman"/>
          <w:b/>
          <w:color w:val="1C9C8E"/>
          <w:sz w:val="21"/>
        </w:rPr>
        <w:t xml:space="preserve">What to review:  </w:t>
      </w:r>
      <w:r>
        <w:rPr>
          <w:rFonts w:ascii="Times New Roman" w:hAnsi="Times New Roman"/>
          <w:sz w:val="21"/>
        </w:rPr>
        <w:t>Know Objective 4's exact wording cold: “test whether the operational gains reported in closely related studies transfer to this setting” — treating a shortfall as a finding, not a failure, is written directly into the objective, which is your strongest answer if asked whether the null result was an accident or by design.</w:t>
      </w:r>
    </w:p>
    <w:p>
      <w:pPr>
        <w:spacing w:after="120"/>
      </w:pPr>
      <w:r>
        <w:rPr>
          <w:color w:val="CCCCCC"/>
          <w:sz w:val="12"/>
        </w:rPr>
        <w:t>————————————————————————————————————————</w:t>
      </w:r>
    </w:p>
    <w:p>
      <w:pPr>
        <w:spacing w:before="80" w:after="40"/>
      </w:pPr>
      <w:r>
        <w:rPr>
          <w:rFonts w:ascii="Times New Roman" w:hAnsi="Times New Roman"/>
          <w:b/>
          <w:color w:val="1E2761"/>
          <w:sz w:val="28"/>
        </w:rPr>
        <w:t>Slide 6 — Literature Review Caveat</w:t>
      </w:r>
    </w:p>
    <w:p>
      <w:pPr>
        <w:spacing w:after="60"/>
      </w:pPr>
      <w:r>
        <w:rPr>
          <w:rFonts w:ascii="Times New Roman" w:hAnsi="Times New Roman"/>
          <w:b/>
          <w:color w:val="1C9C8E"/>
          <w:sz w:val="21"/>
        </w:rPr>
        <w:t xml:space="preserve">On the slide:  </w:t>
      </w:r>
      <w:r>
        <w:rPr>
          <w:rFonts w:ascii="Times New Roman" w:hAnsi="Times New Roman"/>
          <w:sz w:val="21"/>
        </w:rPr>
        <w:t>ML/ensemble methods reliably beat classical baselines in the literature, but the reported gains were measured on data aggregated to the weekly/category level, not SKU-daily.</w:t>
      </w:r>
    </w:p>
    <w:p>
      <w:pPr>
        <w:spacing w:after="60"/>
      </w:pPr>
      <w:r>
        <w:rPr>
          <w:rFonts w:ascii="Times New Roman" w:hAnsi="Times New Roman"/>
          <w:b/>
          <w:color w:val="1C9C8E"/>
          <w:sz w:val="21"/>
        </w:rPr>
        <w:t xml:space="preserve">Thesis reference:  </w:t>
      </w:r>
      <w:r>
        <w:rPr>
          <w:rFonts w:ascii="Times New Roman" w:hAnsi="Times New Roman"/>
          <w:i/>
          <w:sz w:val="21"/>
        </w:rPr>
        <w:t>Chapter 2 (Literature Review, p.46–69), synthesising 52 sources; the aggregation caveat is argued throughout §2.2–§2.7 and stated as the thesis's research question in Chapter 1 Objective 4 (p.33).</w:t>
      </w:r>
    </w:p>
    <w:p>
      <w:pPr>
        <w:spacing w:after="280"/>
        <w:jc w:val="both"/>
      </w:pPr>
      <w:r>
        <w:rPr>
          <w:rFonts w:ascii="Times New Roman" w:hAnsi="Times New Roman"/>
          <w:b/>
          <w:color w:val="1C9C8E"/>
          <w:sz w:val="21"/>
        </w:rPr>
        <w:t xml:space="preserve">What to review:  </w:t>
      </w:r>
      <w:r>
        <w:rPr>
          <w:rFonts w:ascii="Times New Roman" w:hAnsi="Times New Roman"/>
          <w:sz w:val="21"/>
        </w:rPr>
        <w:t>If asked to name specific sources behind the 10–25%/5–15% figures: Barghi (2025) and Seyedan, Mafakheri, and Wang (2023) are the two most load-bearing citations for those benchmark numbers — both are named directly in Chapter 1 §1.1 Objective 4.</w:t>
      </w:r>
    </w:p>
    <w:p>
      <w:pPr>
        <w:spacing w:after="120"/>
      </w:pPr>
      <w:r>
        <w:rPr>
          <w:color w:val="CCCCCC"/>
          <w:sz w:val="12"/>
        </w:rPr>
        <w:t>————————————————————————————————————————</w:t>
      </w:r>
    </w:p>
    <w:p>
      <w:pPr>
        <w:spacing w:before="80" w:after="40"/>
      </w:pPr>
      <w:r>
        <w:rPr>
          <w:rFonts w:ascii="Times New Roman" w:hAnsi="Times New Roman"/>
          <w:b/>
          <w:color w:val="1E2761"/>
          <w:sz w:val="28"/>
        </w:rPr>
        <w:t>Slide 7 — The Data</w:t>
      </w:r>
    </w:p>
    <w:p>
      <w:pPr>
        <w:spacing w:after="60"/>
      </w:pPr>
      <w:r>
        <w:rPr>
          <w:rFonts w:ascii="Times New Roman" w:hAnsi="Times New Roman"/>
          <w:b/>
          <w:color w:val="1C9C8E"/>
          <w:sz w:val="21"/>
        </w:rPr>
        <w:t xml:space="preserve">On the slide:  </w:t>
      </w:r>
      <w:r>
        <w:rPr>
          <w:rFonts w:ascii="Times New Roman" w:hAnsi="Times New Roman"/>
          <w:sz w:val="21"/>
        </w:rPr>
        <w:t>M5-Forecasting (Walmart): 3,049 products, 10 stores, 3 states, 1,913 days; a 502-series stratified subsample; 56-day test window.</w:t>
      </w:r>
    </w:p>
    <w:p>
      <w:pPr>
        <w:spacing w:after="60"/>
      </w:pPr>
      <w:r>
        <w:rPr>
          <w:rFonts w:ascii="Times New Roman" w:hAnsi="Times New Roman"/>
          <w:b/>
          <w:color w:val="1C9C8E"/>
          <w:sz w:val="21"/>
        </w:rPr>
        <w:t xml:space="preserve">Thesis reference:  </w:t>
      </w:r>
      <w:r>
        <w:rPr>
          <w:rFonts w:ascii="Times New Roman" w:hAnsi="Times New Roman"/>
          <w:i/>
          <w:sz w:val="21"/>
        </w:rPr>
        <w:t>Chapter 3, §3.3 “Data Source: The M5-Forecasting (Walmart) Dataset” (p.72), subsections §3.3.1–§3.3.3 (p.72–73). Test-window dates and row counts are in Chapter 4, §4.3 “Data Preparation Summary” (p.91): 874,986 training rows, 30,120 validation rows, 27,610 test rows, test window 1 March–24 April 2016.</w:t>
      </w:r>
    </w:p>
    <w:p>
      <w:pPr>
        <w:spacing w:after="280"/>
        <w:jc w:val="both"/>
      </w:pPr>
      <w:r>
        <w:rPr>
          <w:rFonts w:ascii="Times New Roman" w:hAnsi="Times New Roman"/>
          <w:b/>
          <w:color w:val="1C9C8E"/>
          <w:sz w:val="21"/>
        </w:rPr>
        <w:t xml:space="preserve">What to review:  </w:t>
      </w:r>
      <w:r>
        <w:rPr>
          <w:rFonts w:ascii="Times New Roman" w:hAnsi="Times New Roman"/>
          <w:sz w:val="21"/>
        </w:rPr>
        <w:t>Have the exact split dates ready (training ends 31 Dec 2015; validation is Jan–Feb 2016; test is 1 Mar–24 Apr 2016) — this is the fastest way to answer a data-leakage question precisely instead of gesturing at “chronological split.” If challenged on using Walmart data to make SME claims: the transferability argument is in Chapter 1, §1.2.3 “SME Transferability: Data, Tools, and Technical Requirements” (p.36) — three data sources any standard POS/ERP system already produces, open-source tooling only, one analyst with intermediate Python competency.</w:t>
      </w:r>
    </w:p>
    <w:p>
      <w:pPr>
        <w:spacing w:after="120"/>
      </w:pPr>
      <w:r>
        <w:rPr>
          <w:color w:val="CCCCCC"/>
          <w:sz w:val="12"/>
        </w:rPr>
        <w:t>————————————————————————————————————————</w:t>
      </w:r>
    </w:p>
    <w:p>
      <w:pPr>
        <w:spacing w:before="80" w:after="40"/>
      </w:pPr>
      <w:r>
        <w:rPr>
          <w:rFonts w:ascii="Times New Roman" w:hAnsi="Times New Roman"/>
          <w:b/>
          <w:color w:val="1E2761"/>
          <w:sz w:val="28"/>
        </w:rPr>
        <w:t>Slide 8 — Five Model Tiers</w:t>
      </w:r>
    </w:p>
    <w:p>
      <w:pPr>
        <w:spacing w:after="60"/>
      </w:pPr>
      <w:r>
        <w:rPr>
          <w:rFonts w:ascii="Times New Roman" w:hAnsi="Times New Roman"/>
          <w:b/>
          <w:color w:val="1C9C8E"/>
          <w:sz w:val="21"/>
        </w:rPr>
        <w:t xml:space="preserve">On the slide:  </w:t>
      </w:r>
      <w:r>
        <w:rPr>
          <w:rFonts w:ascii="Times New Roman" w:hAnsi="Times New Roman"/>
          <w:sz w:val="21"/>
        </w:rPr>
        <w:t>Classical (6 methods) → Standard ML (3) → Deep Learning (LSTM) → Stacking Ensemble → Probabilistic (quantile regression) — 12 individual models across 5 tiers.</w:t>
      </w:r>
    </w:p>
    <w:p>
      <w:pPr>
        <w:spacing w:after="60"/>
      </w:pPr>
      <w:r>
        <w:rPr>
          <w:rFonts w:ascii="Times New Roman" w:hAnsi="Times New Roman"/>
          <w:b/>
          <w:color w:val="1C9C8E"/>
          <w:sz w:val="21"/>
        </w:rPr>
        <w:t xml:space="preserve">Thesis reference:  </w:t>
      </w:r>
      <w:r>
        <w:rPr>
          <w:rFonts w:ascii="Times New Roman" w:hAnsi="Times New Roman"/>
          <w:i/>
          <w:sz w:val="21"/>
        </w:rPr>
        <w:t>Chapter 3, §3.6 “Model Development and Evaluation Framework” (p.78), §3.6.1 “Model Selection Rationale” for why each tier was chosen. Individual tier results are in Chapter 4, §4.4–§4.8 (p.91–94), one section per tier, each with its own results table (Tables 4.2–4.6, p.92–95).</w:t>
      </w:r>
    </w:p>
    <w:p>
      <w:pPr>
        <w:spacing w:after="280"/>
        <w:jc w:val="both"/>
      </w:pPr>
      <w:r>
        <w:rPr>
          <w:rFonts w:ascii="Times New Roman" w:hAnsi="Times New Roman"/>
          <w:b/>
          <w:color w:val="1C9C8E"/>
          <w:sz w:val="21"/>
        </w:rPr>
        <w:t xml:space="preserve">What to review:  </w:t>
      </w:r>
      <w:r>
        <w:rPr>
          <w:rFonts w:ascii="Times New Roman" w:hAnsi="Times New Roman"/>
          <w:sz w:val="21"/>
        </w:rPr>
        <w:t>Know the LSTM architecture precisely if pressed: two stacked layers (128 then 64 units), dropout 0.2 after each layer, 28-day lookback window, log1p target transform — all specified in §3.6.1 and results reported in §4.6 (p.93, Table 4.4).</w:t>
      </w:r>
    </w:p>
    <w:p>
      <w:pPr>
        <w:spacing w:after="120"/>
      </w:pPr>
      <w:r>
        <w:rPr>
          <w:color w:val="CCCCCC"/>
          <w:sz w:val="12"/>
        </w:rPr>
        <w:t>————————————————————————————————————————</w:t>
      </w:r>
    </w:p>
    <w:p>
      <w:pPr>
        <w:spacing w:before="80" w:after="40"/>
      </w:pPr>
      <w:r>
        <w:rPr>
          <w:rFonts w:ascii="Times New Roman" w:hAnsi="Times New Roman"/>
          <w:b/>
          <w:color w:val="1E2761"/>
          <w:sz w:val="28"/>
        </w:rPr>
        <w:t>Slide 9 — OUTL Policy and Safety-Stock Formulas</w:t>
      </w:r>
    </w:p>
    <w:p>
      <w:pPr>
        <w:spacing w:after="60"/>
      </w:pPr>
      <w:r>
        <w:rPr>
          <w:rFonts w:ascii="Times New Roman" w:hAnsi="Times New Roman"/>
          <w:b/>
          <w:color w:val="1C9C8E"/>
          <w:sz w:val="21"/>
        </w:rPr>
        <w:t xml:space="preserve">On the slide:  </w:t>
      </w:r>
      <w:r>
        <w:rPr>
          <w:rFonts w:ascii="Times New Roman" w:hAnsi="Times New Roman"/>
          <w:sz w:val="21"/>
        </w:rPr>
        <w:t>The periodic (R, s, S) review policy; three variants (Classical, ML-Gaussian, ML-Empirical-Quantile) differing only in the safety-stock formula.</w:t>
      </w:r>
    </w:p>
    <w:p>
      <w:pPr>
        <w:spacing w:after="60"/>
      </w:pPr>
      <w:r>
        <w:rPr>
          <w:rFonts w:ascii="Times New Roman" w:hAnsi="Times New Roman"/>
          <w:b/>
          <w:color w:val="1C9C8E"/>
          <w:sz w:val="21"/>
        </w:rPr>
        <w:t xml:space="preserve">Thesis reference:  </w:t>
      </w:r>
      <w:r>
        <w:rPr>
          <w:rFonts w:ascii="Times New Roman" w:hAnsi="Times New Roman"/>
          <w:i/>
          <w:sz w:val="21"/>
        </w:rPr>
        <w:t>Chapter 3, §3.7 “Inventory Policy Integration: The Order-Up-To-Level Framework” (p.82), §3.7.1 policy selection (p.82), §3.7.2 Gaussian formulation (p.83), §3.7.4 empirical-quantile robustness check (p.84).</w:t>
      </w:r>
    </w:p>
    <w:p>
      <w:pPr>
        <w:spacing w:after="280"/>
        <w:jc w:val="both"/>
      </w:pPr>
      <w:r>
        <w:rPr>
          <w:rFonts w:ascii="Times New Roman" w:hAnsi="Times New Roman"/>
          <w:b/>
          <w:color w:val="1C9C8E"/>
          <w:sz w:val="21"/>
        </w:rPr>
        <w:t xml:space="preserve">What to review:  </w:t>
      </w:r>
      <w:r>
        <w:rPr>
          <w:rFonts w:ascii="Times New Roman" w:hAnsi="Times New Roman"/>
          <w:sz w:val="21"/>
        </w:rPr>
        <w:t>Be able to derive both formulas on a whiteboard without notes: SS = z·σ·√(R+L) for Gaussian, and SS = (P95−P50)·√(R+L) for empirical quantile. §3.7.2 explains where σ comes from (forecast-residual standard deviation on the validation set).</w:t>
      </w:r>
    </w:p>
    <w:p>
      <w:pPr>
        <w:spacing w:after="120"/>
      </w:pPr>
      <w:r>
        <w:rPr>
          <w:color w:val="CCCCCC"/>
          <w:sz w:val="12"/>
        </w:rPr>
        <w:t>————————————————————————————————————————</w:t>
      </w:r>
    </w:p>
    <w:p>
      <w:pPr>
        <w:spacing w:before="80" w:after="40"/>
      </w:pPr>
      <w:r>
        <w:rPr>
          <w:rFonts w:ascii="Times New Roman" w:hAnsi="Times New Roman"/>
          <w:b/>
          <w:color w:val="1E2761"/>
          <w:sz w:val="28"/>
        </w:rPr>
        <w:t>Slide 10 — The Pivotal Methodological Decision</w:t>
      </w:r>
    </w:p>
    <w:p>
      <w:pPr>
        <w:spacing w:after="60"/>
      </w:pPr>
      <w:r>
        <w:rPr>
          <w:rFonts w:ascii="Times New Roman" w:hAnsi="Times New Roman"/>
          <w:b/>
          <w:color w:val="1C9C8E"/>
          <w:sz w:val="21"/>
        </w:rPr>
        <w:t xml:space="preserve">On the slide:  </w:t>
      </w:r>
      <w:r>
        <w:rPr>
          <w:rFonts w:ascii="Times New Roman" w:hAnsi="Times New Roman"/>
          <w:sz w:val="21"/>
        </w:rPr>
        <w:t>Most published studies compute cost/service analytically; this thesis instead runs the policy forward day-by-day against real test demand.</w:t>
      </w:r>
    </w:p>
    <w:p>
      <w:pPr>
        <w:spacing w:after="60"/>
      </w:pPr>
      <w:r>
        <w:rPr>
          <w:rFonts w:ascii="Times New Roman" w:hAnsi="Times New Roman"/>
          <w:b/>
          <w:color w:val="1C9C8E"/>
          <w:sz w:val="21"/>
        </w:rPr>
        <w:t xml:space="preserve">Thesis reference:  </w:t>
      </w:r>
      <w:r>
        <w:rPr>
          <w:rFonts w:ascii="Times New Roman" w:hAnsi="Times New Roman"/>
          <w:i/>
          <w:sz w:val="21"/>
        </w:rPr>
        <w:t>Chapter 5, §5.1 “Introduction” (p.105) and §5.2 “Inventory Policy and Simulation Design” (p.106) both state this distinction explicitly, including a direct reference to how the earlier (retracted) formulation differed.</w:t>
      </w:r>
    </w:p>
    <w:p>
      <w:pPr>
        <w:spacing w:after="280"/>
        <w:jc w:val="both"/>
      </w:pPr>
      <w:r>
        <w:rPr>
          <w:rFonts w:ascii="Times New Roman" w:hAnsi="Times New Roman"/>
          <w:b/>
          <w:color w:val="1C9C8E"/>
          <w:sz w:val="21"/>
        </w:rPr>
        <w:t xml:space="preserve">What to review:  </w:t>
      </w:r>
      <w:r>
        <w:rPr>
          <w:rFonts w:ascii="Times New Roman" w:hAnsi="Times New Roman"/>
          <w:sz w:val="21"/>
        </w:rPr>
        <w:t>Re-read §5.1's second paragraph carefully — it is the thesis's own account, in its own words, of what was wrong with the earlier assumed-service-level approach. This is the paragraph to paraphrase if the panel asks you to explain the pivot without prompting.</w:t>
      </w:r>
    </w:p>
    <w:p>
      <w:pPr>
        <w:spacing w:after="120"/>
      </w:pPr>
      <w:r>
        <w:rPr>
          <w:color w:val="CCCCCC"/>
          <w:sz w:val="12"/>
        </w:rPr>
        <w:t>————————————————————————————————————————</w:t>
      </w:r>
    </w:p>
    <w:p>
      <w:pPr>
        <w:spacing w:before="80" w:after="40"/>
      </w:pPr>
      <w:r>
        <w:rPr>
          <w:rFonts w:ascii="Times New Roman" w:hAnsi="Times New Roman"/>
          <w:b/>
          <w:color w:val="1E2761"/>
          <w:sz w:val="28"/>
        </w:rPr>
        <w:t>Slide 11 — Falsification Test</w:t>
      </w:r>
    </w:p>
    <w:p>
      <w:pPr>
        <w:spacing w:after="60"/>
      </w:pPr>
      <w:r>
        <w:rPr>
          <w:rFonts w:ascii="Times New Roman" w:hAnsi="Times New Roman"/>
          <w:b/>
          <w:color w:val="1C9C8E"/>
          <w:sz w:val="21"/>
        </w:rPr>
        <w:t xml:space="preserve">On the slide:  </w:t>
      </w:r>
      <w:r>
        <w:rPr>
          <w:rFonts w:ascii="Times New Roman" w:hAnsi="Times New Roman"/>
          <w:sz w:val="21"/>
        </w:rPr>
        <w:t>Four stress conditions (real buffers, SS=0, demand×3, replenishment suppressed) confirming the simulator can register a stockout.</w:t>
      </w:r>
    </w:p>
    <w:p>
      <w:pPr>
        <w:spacing w:after="60"/>
      </w:pPr>
      <w:r>
        <w:rPr>
          <w:rFonts w:ascii="Times New Roman" w:hAnsi="Times New Roman"/>
          <w:b/>
          <w:color w:val="1C9C8E"/>
          <w:sz w:val="21"/>
        </w:rPr>
        <w:t xml:space="preserve">Thesis reference:  </w:t>
      </w:r>
      <w:r>
        <w:rPr>
          <w:rFonts w:ascii="Times New Roman" w:hAnsi="Times New Roman"/>
          <w:i/>
          <w:sz w:val="21"/>
        </w:rPr>
        <w:t>Chapter 5, §5.3 “Validation of the Simulation Engine” (p.106), Table 5.1 (p.107). The engineering detail (initial_on_hand overrides, allow_replenishment flag) lives in falisification_tests.py, referenced in Appendix §A.4 “Deliverables Inventory” (p.144).</w:t>
      </w:r>
    </w:p>
    <w:p>
      <w:pPr>
        <w:spacing w:after="280"/>
        <w:jc w:val="both"/>
      </w:pPr>
      <w:r>
        <w:rPr>
          <w:rFonts w:ascii="Times New Roman" w:hAnsi="Times New Roman"/>
          <w:b/>
          <w:color w:val="1C9C8E"/>
          <w:sz w:val="21"/>
        </w:rPr>
        <w:t xml:space="preserve">What to review:  </w:t>
      </w:r>
      <w:r>
        <w:rPr>
          <w:rFonts w:ascii="Times New Roman" w:hAnsi="Times New Roman"/>
          <w:sz w:val="21"/>
        </w:rPr>
        <w:t>Know that the “safety stock set to zero” condition also starts every series at zero on-hand inventory (not just zero buffer) — this is the detail that answers “was your 100% result just because you started fully stocked?” (see the Defense Q&amp;A Card, Q1).</w:t>
      </w:r>
    </w:p>
    <w:p>
      <w:pPr>
        <w:spacing w:after="120"/>
      </w:pPr>
      <w:r>
        <w:rPr>
          <w:color w:val="CCCCCC"/>
          <w:sz w:val="12"/>
        </w:rPr>
        <w:t>————————————————————————————————————————</w:t>
      </w:r>
    </w:p>
    <w:p>
      <w:pPr>
        <w:spacing w:before="80" w:after="40"/>
      </w:pPr>
      <w:r>
        <w:rPr>
          <w:rFonts w:ascii="Times New Roman" w:hAnsi="Times New Roman"/>
          <w:b/>
          <w:color w:val="1E2761"/>
          <w:sz w:val="28"/>
        </w:rPr>
        <w:t>Slide 12 — Forecast Accuracy Results</w:t>
      </w:r>
    </w:p>
    <w:p>
      <w:pPr>
        <w:spacing w:after="60"/>
      </w:pPr>
      <w:r>
        <w:rPr>
          <w:rFonts w:ascii="Times New Roman" w:hAnsi="Times New Roman"/>
          <w:b/>
          <w:color w:val="1C9C8E"/>
          <w:sz w:val="21"/>
        </w:rPr>
        <w:t xml:space="preserve">On the slide:  </w:t>
      </w:r>
      <w:r>
        <w:rPr>
          <w:rFonts w:ascii="Times New Roman" w:hAnsi="Times New Roman"/>
          <w:sz w:val="21"/>
        </w:rPr>
        <w:t>Bar chart of MAE across 8 representative models; +4.5% MAE and +9.5% RMSE improvement for the ensemble; MAPE improvement essentially flat.</w:t>
      </w:r>
    </w:p>
    <w:p>
      <w:pPr>
        <w:spacing w:after="60"/>
      </w:pPr>
      <w:r>
        <w:rPr>
          <w:rFonts w:ascii="Times New Roman" w:hAnsi="Times New Roman"/>
          <w:b/>
          <w:color w:val="1C9C8E"/>
          <w:sz w:val="21"/>
        </w:rPr>
        <w:t xml:space="preserve">Thesis reference:  </w:t>
      </w:r>
      <w:r>
        <w:rPr>
          <w:rFonts w:ascii="Times New Roman" w:hAnsi="Times New Roman"/>
          <w:i/>
          <w:sz w:val="21"/>
        </w:rPr>
        <w:t>Chapter 4, §4.9 “Consolidated Model Comparison” (p.95), Table 4.7 (all 12 models ranked by MAE, p.95) and §4.10 “Performance Against Chapter 1 Targets” (p.96), Table 4.8 (p.97 — the metric-by-metric improvement-vs-target table the +4.5%/+9.5% figures come from directly).</w:t>
      </w:r>
    </w:p>
    <w:p>
      <w:pPr>
        <w:spacing w:after="280"/>
        <w:jc w:val="both"/>
      </w:pPr>
      <w:r>
        <w:rPr>
          <w:rFonts w:ascii="Times New Roman" w:hAnsi="Times New Roman"/>
          <w:b/>
          <w:color w:val="1C9C8E"/>
          <w:sz w:val="21"/>
        </w:rPr>
        <w:t xml:space="preserve">What to review:  </w:t>
      </w:r>
      <w:r>
        <w:rPr>
          <w:rFonts w:ascii="Times New Roman" w:hAnsi="Times New Roman"/>
          <w:sz w:val="21"/>
        </w:rPr>
        <w:t>Table 4.8 also reports WMAPE (+4.5%) and Pred(10%) — know that MAPE is flagged “below target” while RMSE is flagged “below (close)” in that table's own target-comparison column, in case you're asked to characterise the shortfall metric-by-metric rather than just citing MAE.</w:t>
      </w:r>
    </w:p>
    <w:p>
      <w:pPr>
        <w:spacing w:after="120"/>
      </w:pPr>
      <w:r>
        <w:rPr>
          <w:color w:val="CCCCCC"/>
          <w:sz w:val="12"/>
        </w:rPr>
        <w:t>————————————————————————————————————————</w:t>
      </w:r>
    </w:p>
    <w:p>
      <w:pPr>
        <w:spacing w:before="80" w:after="40"/>
      </w:pPr>
      <w:r>
        <w:rPr>
          <w:rFonts w:ascii="Times New Roman" w:hAnsi="Times New Roman"/>
          <w:b/>
          <w:color w:val="1E2761"/>
          <w:sz w:val="28"/>
        </w:rPr>
        <w:t>Slide 13 — Model Interpretability (SHAP)</w:t>
      </w:r>
    </w:p>
    <w:p>
      <w:pPr>
        <w:spacing w:after="60"/>
      </w:pPr>
      <w:r>
        <w:rPr>
          <w:rFonts w:ascii="Times New Roman" w:hAnsi="Times New Roman"/>
          <w:b/>
          <w:color w:val="1C9C8E"/>
          <w:sz w:val="21"/>
        </w:rPr>
        <w:t xml:space="preserve">On the slide:  </w:t>
      </w:r>
      <w:r>
        <w:rPr>
          <w:rFonts w:ascii="Times New Roman" w:hAnsi="Times New Roman"/>
          <w:sz w:val="21"/>
        </w:rPr>
        <w:t>Top 5 features explain 78.6% of model behaviour: rolling_mean_7, rolling_mean_28, item_month_mean, rolling_std_7, item_dow_mean.</w:t>
      </w:r>
    </w:p>
    <w:p>
      <w:pPr>
        <w:spacing w:after="60"/>
      </w:pPr>
      <w:r>
        <w:rPr>
          <w:rFonts w:ascii="Times New Roman" w:hAnsi="Times New Roman"/>
          <w:b/>
          <w:color w:val="1C9C8E"/>
          <w:sz w:val="21"/>
        </w:rPr>
        <w:t xml:space="preserve">Thesis reference:  </w:t>
      </w:r>
      <w:r>
        <w:rPr>
          <w:rFonts w:ascii="Times New Roman" w:hAnsi="Times New Roman"/>
          <w:i/>
          <w:sz w:val="21"/>
        </w:rPr>
        <w:t>Chapter 4, §4.11 “Model Interpretability — SHAP Analysis” (p.98), Table 4.9 (top 15 features, p.100) and Figures 4.2–4.3 (importance ranking p.99 and beeswarm plot p.100).</w:t>
      </w:r>
    </w:p>
    <w:p>
      <w:pPr>
        <w:spacing w:after="280"/>
        <w:jc w:val="both"/>
      </w:pPr>
      <w:r>
        <w:rPr>
          <w:rFonts w:ascii="Times New Roman" w:hAnsi="Times New Roman"/>
          <w:b/>
          <w:color w:val="1C9C8E"/>
          <w:sz w:val="21"/>
        </w:rPr>
        <w:t xml:space="preserve">What to review:  </w:t>
      </w:r>
      <w:r>
        <w:rPr>
          <w:rFonts w:ascii="Times New Roman" w:hAnsi="Times New Roman"/>
          <w:sz w:val="21"/>
        </w:rPr>
        <w:t>SHAP is computed on the LightGBM model specifically, not the winning stacking ensemble — §4.11's opening line explains why (ensembles resist single-model attribution). Have this ready verbatim; it is a very likely follow-up question.</w:t>
      </w:r>
    </w:p>
    <w:p>
      <w:pPr>
        <w:spacing w:after="120"/>
      </w:pPr>
      <w:r>
        <w:rPr>
          <w:color w:val="CCCCCC"/>
          <w:sz w:val="12"/>
        </w:rPr>
        <w:t>————————————————————————————————————————</w:t>
      </w:r>
    </w:p>
    <w:p>
      <w:pPr>
        <w:spacing w:before="80" w:after="40"/>
      </w:pPr>
      <w:r>
        <w:rPr>
          <w:rFonts w:ascii="Times New Roman" w:hAnsi="Times New Roman"/>
          <w:b/>
          <w:color w:val="1E2761"/>
          <w:sz w:val="28"/>
        </w:rPr>
        <w:t>Slide 14 — The Central Finding</w:t>
      </w:r>
    </w:p>
    <w:p>
      <w:pPr>
        <w:spacing w:after="60"/>
      </w:pPr>
      <w:r>
        <w:rPr>
          <w:rFonts w:ascii="Times New Roman" w:hAnsi="Times New Roman"/>
          <w:b/>
          <w:color w:val="1C9C8E"/>
          <w:sz w:val="21"/>
        </w:rPr>
        <w:t xml:space="preserve">On the slide:  </w:t>
      </w:r>
      <w:r>
        <w:rPr>
          <w:rFonts w:ascii="Times New Roman" w:hAnsi="Times New Roman"/>
          <w:sz w:val="21"/>
        </w:rPr>
        <w:t>100% realised service level for all three policies, zero stockouts; ML-Quantile costs +1.5% more than Classical with no offsetting benefit.</w:t>
      </w:r>
    </w:p>
    <w:p>
      <w:pPr>
        <w:spacing w:after="60"/>
      </w:pPr>
      <w:r>
        <w:rPr>
          <w:rFonts w:ascii="Times New Roman" w:hAnsi="Times New Roman"/>
          <w:b/>
          <w:color w:val="1C9C8E"/>
          <w:sz w:val="21"/>
        </w:rPr>
        <w:t xml:space="preserve">Thesis reference:  </w:t>
      </w:r>
      <w:r>
        <w:rPr>
          <w:rFonts w:ascii="Times New Roman" w:hAnsi="Times New Roman"/>
          <w:i/>
          <w:sz w:val="21"/>
        </w:rPr>
        <w:t>Chapter 5, §5.4 “Central-Case Results” (p.107), Table 5.2 (p.107) — the single most important table in the thesis.</w:t>
      </w:r>
    </w:p>
    <w:p>
      <w:pPr>
        <w:spacing w:after="280"/>
        <w:jc w:val="both"/>
      </w:pPr>
      <w:r>
        <w:rPr>
          <w:rFonts w:ascii="Times New Roman" w:hAnsi="Times New Roman"/>
          <w:b/>
          <w:color w:val="1C9C8E"/>
          <w:sz w:val="21"/>
        </w:rPr>
        <w:t xml:space="preserve">What to review:  </w:t>
      </w:r>
      <w:r>
        <w:rPr>
          <w:rFonts w:ascii="Times New Roman" w:hAnsi="Times New Roman"/>
          <w:sz w:val="21"/>
        </w:rPr>
        <w:t>Memorise Table 5.2's full row for Classical and ML-Empirical-Quantile (Realised SL, SS units, HC, OC, SC, Total, vs-Classical %) — this table is the evidentiary basis for slides 14, 15, and 16 all at once, and the panel may ask you to recite it without looking.</w:t>
      </w:r>
    </w:p>
    <w:p>
      <w:pPr>
        <w:spacing w:after="120"/>
      </w:pPr>
      <w:r>
        <w:rPr>
          <w:color w:val="CCCCCC"/>
          <w:sz w:val="12"/>
        </w:rPr>
        <w:t>————————————————————————————————————————</w:t>
      </w:r>
    </w:p>
    <w:p>
      <w:pPr>
        <w:spacing w:before="80" w:after="40"/>
      </w:pPr>
      <w:r>
        <w:rPr>
          <w:rFonts w:ascii="Times New Roman" w:hAnsi="Times New Roman"/>
          <w:b/>
          <w:color w:val="1E2761"/>
          <w:sz w:val="28"/>
        </w:rPr>
        <w:t>Slide 15 — Why the Earlier 21% Estimate Did Not Survive</w:t>
      </w:r>
    </w:p>
    <w:p>
      <w:pPr>
        <w:spacing w:after="60"/>
      </w:pPr>
      <w:r>
        <w:rPr>
          <w:rFonts w:ascii="Times New Roman" w:hAnsi="Times New Roman"/>
          <w:b/>
          <w:color w:val="1C9C8E"/>
          <w:sz w:val="21"/>
        </w:rPr>
        <w:t xml:space="preserve">On the slide:  </w:t>
      </w:r>
      <w:r>
        <w:rPr>
          <w:rFonts w:ascii="Times New Roman" w:hAnsi="Times New Roman"/>
          <w:sz w:val="21"/>
        </w:rPr>
        <w:t>The earlier draft assumed an 83%/95% service-level gap and computed cost from it; the simulated result shows both policies actually achieve 100% service.</w:t>
      </w:r>
    </w:p>
    <w:p>
      <w:pPr>
        <w:spacing w:after="60"/>
      </w:pPr>
      <w:r>
        <w:rPr>
          <w:rFonts w:ascii="Times New Roman" w:hAnsi="Times New Roman"/>
          <w:b/>
          <w:color w:val="1C9C8E"/>
          <w:sz w:val="21"/>
        </w:rPr>
        <w:t xml:space="preserve">Thesis reference:  </w:t>
      </w:r>
      <w:r>
        <w:rPr>
          <w:rFonts w:ascii="Times New Roman" w:hAnsi="Times New Roman"/>
          <w:i/>
          <w:sz w:val="21"/>
        </w:rPr>
        <w:t>Chapter 5, §5.5 “The Mechanism: Same Spread, Opposite Conclusion” (p.108) — this is the section that explains the reversal mechanically, not just narratively: the empirical quantile spread (1.36× the Gaussian buffer) was read as under-allocation evidence in the earlier draft, and is shown by simulation to be surplus buffer instead.</w:t>
      </w:r>
    </w:p>
    <w:p>
      <w:pPr>
        <w:spacing w:after="280"/>
        <w:jc w:val="both"/>
      </w:pPr>
      <w:r>
        <w:rPr>
          <w:rFonts w:ascii="Times New Roman" w:hAnsi="Times New Roman"/>
          <w:b/>
          <w:color w:val="1C9C8E"/>
          <w:sz w:val="21"/>
        </w:rPr>
        <w:t xml:space="preserve">What to review:  </w:t>
      </w:r>
      <w:r>
        <w:rPr>
          <w:rFonts w:ascii="Times New Roman" w:hAnsi="Times New Roman"/>
          <w:sz w:val="21"/>
        </w:rPr>
        <w:t>This is the section to have most fluently in your own words — §5.5 explains the exact mechanism (same 1.36× number, opposite interpretation) that the deck's slide compresses into two stat cards. If a panelist asks you to explain the reversal mechanically rather than just narratively, this is where the real answer lives.</w:t>
      </w:r>
    </w:p>
    <w:p>
      <w:pPr>
        <w:spacing w:after="120"/>
      </w:pPr>
      <w:r>
        <w:rPr>
          <w:color w:val="CCCCCC"/>
          <w:sz w:val="12"/>
        </w:rPr>
        <w:t>————————————————————————————————————————</w:t>
      </w:r>
    </w:p>
    <w:p>
      <w:pPr>
        <w:spacing w:before="80" w:after="40"/>
      </w:pPr>
      <w:r>
        <w:rPr>
          <w:rFonts w:ascii="Times New Roman" w:hAnsi="Times New Roman"/>
          <w:b/>
          <w:color w:val="1E2761"/>
          <w:sz w:val="28"/>
        </w:rPr>
        <w:t>Slide 16 — Cost Decomposition</w:t>
      </w:r>
    </w:p>
    <w:p>
      <w:pPr>
        <w:spacing w:after="60"/>
      </w:pPr>
      <w:r>
        <w:rPr>
          <w:rFonts w:ascii="Times New Roman" w:hAnsi="Times New Roman"/>
          <w:b/>
          <w:color w:val="1C9C8E"/>
          <w:sz w:val="21"/>
        </w:rPr>
        <w:t xml:space="preserve">On the slide:  </w:t>
      </w:r>
      <w:r>
        <w:rPr>
          <w:rFonts w:ascii="Times New Roman" w:hAnsi="Times New Roman"/>
          <w:sz w:val="21"/>
        </w:rPr>
        <w:t>Holding cost is ~99.5% of total cost and nearly identical across policies; stockout cost is exactly zero for all three.</w:t>
      </w:r>
    </w:p>
    <w:p>
      <w:pPr>
        <w:spacing w:after="60"/>
      </w:pPr>
      <w:r>
        <w:rPr>
          <w:rFonts w:ascii="Times New Roman" w:hAnsi="Times New Roman"/>
          <w:b/>
          <w:color w:val="1C9C8E"/>
          <w:sz w:val="21"/>
        </w:rPr>
        <w:t xml:space="preserve">Thesis reference:  </w:t>
      </w:r>
      <w:r>
        <w:rPr>
          <w:rFonts w:ascii="Times New Roman" w:hAnsi="Times New Roman"/>
          <w:i/>
          <w:sz w:val="21"/>
        </w:rPr>
        <w:t>Same source as Slide 14 — Chapter 5, §5.4, Table 5.2 (p.107). The chart is simply Table 5.2's HC/OC/SC columns visualised.</w:t>
      </w:r>
    </w:p>
    <w:p>
      <w:pPr>
        <w:spacing w:after="280"/>
        <w:jc w:val="both"/>
      </w:pPr>
      <w:r>
        <w:rPr>
          <w:rFonts w:ascii="Times New Roman" w:hAnsi="Times New Roman"/>
          <w:b/>
          <w:color w:val="1C9C8E"/>
          <w:sz w:val="21"/>
        </w:rPr>
        <w:t xml:space="preserve">What to review:  </w:t>
      </w:r>
      <w:r>
        <w:rPr>
          <w:rFonts w:ascii="Times New Roman" w:hAnsi="Times New Roman"/>
          <w:sz w:val="21"/>
        </w:rPr>
        <w:t>No new reading needed beyond Table 5.2, but note the axis-truncation caution already built into the chart's caption — be ready to explain why bars starting at $0 matter if asked about the visualisation choice itself.</w:t>
      </w:r>
    </w:p>
    <w:p>
      <w:pPr>
        <w:spacing w:after="120"/>
      </w:pPr>
      <w:r>
        <w:rPr>
          <w:color w:val="CCCCCC"/>
          <w:sz w:val="12"/>
        </w:rPr>
        <w:t>————————————————————————————————————————</w:t>
      </w:r>
    </w:p>
    <w:p>
      <w:pPr>
        <w:spacing w:before="80" w:after="40"/>
      </w:pPr>
      <w:r>
        <w:rPr>
          <w:rFonts w:ascii="Times New Roman" w:hAnsi="Times New Roman"/>
          <w:b/>
          <w:color w:val="1E2761"/>
          <w:sz w:val="28"/>
        </w:rPr>
        <w:t>Slide 17 — Sensitivity Analysis</w:t>
      </w:r>
    </w:p>
    <w:p>
      <w:pPr>
        <w:spacing w:after="60"/>
      </w:pPr>
      <w:r>
        <w:rPr>
          <w:rFonts w:ascii="Times New Roman" w:hAnsi="Times New Roman"/>
          <w:b/>
          <w:color w:val="1C9C8E"/>
          <w:sz w:val="21"/>
        </w:rPr>
        <w:t xml:space="preserve">On the slide:  </w:t>
      </w:r>
      <w:r>
        <w:rPr>
          <w:rFonts w:ascii="Times New Roman" w:hAnsi="Times New Roman"/>
          <w:sz w:val="21"/>
        </w:rPr>
        <w:t>Lead-time sensitivity (−1.3% to −1.7% across 7–21 days) and stockout-multiplier invariance (no change across 0.4×–2.0×).</w:t>
      </w:r>
    </w:p>
    <w:p>
      <w:pPr>
        <w:spacing w:after="60"/>
      </w:pPr>
      <w:r>
        <w:rPr>
          <w:rFonts w:ascii="Times New Roman" w:hAnsi="Times New Roman"/>
          <w:b/>
          <w:color w:val="1C9C8E"/>
          <w:sz w:val="21"/>
        </w:rPr>
        <w:t xml:space="preserve">Thesis reference:  </w:t>
      </w:r>
      <w:r>
        <w:rPr>
          <w:rFonts w:ascii="Times New Roman" w:hAnsi="Times New Roman"/>
          <w:i/>
          <w:sz w:val="21"/>
        </w:rPr>
        <w:t>Chapter 5, §5.7 “Sensitivity Analysis” (p.110–111): §5.7.1 stockout-cost multiplier (p.110, Table 5.3) and §5.7.2 lead time (p.111, Table 5.4). Note: §5.7 covers only these two dimensions — no MAPE or service-level sensitivity was reproduced under the corrected methodology.</w:t>
      </w:r>
    </w:p>
    <w:p>
      <w:pPr>
        <w:spacing w:after="280"/>
        <w:jc w:val="both"/>
      </w:pPr>
      <w:r>
        <w:rPr>
          <w:rFonts w:ascii="Times New Roman" w:hAnsi="Times New Roman"/>
          <w:b/>
          <w:color w:val="1C9C8E"/>
          <w:sz w:val="21"/>
        </w:rPr>
        <w:t xml:space="preserve">What to review:  </w:t>
      </w:r>
      <w:r>
        <w:rPr>
          <w:rFonts w:ascii="Times New Roman" w:hAnsi="Times New Roman"/>
          <w:sz w:val="21"/>
        </w:rPr>
        <w:t>Read the last paragraph of §5.7.2 specifically — it explains why lead time doesn't amplify the ML advantage here the way Seyedan et al. (2023) predicted in the literature (because there are no stockouts for a longer lead time to expose).</w:t>
      </w:r>
    </w:p>
    <w:p>
      <w:pPr>
        <w:spacing w:after="120"/>
      </w:pPr>
      <w:r>
        <w:rPr>
          <w:color w:val="CCCCCC"/>
          <w:sz w:val="12"/>
        </w:rPr>
        <w:t>————————————————————————————————————————</w:t>
      </w:r>
    </w:p>
    <w:p>
      <w:pPr>
        <w:spacing w:before="80" w:after="40"/>
      </w:pPr>
      <w:r>
        <w:rPr>
          <w:rFonts w:ascii="Times New Roman" w:hAnsi="Times New Roman"/>
          <w:b/>
          <w:color w:val="1E2761"/>
          <w:sz w:val="28"/>
        </w:rPr>
        <w:t>Slide 18 — A Boundary Condition, Not a Blanket Claim</w:t>
      </w:r>
    </w:p>
    <w:p>
      <w:pPr>
        <w:spacing w:after="60"/>
      </w:pPr>
      <w:r>
        <w:rPr>
          <w:rFonts w:ascii="Times New Roman" w:hAnsi="Times New Roman"/>
          <w:b/>
          <w:color w:val="1C9C8E"/>
          <w:sz w:val="21"/>
        </w:rPr>
        <w:t xml:space="preserve">On the slide:  </w:t>
      </w:r>
      <w:r>
        <w:rPr>
          <w:rFonts w:ascii="Times New Roman" w:hAnsi="Times New Roman"/>
          <w:sz w:val="21"/>
        </w:rPr>
        <w:t>ML/distributional safety stock pays off only where the baseline policy faces genuine stockout risk; in the M5 test regime, service is already saturated.</w:t>
      </w:r>
    </w:p>
    <w:p>
      <w:pPr>
        <w:spacing w:after="60"/>
      </w:pPr>
      <w:r>
        <w:rPr>
          <w:rFonts w:ascii="Times New Roman" w:hAnsi="Times New Roman"/>
          <w:b/>
          <w:color w:val="1C9C8E"/>
          <w:sz w:val="21"/>
        </w:rPr>
        <w:t xml:space="preserve">Thesis reference:  </w:t>
      </w:r>
      <w:r>
        <w:rPr>
          <w:rFonts w:ascii="Times New Roman" w:hAnsi="Times New Roman"/>
          <w:i/>
          <w:sz w:val="21"/>
        </w:rPr>
        <w:t>Chapter 5, §5.6 “The Boundary Condition: When the Quantile Policy Pays Off” (p.109), which draws directly on the falsification results of §5.3 to argue the boundary from the opposite direction (stockouts reappear once demand is stressed).</w:t>
      </w:r>
    </w:p>
    <w:p>
      <w:pPr>
        <w:spacing w:after="280"/>
        <w:jc w:val="both"/>
      </w:pPr>
      <w:r>
        <w:rPr>
          <w:rFonts w:ascii="Times New Roman" w:hAnsi="Times New Roman"/>
          <w:b/>
          <w:color w:val="1C9C8E"/>
          <w:sz w:val="21"/>
        </w:rPr>
        <w:t xml:space="preserve">What to review:  </w:t>
      </w:r>
      <w:r>
        <w:rPr>
          <w:rFonts w:ascii="Times New Roman" w:hAnsi="Times New Roman"/>
          <w:sz w:val="21"/>
        </w:rPr>
        <w:t>§5.6 explicitly connects back to the falsification table (Slide 11) to make this argument — be ready to walk between slides 11 and 18 in either order if the panel jumps around.</w:t>
      </w:r>
    </w:p>
    <w:p>
      <w:pPr>
        <w:spacing w:after="120"/>
      </w:pPr>
      <w:r>
        <w:rPr>
          <w:color w:val="CCCCCC"/>
          <w:sz w:val="12"/>
        </w:rPr>
        <w:t>————————————————————————————————————————</w:t>
      </w:r>
    </w:p>
    <w:p>
      <w:pPr>
        <w:spacing w:before="80" w:after="40"/>
      </w:pPr>
      <w:r>
        <w:rPr>
          <w:rFonts w:ascii="Times New Roman" w:hAnsi="Times New Roman"/>
          <w:b/>
          <w:color w:val="1E2761"/>
          <w:sz w:val="28"/>
        </w:rPr>
        <w:t>Slide 19 — Dashboard — Forecast Overview</w:t>
      </w:r>
    </w:p>
    <w:p>
      <w:pPr>
        <w:spacing w:after="60"/>
      </w:pPr>
      <w:r>
        <w:rPr>
          <w:rFonts w:ascii="Times New Roman" w:hAnsi="Times New Roman"/>
          <w:b/>
          <w:color w:val="1C9C8E"/>
          <w:sz w:val="21"/>
        </w:rPr>
        <w:t xml:space="preserve">On the slide:  </w:t>
      </w:r>
      <w:r>
        <w:rPr>
          <w:rFonts w:ascii="Times New Roman" w:hAnsi="Times New Roman"/>
          <w:sz w:val="21"/>
        </w:rPr>
        <w:t>KPI tiles (MAE, service level, cost change) plus the actual/ML-ensemble/classical forecast time series for a selected SKU.</w:t>
      </w:r>
    </w:p>
    <w:p>
      <w:pPr>
        <w:spacing w:after="60"/>
      </w:pPr>
      <w:r>
        <w:rPr>
          <w:rFonts w:ascii="Times New Roman" w:hAnsi="Times New Roman"/>
          <w:b/>
          <w:color w:val="1C9C8E"/>
          <w:sz w:val="21"/>
        </w:rPr>
        <w:t xml:space="preserve">Thesis reference:  </w:t>
      </w:r>
      <w:r>
        <w:rPr>
          <w:rFonts w:ascii="Times New Roman" w:hAnsi="Times New Roman"/>
          <w:i/>
          <w:sz w:val="21"/>
        </w:rPr>
        <w:t>Chapter 5, §5.8 “Power BI Dashboard” (p.112), Figure 5.1 caption (p.113) describes exactly what the page shows and which slicers are available (category, state, product).</w:t>
      </w:r>
    </w:p>
    <w:p>
      <w:pPr>
        <w:spacing w:after="280"/>
        <w:jc w:val="both"/>
      </w:pPr>
      <w:r>
        <w:rPr>
          <w:rFonts w:ascii="Times New Roman" w:hAnsi="Times New Roman"/>
          <w:b/>
          <w:color w:val="1C9C8E"/>
          <w:sz w:val="21"/>
        </w:rPr>
        <w:t xml:space="preserve">What to review:  </w:t>
      </w:r>
      <w:r>
        <w:rPr>
          <w:rFonts w:ascii="Times New Roman" w:hAnsi="Times New Roman"/>
          <w:sz w:val="21"/>
        </w:rPr>
        <w:t>Be ready to say which five CSV files feed the dashboard (forecasts, inventory_params, cost_analysis, sensitivity, kpi_summary — listed in §5.8's opening paragraph and in Appendix §A.4, p.144) if asked how it would be kept current in production.</w:t>
      </w:r>
    </w:p>
    <w:p>
      <w:pPr>
        <w:spacing w:after="120"/>
      </w:pPr>
      <w:r>
        <w:rPr>
          <w:color w:val="CCCCCC"/>
          <w:sz w:val="12"/>
        </w:rPr>
        <w:t>————————————————————————————————————————</w:t>
      </w:r>
    </w:p>
    <w:p>
      <w:pPr>
        <w:spacing w:before="80" w:after="40"/>
      </w:pPr>
      <w:r>
        <w:rPr>
          <w:rFonts w:ascii="Times New Roman" w:hAnsi="Times New Roman"/>
          <w:b/>
          <w:color w:val="1E2761"/>
          <w:sz w:val="28"/>
        </w:rPr>
        <w:t>Slide 20 — Dashboard — Cost Analysis</w:t>
      </w:r>
    </w:p>
    <w:p>
      <w:pPr>
        <w:spacing w:after="60"/>
      </w:pPr>
      <w:r>
        <w:rPr>
          <w:rFonts w:ascii="Times New Roman" w:hAnsi="Times New Roman"/>
          <w:b/>
          <w:color w:val="1C9C8E"/>
          <w:sz w:val="21"/>
        </w:rPr>
        <w:t xml:space="preserve">On the slide:  </w:t>
      </w:r>
      <w:r>
        <w:rPr>
          <w:rFonts w:ascii="Times New Roman" w:hAnsi="Times New Roman"/>
          <w:sz w:val="21"/>
        </w:rPr>
        <w:t>The central-case cost decomposition made visual and interactive; free, laptop-grade, POS-data-only.</w:t>
      </w:r>
    </w:p>
    <w:p>
      <w:pPr>
        <w:spacing w:after="60"/>
      </w:pPr>
      <w:r>
        <w:rPr>
          <w:rFonts w:ascii="Times New Roman" w:hAnsi="Times New Roman"/>
          <w:b/>
          <w:color w:val="1C9C8E"/>
          <w:sz w:val="21"/>
        </w:rPr>
        <w:t xml:space="preserve">Thesis reference:  </w:t>
      </w:r>
      <w:r>
        <w:rPr>
          <w:rFonts w:ascii="Times New Roman" w:hAnsi="Times New Roman"/>
          <w:i/>
          <w:sz w:val="21"/>
        </w:rPr>
        <w:t>Chapter 5, §5.8, Figure 5.3 caption (p.114): reports the exact $64,573 total annual cost / $0 stockout cost figures for the ML-Empirical-Quantile policy shown on the KPI tiles.</w:t>
      </w:r>
    </w:p>
    <w:p>
      <w:pPr>
        <w:spacing w:after="280"/>
        <w:jc w:val="both"/>
      </w:pPr>
      <w:r>
        <w:rPr>
          <w:rFonts w:ascii="Times New Roman" w:hAnsi="Times New Roman"/>
          <w:b/>
          <w:color w:val="1C9C8E"/>
          <w:sz w:val="21"/>
        </w:rPr>
        <w:t xml:space="preserve">What to review:  </w:t>
      </w:r>
      <w:r>
        <w:rPr>
          <w:rFonts w:ascii="Times New Roman" w:hAnsi="Times New Roman"/>
          <w:sz w:val="21"/>
        </w:rPr>
        <w:t>No new reading beyond §5.8 — this slide is Table 5.2 and Figure 5.3 operationalised.</w:t>
      </w:r>
    </w:p>
    <w:p>
      <w:pPr>
        <w:spacing w:after="120"/>
      </w:pPr>
      <w:r>
        <w:rPr>
          <w:color w:val="CCCCCC"/>
          <w:sz w:val="12"/>
        </w:rPr>
        <w:t>————————————————————————————————————————</w:t>
      </w:r>
    </w:p>
    <w:p>
      <w:pPr>
        <w:spacing w:before="80" w:after="40"/>
      </w:pPr>
      <w:r>
        <w:rPr>
          <w:rFonts w:ascii="Times New Roman" w:hAnsi="Times New Roman"/>
          <w:b/>
          <w:color w:val="1E2761"/>
          <w:sz w:val="28"/>
        </w:rPr>
        <w:t>Slide 21 — Theoretical and Practical Contributions</w:t>
      </w:r>
    </w:p>
    <w:p>
      <w:pPr>
        <w:spacing w:after="60"/>
      </w:pPr>
      <w:r>
        <w:rPr>
          <w:rFonts w:ascii="Times New Roman" w:hAnsi="Times New Roman"/>
          <w:b/>
          <w:color w:val="1C9C8E"/>
          <w:sz w:val="21"/>
        </w:rPr>
        <w:t xml:space="preserve">On the slide:  </w:t>
      </w:r>
      <w:r>
        <w:rPr>
          <w:rFonts w:ascii="Times New Roman" w:hAnsi="Times New Roman"/>
          <w:sz w:val="21"/>
        </w:rPr>
        <w:t>Theoretical: first simulation-based Gaussian-vs-empirical measurement on M5; regime-conditional value; robust to the stockout-cost multiplier. Practical: open pipeline, diagnostic engine, dashboard.</w:t>
      </w:r>
    </w:p>
    <w:p>
      <w:pPr>
        <w:spacing w:after="60"/>
      </w:pPr>
      <w:r>
        <w:rPr>
          <w:rFonts w:ascii="Times New Roman" w:hAnsi="Times New Roman"/>
          <w:b/>
          <w:color w:val="1C9C8E"/>
          <w:sz w:val="21"/>
        </w:rPr>
        <w:t xml:space="preserve">Thesis reference:  </w:t>
      </w:r>
      <w:r>
        <w:rPr>
          <w:rFonts w:ascii="Times New Roman" w:hAnsi="Times New Roman"/>
          <w:i/>
          <w:sz w:val="21"/>
        </w:rPr>
        <w:t>Chapter 6, §6.5 “Theoretical Contributions” (p.123) and §6.6 “Practical Contributions” (p.124); also Chapter 1, §1.6 “Contributions of the Study” (p.43, stated before the research was run) and Chapter 7, §7.4 “Principal Contributions” (p.132, the final restatement).</w:t>
      </w:r>
    </w:p>
    <w:p>
      <w:pPr>
        <w:spacing w:after="280"/>
        <w:jc w:val="both"/>
      </w:pPr>
      <w:r>
        <w:rPr>
          <w:rFonts w:ascii="Times New Roman" w:hAnsi="Times New Roman"/>
          <w:b/>
          <w:color w:val="1C9C8E"/>
          <w:sz w:val="21"/>
        </w:rPr>
        <w:t xml:space="preserve">What to review:  </w:t>
      </w:r>
      <w:r>
        <w:rPr>
          <w:rFonts w:ascii="Times New Roman" w:hAnsi="Times New Roman"/>
          <w:sz w:val="21"/>
        </w:rPr>
        <w:t>Note this bullet was corrected from an earlier version that also claimed robustness to “MAPE level” — that dimension was never actually tested under the corrected simulation methodology (§5.7 covers only lead time and stockout multiplier). Only claim what §5.7 actually reports.</w:t>
      </w:r>
    </w:p>
    <w:p>
      <w:pPr>
        <w:spacing w:after="120"/>
      </w:pPr>
      <w:r>
        <w:rPr>
          <w:color w:val="CCCCCC"/>
          <w:sz w:val="12"/>
        </w:rPr>
        <w:t>————————————————————————————————————————</w:t>
      </w:r>
    </w:p>
    <w:p>
      <w:pPr>
        <w:spacing w:before="80" w:after="40"/>
      </w:pPr>
      <w:r>
        <w:rPr>
          <w:rFonts w:ascii="Times New Roman" w:hAnsi="Times New Roman"/>
          <w:b/>
          <w:color w:val="1E2761"/>
          <w:sz w:val="28"/>
        </w:rPr>
        <w:t>Slide 22 — Recommendations for SMEs</w:t>
      </w:r>
    </w:p>
    <w:p>
      <w:pPr>
        <w:spacing w:after="60"/>
      </w:pPr>
      <w:r>
        <w:rPr>
          <w:rFonts w:ascii="Times New Roman" w:hAnsi="Times New Roman"/>
          <w:b/>
          <w:color w:val="1C9C8E"/>
          <w:sz w:val="21"/>
        </w:rPr>
        <w:t xml:space="preserve">On the slide:  </w:t>
      </w:r>
      <w:r>
        <w:rPr>
          <w:rFonts w:ascii="Times New Roman" w:hAnsi="Times New Roman"/>
          <w:sz w:val="21"/>
        </w:rPr>
        <w:t>Don't trust published percentages alone; run the diagnostic on your own data; invest where risk is real; deploy the dashboard regardless.</w:t>
      </w:r>
    </w:p>
    <w:p>
      <w:pPr>
        <w:spacing w:after="60"/>
      </w:pPr>
      <w:r>
        <w:rPr>
          <w:rFonts w:ascii="Times New Roman" w:hAnsi="Times New Roman"/>
          <w:b/>
          <w:color w:val="1C9C8E"/>
          <w:sz w:val="21"/>
        </w:rPr>
        <w:t xml:space="preserve">Thesis reference:  </w:t>
      </w:r>
      <w:r>
        <w:rPr>
          <w:rFonts w:ascii="Times New Roman" w:hAnsi="Times New Roman"/>
          <w:i/>
          <w:sz w:val="21"/>
        </w:rPr>
        <w:t>Chapter 5, §5.9 “Discussion” (p.115), specifically the “Implications for practitioners” paragraph; closely mirrors Executive Summary §7 “What This Means for Decision-Makers” (p.15) and its Table (Step/Action/Resource, p.17–18).</w:t>
      </w:r>
    </w:p>
    <w:p>
      <w:pPr>
        <w:spacing w:after="280"/>
        <w:jc w:val="both"/>
      </w:pPr>
      <w:r>
        <w:rPr>
          <w:rFonts w:ascii="Times New Roman" w:hAnsi="Times New Roman"/>
          <w:b/>
          <w:color w:val="1C9C8E"/>
          <w:sz w:val="21"/>
        </w:rPr>
        <w:t xml:space="preserve">What to review:  </w:t>
      </w:r>
      <w:r>
        <w:rPr>
          <w:rFonts w:ascii="Times New Roman" w:hAnsi="Times New Roman"/>
          <w:sz w:val="21"/>
        </w:rPr>
        <w:t>The Executive Summary's practical-path table (§8, p.17–18 in the front matter) is a more detailed, numbered version of this slide — useful if a panelist wants the recommendation broken down into concrete steps rather than principles. If asked how technical a team needs to be: Chapter 1 §1.2.3 (p.36) is specific — roughly 12–18 months of Python scripting experience, free and open-source libraries only, no dedicated data science hire.</w:t>
      </w:r>
    </w:p>
    <w:p>
      <w:pPr>
        <w:spacing w:after="120"/>
      </w:pPr>
      <w:r>
        <w:rPr>
          <w:color w:val="CCCCCC"/>
          <w:sz w:val="12"/>
        </w:rPr>
        <w:t>————————————————————————————————————————</w:t>
      </w:r>
    </w:p>
    <w:p>
      <w:pPr>
        <w:spacing w:before="80" w:after="40"/>
      </w:pPr>
      <w:r>
        <w:rPr>
          <w:rFonts w:ascii="Times New Roman" w:hAnsi="Times New Roman"/>
          <w:b/>
          <w:color w:val="1E2761"/>
          <w:sz w:val="28"/>
        </w:rPr>
        <w:t>Slide 23 — Limitations and Future Work</w:t>
      </w:r>
    </w:p>
    <w:p>
      <w:pPr>
        <w:spacing w:after="60"/>
      </w:pPr>
      <w:r>
        <w:rPr>
          <w:rFonts w:ascii="Times New Roman" w:hAnsi="Times New Roman"/>
          <w:b/>
          <w:color w:val="1C9C8E"/>
          <w:sz w:val="21"/>
        </w:rPr>
        <w:t xml:space="preserve">On the slide:  </w:t>
      </w:r>
      <w:r>
        <w:rPr>
          <w:rFonts w:ascii="Times New Roman" w:hAnsi="Times New Roman"/>
          <w:sz w:val="21"/>
        </w:rPr>
        <w:t>Single 56-day window; single LSTM architecture; linear stockout-cost model — each paired with a corresponding future-work item.</w:t>
      </w:r>
    </w:p>
    <w:p>
      <w:pPr>
        <w:spacing w:after="60"/>
      </w:pPr>
      <w:r>
        <w:rPr>
          <w:rFonts w:ascii="Times New Roman" w:hAnsi="Times New Roman"/>
          <w:b/>
          <w:color w:val="1C9C8E"/>
          <w:sz w:val="21"/>
        </w:rPr>
        <w:t xml:space="preserve">Thesis reference:  </w:t>
      </w:r>
      <w:r>
        <w:rPr>
          <w:rFonts w:ascii="Times New Roman" w:hAnsi="Times New Roman"/>
          <w:i/>
          <w:sz w:val="21"/>
        </w:rPr>
        <w:t>Chapter 5, §5.10 “Limitations” (p.115) for the inventory-simulation-specific limitations; Chapter 6, §6.7 “Validity Threats” (p.125), §6.8 “Extended Limitations” (p.126), and §6.9 “Implications for Future Research” (p.127) for the fuller discussion.</w:t>
      </w:r>
    </w:p>
    <w:p>
      <w:pPr>
        <w:spacing w:after="280"/>
        <w:jc w:val="both"/>
      </w:pPr>
      <w:r>
        <w:rPr>
          <w:rFonts w:ascii="Times New Roman" w:hAnsi="Times New Roman"/>
          <w:b/>
          <w:color w:val="1C9C8E"/>
          <w:sz w:val="21"/>
        </w:rPr>
        <w:t xml:space="preserve">What to review:  </w:t>
      </w:r>
      <w:r>
        <w:rPr>
          <w:rFonts w:ascii="Times New Roman" w:hAnsi="Times New Roman"/>
          <w:sz w:val="21"/>
        </w:rPr>
        <w:t>§6.7 “Validity Threats” is worth a careful read on its own — it is written in more formal threats-to-validity language (internal/external/construct validity) than the deck's plain “what we don't claim” framing, and a methodologically-minded panelist may use that vocabulary in their question.</w:t>
      </w:r>
    </w:p>
    <w:p>
      <w:pPr>
        <w:spacing w:after="120"/>
      </w:pPr>
      <w:r>
        <w:rPr>
          <w:color w:val="CCCCCC"/>
          <w:sz w:val="12"/>
        </w:rPr>
        <w:t>————————————————————————————————————————</w:t>
      </w:r>
    </w:p>
    <w:p>
      <w:pPr>
        <w:spacing w:before="80" w:after="40"/>
      </w:pPr>
      <w:r>
        <w:rPr>
          <w:rFonts w:ascii="Times New Roman" w:hAnsi="Times New Roman"/>
          <w:b/>
          <w:color w:val="1E2761"/>
          <w:sz w:val="28"/>
        </w:rPr>
        <w:t>Slide 24 — Conclusion</w:t>
      </w:r>
    </w:p>
    <w:p>
      <w:pPr>
        <w:spacing w:after="60"/>
      </w:pPr>
      <w:r>
        <w:rPr>
          <w:rFonts w:ascii="Times New Roman" w:hAnsi="Times New Roman"/>
          <w:b/>
          <w:color w:val="1C9C8E"/>
          <w:sz w:val="21"/>
        </w:rPr>
        <w:t xml:space="preserve">On the slide:  </w:t>
      </w:r>
      <w:r>
        <w:rPr>
          <w:rFonts w:ascii="Times New Roman" w:hAnsi="Times New Roman"/>
          <w:sz w:val="21"/>
        </w:rPr>
        <w:t>The value of ML forecasting is real but conditional, not automatic; the barrier removed is informational, not financial.</w:t>
      </w:r>
    </w:p>
    <w:p>
      <w:pPr>
        <w:spacing w:after="60"/>
      </w:pPr>
      <w:r>
        <w:rPr>
          <w:rFonts w:ascii="Times New Roman" w:hAnsi="Times New Roman"/>
          <w:b/>
          <w:color w:val="1C9C8E"/>
          <w:sz w:val="21"/>
        </w:rPr>
        <w:t xml:space="preserve">Thesis reference:  </w:t>
      </w:r>
      <w:r>
        <w:rPr>
          <w:rFonts w:ascii="Times New Roman" w:hAnsi="Times New Roman"/>
          <w:i/>
          <w:sz w:val="21"/>
        </w:rPr>
        <w:t>Chapter 7, §7.5 “Closing Remarks” (p.133, the thesis's final paragraphs) and §7.4 “Principal Contributions” (p.132) immediately before it.</w:t>
      </w:r>
    </w:p>
    <w:p>
      <w:pPr>
        <w:spacing w:after="280"/>
        <w:jc w:val="both"/>
      </w:pPr>
      <w:r>
        <w:rPr>
          <w:rFonts w:ascii="Times New Roman" w:hAnsi="Times New Roman"/>
          <w:b/>
          <w:color w:val="1C9C8E"/>
          <w:sz w:val="21"/>
        </w:rPr>
        <w:t xml:space="preserve">What to review:  </w:t>
      </w:r>
      <w:r>
        <w:rPr>
          <w:rFonts w:ascii="Times New Roman" w:hAnsi="Times New Roman"/>
          <w:sz w:val="21"/>
        </w:rPr>
        <w:t>The “informational, not financial” line is original phrasing for the deck, not a direct quote — if asked to point to where the thesis says this, the closest textual anchor is §7.5's closing paragraph, which makes the same point in different words (the free, open-source pipeline removes the cost barrier; the diagnostic removes the uncertainty barrier).</w:t>
      </w:r>
    </w:p>
    <w:p>
      <w:pPr>
        <w:spacing w:after="120"/>
      </w:pPr>
      <w:r>
        <w:rPr>
          <w:color w:val="CCCCCC"/>
          <w:sz w:val="12"/>
        </w:rPr>
        <w:t>————————————————————————————————————————</w:t>
      </w:r>
    </w:p>
    <w:p>
      <w:pPr>
        <w:spacing w:before="80" w:after="40"/>
      </w:pPr>
      <w:r>
        <w:rPr>
          <w:rFonts w:ascii="Times New Roman" w:hAnsi="Times New Roman"/>
          <w:b/>
          <w:color w:val="1E2761"/>
          <w:sz w:val="28"/>
        </w:rPr>
        <w:t>Slide 25 — Thank You</w:t>
      </w:r>
    </w:p>
    <w:p>
      <w:pPr>
        <w:spacing w:after="60"/>
      </w:pPr>
      <w:r>
        <w:rPr>
          <w:rFonts w:ascii="Times New Roman" w:hAnsi="Times New Roman"/>
          <w:b/>
          <w:color w:val="1C9C8E"/>
          <w:sz w:val="21"/>
        </w:rPr>
        <w:t xml:space="preserve">On the slide:  </w:t>
      </w:r>
      <w:r>
        <w:rPr>
          <w:rFonts w:ascii="Times New Roman" w:hAnsi="Times New Roman"/>
          <w:sz w:val="21"/>
        </w:rPr>
        <w:t>Closing slide; invites questions.</w:t>
      </w:r>
    </w:p>
    <w:p>
      <w:pPr>
        <w:spacing w:after="60"/>
      </w:pPr>
      <w:r>
        <w:rPr>
          <w:rFonts w:ascii="Times New Roman" w:hAnsi="Times New Roman"/>
          <w:b/>
          <w:color w:val="1C9C8E"/>
          <w:sz w:val="21"/>
        </w:rPr>
        <w:t xml:space="preserve">Thesis reference:  </w:t>
      </w:r>
      <w:r>
        <w:rPr>
          <w:rFonts w:ascii="Times New Roman" w:hAnsi="Times New Roman"/>
          <w:i/>
          <w:sz w:val="21"/>
        </w:rPr>
        <w:t>N/A — no thesis content. Speaker notes direct you back to Slides 10–11 if opened with a challenge to the 21%→−1.5% reversal.</w:t>
      </w:r>
    </w:p>
    <w:p>
      <w:pPr>
        <w:spacing w:after="280"/>
        <w:jc w:val="both"/>
      </w:pPr>
      <w:r>
        <w:rPr>
          <w:rFonts w:ascii="Times New Roman" w:hAnsi="Times New Roman"/>
          <w:b/>
          <w:color w:val="1C9C8E"/>
          <w:sz w:val="21"/>
        </w:rPr>
        <w:t xml:space="preserve">What to review:  </w:t>
      </w:r>
      <w:r>
        <w:rPr>
          <w:rFonts w:ascii="Times New Roman" w:hAnsi="Times New Roman"/>
          <w:sz w:val="21"/>
        </w:rPr>
        <w:t>Re-read the Defense Q&amp;A Card once more before this moment — the two hardest questions (simulation initialisation, statistical significance) are most likely to surface in the open discussion this slide invites.</w:t>
      </w:r>
    </w:p>
    <w:p>
      <w:pPr>
        <w:spacing w:after="120"/>
      </w:pPr>
      <w:r>
        <w:rPr>
          <w:color w:val="CCCCCC"/>
          <w:sz w:val="12"/>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