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APPENDIX A</w:t>
      </w:r>
    </w:p>
    <w:p>
      <w:pPr>
        <w:spacing w:after="360"/>
        <w:jc w:val="center"/>
      </w:pPr>
      <w:r>
        <w:rPr>
          <w:rFonts w:ascii="Arial" w:hAnsi="Arial"/>
          <w:b/>
          <w:i/>
          <w:sz w:val="28"/>
        </w:rPr>
        <w:t>Reproducibility — Library Versions, Hyperparameters, and Deliverables</w:t>
      </w:r>
    </w:p>
    <w:p>
      <w:pPr>
        <w:pStyle w:val="Heading1"/>
      </w:pPr>
      <w:r>
        <w:rPr>
          <w:rFonts w:ascii="Arial" w:hAnsi="Arial"/>
          <w:color w:val="000000"/>
        </w:rPr>
        <w:t>A.1 Library Versions</w:t>
      </w:r>
    </w:p>
    <w:p>
      <w:pPr>
        <w:spacing w:after="160"/>
      </w:pPr>
      <w:r>
        <w:rPr>
          <w:rFonts w:ascii="Arial" w:hAnsi="Arial"/>
          <w:i w:val="0"/>
          <w:sz w:val="22"/>
        </w:rPr>
        <w:t>All experiments documented in Chapters 3 through 5 were executed on a single MacBook running macOS 14 with 16 GB RAM, no GPU, using Python 3.11 in a dedicated virtual environment. The pinned versions of all major dependencies are listed below. The full list (including transitive dependencies) is obtainable by running `pip freeze` inside the project's retail_forecasting_env environment.</w:t>
      </w:r>
    </w:p>
    <w:p>
      <w:pPr>
        <w:spacing w:after="80"/>
      </w:pPr>
      <w:r>
        <w:rPr>
          <w:rFonts w:ascii="Arial" w:hAnsi="Arial"/>
          <w:i/>
          <w:sz w:val="20"/>
        </w:rPr>
        <w:t>Table A.1: Pinned library versions used in the experiments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Package</w:t>
            </w:r>
          </w:p>
        </w:tc>
        <w:tc>
          <w:tcPr>
            <w:tcW w:type="dxa" w:w="312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Pinned version</w:t>
            </w:r>
          </w:p>
        </w:tc>
        <w:tc>
          <w:tcPr>
            <w:tcW w:type="dxa" w:w="312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Role in pipeline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Python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3.11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Interpreter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pandas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2.2.3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Tabular data manipulation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numpy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1.26.4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Numerical arrays, simulation engine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scikit-learn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1.5.2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Random Forest, train/test split utilities, scaling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lightgbm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4.5.0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Gradient boosting (Tier 2) and quantile regression (Tier 5)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xgboost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2.1.2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Gradient boosting with Tweedie loss (Tier 2)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tensorflow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2.16.2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LSTM (Tier 3) via Keras API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statsforecast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1.7.6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Tier 1 classical baselines (Croston, AutoARIMA, etc.)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statsmodels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0.14.2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Reserved for legacy ARIMA cross-checks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shap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0.46.0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Feature importance attribution (§3.10, §4.11)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matplotlib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3.9.2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Plot generation for thesis figures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seaborn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0.13.2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Plot styling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pyarrow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17.0.0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Parquet I/O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joblib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1.4.2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Model serialisation (.pkl)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python-docx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1.1.2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Programmatic generation of chapter docx files</w:t>
            </w:r>
          </w:p>
        </w:tc>
      </w:tr>
    </w:tbl>
    <w:p>
      <w:pPr>
        <w:spacing w:after="240"/>
      </w:pPr>
      <w:r>
        <w:rPr>
          <w:rFonts w:ascii="Arial" w:hAnsi="Arial"/>
          <w:i w:val="0"/>
          <w:sz w:val="22"/>
        </w:rPr>
      </w:r>
    </w:p>
    <w:p>
      <w:pPr>
        <w:spacing w:after="160"/>
      </w:pPr>
      <w:r>
        <w:rPr>
          <w:rFonts w:ascii="Arial" w:hAnsi="Arial"/>
          <w:i/>
          <w:sz w:val="20"/>
        </w:rPr>
        <w:t>All packages are MIT, BSD, or Apache 2.0 licensed and freely available via pip. No commercial or enterprise dependency is required.</w:t>
      </w:r>
    </w:p>
    <w:p>
      <w:pPr>
        <w:pStyle w:val="Heading1"/>
      </w:pPr>
      <w:r>
        <w:rPr>
          <w:rFonts w:ascii="Arial" w:hAnsi="Arial"/>
          <w:color w:val="000000"/>
        </w:rPr>
        <w:t>A.2 Final Chosen Hyperparameters</w:t>
      </w:r>
    </w:p>
    <w:p>
      <w:pPr>
        <w:spacing w:after="160"/>
      </w:pPr>
      <w:r>
        <w:rPr>
          <w:rFonts w:ascii="Arial" w:hAnsi="Arial"/>
          <w:i w:val="0"/>
          <w:sz w:val="22"/>
        </w:rPr>
        <w:t>Table A.2 documents the final hyperparameter values selected for each model after the two-stage search described in §3.6.3 (coarse random search followed by grid refinement under walk-forward CV).</w:t>
      </w:r>
    </w:p>
    <w:p>
      <w:pPr>
        <w:spacing w:after="80"/>
      </w:pPr>
      <w:r>
        <w:rPr>
          <w:rFonts w:ascii="Arial" w:hAnsi="Arial"/>
          <w:i/>
          <w:sz w:val="20"/>
        </w:rPr>
        <w:t>Table A.2: Final hyperparameter values per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Model</w:t>
            </w:r>
          </w:p>
        </w:tc>
        <w:tc>
          <w:tcPr>
            <w:tcW w:type="dxa" w:w="312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Hyperparameter</w:t>
            </w:r>
          </w:p>
        </w:tc>
        <w:tc>
          <w:tcPr>
            <w:tcW w:type="dxa" w:w="312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Final value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LightGBM (Tweedie)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n_estimators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2000 (early-stopped on val MAE)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learning_rate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0.05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num_leaves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63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min_child_samples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50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subsample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colsample_bytree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objective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tweedie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tweedie_variance_power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XGBoost (Tweedie)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n_estimators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2000 (early-stopped)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learning_rate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0.05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max_depth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subsample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colsample_bytree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reg_lambda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objective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reg:tweedie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tweedie_variance_power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1.1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Random Forest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n_estimators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300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max_depth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min_samples_leaf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LSTM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layers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Stacked LSTM(128) → Dropout(0.2) → LSTM(64) → Dropout(0.2) → Dense(1)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lookback window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28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target transform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log1p (inverse: expm1, clip ≥ 0)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loss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MSE in log space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optimiser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Adam (lr 1e-3)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batch size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256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max epochs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50 (early stopping, patience 5)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Stacking ensemble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base learners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LightGBM, XGBoost, Random Forest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meta-learner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Ridge regression (sklearn)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Ridge α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Ridge fit_intercept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True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Ridge positive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True (non-negative weights)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LightGBM quantile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quantile levels α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0.10, 0.50, 0.90, 0.95, 0.99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n_estimators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2000 per quantile (early-stopped)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learning_rate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0.05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num_leaves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63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objective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quantile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AutoARIMA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season_length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7 (weekly)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selection criterion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AIC (statsforecast default)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Croston-SBA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α (smoothing)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default (statsforecast auto)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A.3 OUTL and Economic Constants</w:t>
      </w:r>
    </w:p>
    <w:p>
      <w:pPr>
        <w:spacing w:after="160"/>
      </w:pPr>
      <w:r>
        <w:rPr>
          <w:rFonts w:ascii="Arial" w:hAnsi="Arial"/>
          <w:i w:val="0"/>
          <w:sz w:val="22"/>
        </w:rPr>
        <w:t>The (R, s, S) inventory policy and cost calculations use the constants specified in methodology §3.7.2: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Constant</w:t>
            </w:r>
          </w:p>
        </w:tc>
        <w:tc>
          <w:tcPr>
            <w:tcW w:type="dxa" w:w="23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Symbol</w:t>
            </w:r>
          </w:p>
        </w:tc>
        <w:tc>
          <w:tcPr>
            <w:tcW w:type="dxa" w:w="23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Value</w:t>
            </w:r>
          </w:p>
        </w:tc>
        <w:tc>
          <w:tcPr>
            <w:tcW w:type="dxa" w:w="23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Source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Review period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7 days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§3.7 (weekly review, SME standard)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Carrying rate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h%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25% of unit cost / year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Silver, Pyke &amp; Thomas (2017)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Ordering cost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K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$50 per order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SME typical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Gross margin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40% (unit_cost = 0.6 × price)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Retail industry typical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Target service level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95%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Chapter 1 primary target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z-score @ 95% SL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z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1.6449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Standard normal inverse CDF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Days per year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365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Annualisation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Lead-time scenarios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7, 10, 14, 21 days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§3.7.3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Stockout cost multipliers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m_sc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0.4, 1.0, 2.0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20"/>
              </w:rPr>
              <w:t>§3.7.5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A.4 Deliverables Inventory</w:t>
      </w:r>
    </w:p>
    <w:p>
      <w:pPr>
        <w:spacing w:after="160"/>
      </w:pPr>
      <w:r>
        <w:rPr>
          <w:rFonts w:ascii="Arial" w:hAnsi="Arial"/>
          <w:i w:val="0"/>
          <w:sz w:val="22"/>
        </w:rPr>
        <w:t>The following artefacts accompany the thesis (available in the project repository):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Artefact</w:t>
            </w:r>
          </w:p>
        </w:tc>
        <w:tc>
          <w:tcPr>
            <w:tcW w:type="dxa" w:w="312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Path</w:t>
            </w:r>
          </w:p>
        </w:tc>
        <w:tc>
          <w:tcPr>
            <w:tcW w:type="dxa" w:w="312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Source code (notebooks)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notebooks/01_eda.ipynb … 12_dashboard_exports.ipynb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End-to-end pipeline from raw M5 ingestion to Power BI exports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Shared utilities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src/forecasting_utils.py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Chronological split, walk-forward folds, MAE/RMSE/MAPE/WMAPE/Pred10/Pinball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Simulation engine (supervisor's script)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inventory_simulation.py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Forward (R, s, S) simulation used for Chapter 5 measurements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Falsification tests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falsification_tests.py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Engine validation for §5.3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Stratified subsample data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data/processed/subsample_features.parquet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502 product-store series used in all experiments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Simulation results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data/processed/simulation_results.csv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Full grid of (L × m × policy) simulated cost outcomes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Dashboard CSV exports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data/processed/powerbi/*.csv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Five data feeds for Power BI: forecasts, inventory_params, cost_analysis, sensitivity, kpi_summary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Power BI dashboard file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Retail_Demand_Dashboard_Report.pbix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Live dashboard with the four pages described in §5.8. Submitted alongside the thesis; open in Power BI Desktop to interact with all four report pages.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Trained model artefacts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models/lightgbm.pkl, xgboost.pkl, random_forest.pkl, lstm_model.keras, lgbm_quantile_models.pkl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Serialised models for re-prediction without retraining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Build scripts (this thesis)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build_chapter3.py, …, build_chapter7.py, build_front_matter.py, build_references_clean.py, build_reproducibility_appendix.py, insert_*.py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Reproducible regeneration of the docx chapters from source data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Final thesis assembly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[combined docx — assembled by user from chapter files]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20"/>
              </w:rPr>
              <w:t>Single-document thesis for submission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A.5 How to Reproduce</w:t>
      </w:r>
    </w:p>
    <w:p>
      <w:pPr>
        <w:spacing w:after="160"/>
      </w:pPr>
      <w:r>
        <w:rPr>
          <w:rFonts w:ascii="Arial" w:hAnsi="Arial"/>
          <w:i w:val="0"/>
          <w:sz w:val="22"/>
        </w:rPr>
        <w:t>To reproduce the experiments end-to-end:</w:t>
      </w:r>
    </w:p>
    <w:p>
      <w:pPr>
        <w:spacing w:after="160"/>
      </w:pPr>
      <w:r>
        <w:rPr>
          <w:rFonts w:ascii="Arial" w:hAnsi="Arial"/>
          <w:i w:val="0"/>
          <w:sz w:val="22"/>
        </w:rPr>
        <w:t xml:space="preserve">  1. Clone the repository and create a Python 3.11 virtual environment (retail_forecasting_env).</w:t>
      </w:r>
    </w:p>
    <w:p>
      <w:pPr>
        <w:spacing w:after="160"/>
      </w:pPr>
      <w:r>
        <w:rPr>
          <w:rFonts w:ascii="Arial" w:hAnsi="Arial"/>
          <w:i w:val="0"/>
          <w:sz w:val="22"/>
        </w:rPr>
        <w:t xml:space="preserve">  2. Install pinned dependencies via `pip install -r requirements.txt` (the requirements file in the repository root lists the same packages as Table A.1, with versions adjusted to the user's platform).</w:t>
      </w:r>
    </w:p>
    <w:p>
      <w:pPr>
        <w:spacing w:after="160"/>
      </w:pPr>
      <w:r>
        <w:rPr>
          <w:rFonts w:ascii="Arial" w:hAnsi="Arial"/>
          <w:i w:val="0"/>
          <w:sz w:val="22"/>
        </w:rPr>
        <w:t xml:space="preserve">  3. Download the M5-Forecasting (Walmart) dataset from Kaggle and place the three raw files (sales_train_validation.csv, calendar.csv, sell_prices.csv) into data/raw/.</w:t>
      </w:r>
    </w:p>
    <w:p>
      <w:pPr>
        <w:spacing w:after="160"/>
      </w:pPr>
      <w:r>
        <w:rPr>
          <w:rFonts w:ascii="Arial" w:hAnsi="Arial"/>
          <w:i w:val="0"/>
          <w:sz w:val="22"/>
        </w:rPr>
        <w:t xml:space="preserve">  4. Run the notebooks in numerical order (01_eda.ipynb → 12_dashboard_exports.ipynb). Total runtime: under three hours on the specified hardware.</w:t>
      </w:r>
    </w:p>
    <w:p>
      <w:pPr>
        <w:spacing w:after="160"/>
      </w:pPr>
      <w:r>
        <w:rPr>
          <w:rFonts w:ascii="Arial" w:hAnsi="Arial"/>
          <w:i w:val="0"/>
          <w:sz w:val="22"/>
        </w:rPr>
        <w:t xml:space="preserve">  5. Run inventory_simulation.py (after setting `use_real = True` via the default behaviour of the script's main()) to regenerate simulation_results.csv.</w:t>
      </w:r>
    </w:p>
    <w:p>
      <w:pPr>
        <w:spacing w:after="160"/>
      </w:pPr>
      <w:r>
        <w:rPr>
          <w:rFonts w:ascii="Arial" w:hAnsi="Arial"/>
          <w:i w:val="0"/>
          <w:sz w:val="22"/>
        </w:rPr>
        <w:t xml:space="preserve">  6. Run falsification_tests.py to regenerate the engine-validation table of §5.3.</w:t>
      </w:r>
    </w:p>
    <w:p>
      <w:pPr>
        <w:spacing w:after="160"/>
      </w:pPr>
      <w:r>
        <w:rPr>
          <w:rFonts w:ascii="Arial" w:hAnsi="Arial"/>
          <w:i w:val="0"/>
          <w:sz w:val="22"/>
        </w:rPr>
        <w:t xml:space="preserve">  7. Open Retail_Demand_Dashboard_Report in Power BI Service (or load the .pbix in Power BI Desktop), refresh the data connection to the five CSVs in data/processed/powerbi/, and export each of the four pages as PNG for the figures of §5.8.</w:t>
      </w:r>
    </w:p>
    <w:p>
      <w:pPr>
        <w:pStyle w:val="Heading1"/>
      </w:pPr>
      <w:r>
        <w:rPr>
          <w:rFonts w:ascii="Arial" w:hAnsi="Arial"/>
          <w:color w:val="000000"/>
        </w:rPr>
        <w:t>A.6 Full Simulation Grid</w:t>
      </w:r>
    </w:p>
    <w:p>
      <w:pPr>
        <w:spacing w:after="160"/>
      </w:pPr>
      <w:r>
        <w:rPr>
          <w:rFonts w:ascii="Arial" w:hAnsi="Arial"/>
          <w:i w:val="0"/>
          <w:sz w:val="22"/>
        </w:rPr>
        <w:t>Table A.4 reproduces the complete forward-simulation output referenced in §5.2 (simulation_results.csv): every combination of lead time (7, 10, 14, 21 days) and stockout-cost multiplier (0.4, 1.0, 2.0) for each of the three policies, at the primary 95% service-level target. All monetary values are annualised. Because no policy stocks out on the test window, the realised service level is 100% and the stockout cost (SC) is zero throughout, and the total cost (TC) is invariant to the stockout multiplier — the three multiplier rows for a given lead time and policy are therefore identical.</w:t>
      </w:r>
    </w:p>
    <w:p>
      <w:pPr>
        <w:spacing w:after="160"/>
      </w:pPr>
      <w:r>
        <w:rPr>
          <w:rFonts w:ascii="Arial" w:hAnsi="Arial"/>
          <w:i/>
          <w:sz w:val="20"/>
        </w:rPr>
        <w:t>Table A.4: Full forward-simulation grid (SL target = 95%)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L (d)</w:t>
            </w:r>
          </w:p>
        </w:tc>
        <w:tc>
          <w:tcPr>
            <w:tcW w:type="dxa" w:w="10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m</w:t>
            </w:r>
          </w:p>
        </w:tc>
        <w:tc>
          <w:tcPr>
            <w:tcW w:type="dxa" w:w="10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Policy</w:t>
            </w:r>
          </w:p>
        </w:tc>
        <w:tc>
          <w:tcPr>
            <w:tcW w:type="dxa" w:w="10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Realised SL</w:t>
            </w:r>
          </w:p>
        </w:tc>
        <w:tc>
          <w:tcPr>
            <w:tcW w:type="dxa" w:w="10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SS (units)</w:t>
            </w:r>
          </w:p>
        </w:tc>
        <w:tc>
          <w:tcPr>
            <w:tcW w:type="dxa" w:w="10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HC ($)</w:t>
            </w:r>
          </w:p>
        </w:tc>
        <w:tc>
          <w:tcPr>
            <w:tcW w:type="dxa" w:w="10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OC ($)</w:t>
            </w:r>
          </w:p>
        </w:tc>
        <w:tc>
          <w:tcPr>
            <w:tcW w:type="dxa" w:w="10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SC ($)</w:t>
            </w:r>
          </w:p>
        </w:tc>
        <w:tc>
          <w:tcPr>
            <w:tcW w:type="dxa" w:w="104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TC ($)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3,771.80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60,688.35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61,020.17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3,732.90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60,678.33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61,010.15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5,133.50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61,492.81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61,824.63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3,771.80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60,688.35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61,020.17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3,732.90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60,678.33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61,010.15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5,133.50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61,492.81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61,824.63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3,771.80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60,688.35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61,020.17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3,732.90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60,678.33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61,010.15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5,133.50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61,492.81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61,824.63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4,156.40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61,793.03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62,124.85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4,113.50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61,781.99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62,113.81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5,656.80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62,679.50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63,011.31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4,156.40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61,793.03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62,124.85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4,113.50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61,781.99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62,113.81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5,656.80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62,679.50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63,011.31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4,156.40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61,793.03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62,124.85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4,113.50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61,781.99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62,113.81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5,656.80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62,679.50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63,011.31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4,619.50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63,255.68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63,587.50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4,571.90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63,243.40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63,575.22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6,287.20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64,240.93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64,572.75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4,619.50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63,255.68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63,587.50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4,571.90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63,243.40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63,575.22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6,287.20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64,240.93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64,572.75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4,619.50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63,255.68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63,587.50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4,571.90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63,243.40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63,575.22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6,287.20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64,240.93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64,572.75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5,334.20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65,851.75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66,183.56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5,279.20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65,837.57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66,169.39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7,259.80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66,989.41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67,321.23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5,334.20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65,851.75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66,183.56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5,279.20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65,837.57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66,169.39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7,259.80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66,989.41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67,321.23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5,334.20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65,851.75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66,183.56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5,279.20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65,837.57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66,169.39</w:t>
            </w:r>
          </w:p>
        </w:tc>
      </w:tr>
      <w:tr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100.0%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7,259.80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66,989.41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331.82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040"/>
          </w:tcPr>
          <w:p>
            <w:r/>
            <w:r>
              <w:rPr>
                <w:rFonts w:ascii="Arial" w:hAnsi="Arial"/>
                <w:sz w:val="20"/>
              </w:rPr>
              <w:t>67,321.23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</w:rPr>
        <w:t>A.7 Falsification Test — Per-Policy Detail</w:t>
      </w:r>
    </w:p>
    <w:p>
      <w:pPr>
        <w:spacing w:after="160"/>
      </w:pPr>
      <w:r>
        <w:rPr>
          <w:rFonts w:ascii="Arial" w:hAnsi="Arial"/>
          <w:i w:val="0"/>
          <w:sz w:val="22"/>
        </w:rPr>
        <w:t>The §5.3 falsification test establishes that the simulation engine registers stockouts correctly. Table 5.1 in the main text reports the aggregate (baseline-policy) result under each stress condition. Table A.5 supplements this with the per-policy breakdown under the demand ×3 stress condition (central case L = 14, target SL = 95%, stockout multiplier m = 1.0), which is used in the boundary-condition discussion of §5.6. Under a threefold demand shock, realised service falls to approximately 94% under all three policies; the ML-Empirical-Quantile policy ties the Classical baseline (+0.0% in total cost) while the ML-Gaussian policy is marginally worse (−0.5%). Even a threefold demand shock is therefore insufficient, on this subsample, to make the empirically calibrated quantile buffer pay off operationally.</w:t>
      </w:r>
    </w:p>
    <w:p>
      <w:pPr>
        <w:spacing w:after="160"/>
      </w:pPr>
      <w:r>
        <w:rPr>
          <w:rFonts w:ascii="Arial" w:hAnsi="Arial"/>
          <w:i/>
          <w:sz w:val="20"/>
        </w:rPr>
        <w:t>Table A.5: Per-policy outcome under the demand ×3 stress (L = 14, SL = 95%, m = 1.0)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Policy</w:t>
            </w:r>
          </w:p>
        </w:tc>
        <w:tc>
          <w:tcPr>
            <w:tcW w:type="dxa" w:w="156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Realised SL</w:t>
            </w:r>
          </w:p>
        </w:tc>
        <w:tc>
          <w:tcPr>
            <w:tcW w:type="dxa" w:w="156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Stockout units</w:t>
            </w:r>
          </w:p>
        </w:tc>
        <w:tc>
          <w:tcPr>
            <w:tcW w:type="dxa" w:w="156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Stockout cost ($)</w:t>
            </w:r>
          </w:p>
        </w:tc>
        <w:tc>
          <w:tcPr>
            <w:tcW w:type="dxa" w:w="156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Total cost ($)</w:t>
            </w:r>
          </w:p>
        </w:tc>
        <w:tc>
          <w:tcPr>
            <w:tcW w:type="dxa" w:w="1560"/>
            <w:shd w:val="clear" w:color="auto" w:fill="D5E8F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vs Classical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Classical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94.1%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6,328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87,691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154,905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—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ML-Gaussian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94.0%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6,418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88,447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155,659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−0.5%</w:t>
            </w:r>
          </w:p>
        </w:tc>
      </w:tr>
      <w:tr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ML-Emp-Quantile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94.1%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6,322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86,629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154,832</w:t>
            </w:r>
          </w:p>
        </w:tc>
        <w:tc>
          <w:tcPr>
            <w:tcW w:type="dxa" w:w="1560"/>
          </w:tcPr>
          <w:p>
            <w:r/>
            <w:r>
              <w:rPr>
                <w:rFonts w:ascii="Arial" w:hAnsi="Arial"/>
                <w:sz w:val="20"/>
              </w:rPr>
              <w:t>+0.0%</w:t>
            </w:r>
          </w:p>
        </w:tc>
      </w:tr>
    </w:tbl>
    <w:p>
      <w:pPr>
        <w:spacing w:after="160"/>
      </w:pPr>
      <w:r>
        <w:rPr>
          <w:rFonts w:ascii="Arial" w:hAnsi="Arial"/>
          <w:i w:val="0"/>
          <w:sz w:val="22"/>
        </w:rPr>
      </w:r>
    </w:p>
    <w:p>
      <w:pPr>
        <w:spacing w:after="160"/>
      </w:pPr>
      <w:r>
        <w:rPr>
          <w:rFonts w:ascii="Arial" w:hAnsi="Arial"/>
          <w:i/>
          <w:sz w:val="20"/>
        </w:rPr>
        <w:t>The four stress conditions of Table 5.1 (§5.3) confirm that the engine measures stockouts across the full range of severity: from a 74.0% realised service level and $124,338 stockout cost when safety stock is set to zero, through 94.1% under the demand ×3 shock, to a 0.0% service level and $469,556 stockout cost when replenishment is fully suppressed. The 100% realised service level reported for the baseline configuration therefore reflects demand genuinely being met, not a stockout counter that never fires.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