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CHAPTER 5</w:t>
      </w:r>
    </w:p>
    <w:p>
      <w:pPr>
        <w:spacing w:after="360"/>
        <w:jc w:val="center"/>
      </w:pPr>
      <w:r>
        <w:rPr>
          <w:rFonts w:ascii="Arial" w:hAnsi="Arial"/>
          <w:b/>
          <w:sz w:val="32"/>
        </w:rPr>
        <w:t>Inventory Optimisation and Dashboard</w:t>
      </w:r>
    </w:p>
    <w:p>
      <w:pPr>
        <w:pStyle w:val="Heading1"/>
      </w:pPr>
      <w:r>
        <w:rPr>
          <w:rFonts w:ascii="Arial" w:hAnsi="Arial"/>
          <w:color w:val="000000"/>
        </w:rPr>
        <w:t>5.1 Introduction</w:t>
      </w:r>
    </w:p>
    <w:p>
      <w:pPr>
        <w:spacing w:after="120"/>
      </w:pPr>
      <w:r>
        <w:rPr>
          <w:rFonts w:ascii="Arial" w:hAnsi="Arial"/>
          <w:b w:val="0"/>
          <w:i w:val="0"/>
          <w:sz w:val="22"/>
        </w:rPr>
        <w:t>This chapter presents the operational layer of the thesis. The point and quantile forecasts produced in Chapter 4 are integrated with the Order-Up-To-Level (OUTL) policy specified in §3.7 to compute safety stock, reorder point, order-up-to level, and total annual inventory cost across the four lead-time scenarios and three service-level targets defined in Chapter 1. Three forecasting policies are compared on a like-for-like basis: Classical (Croston-SBA forecasts feeding a Gaussian safety-stock formula), ML-Gaussian (stacking-ensemble forecasts feeding the same Gaussian formula), and ML-Empirical-Quantile (LightGBM quantile forecasts feeding an empirical safety-stock calculation).</w:t>
      </w:r>
    </w:p>
    <w:p>
      <w:pPr>
        <w:spacing w:after="120"/>
      </w:pPr>
      <w:r>
        <w:rPr>
          <w:rFonts w:ascii="Arial" w:hAnsi="Arial"/>
          <w:b w:val="0"/>
          <w:i w:val="0"/>
          <w:sz w:val="22"/>
        </w:rPr>
        <w:t>The chapter's central empirical contribution is the quantification of a methodological gap identified by Seyedan et al. (2023) but not previously measured on the M5 dataset: the Gaussian formula SS = z · σ · √(R+L) systematically under-allocates safety stock relative to the true demand distribution of intermittent retail series. The empirical quantile spread (q₀.₉₅ − q₀.₅₀) is found to be 1.36 times the Gaussian-implied buffer, corresponding to an effective service level of approximately 83% when 95% is targeted. This finding has direct cost implications, which are quantified through a four-dimensional sensitivity analysis covering MAPE, lead time, service level, and stockout cost.</w:t>
      </w:r>
    </w:p>
    <w:p>
      <w:pPr>
        <w:spacing w:after="120"/>
      </w:pPr>
      <w:r>
        <w:rPr>
          <w:rFonts w:ascii="Arial" w:hAnsi="Arial"/>
          <w:b w:val="0"/>
          <w:i w:val="0"/>
          <w:sz w:val="22"/>
        </w:rPr>
        <w:t>The chapter is structured as follows. Section 5.2 documents the OUTL parameter implementation. Section 5.3 presents the safety stock results comparing Gaussian and empirical-quantile policies. Section 5.4 decomposes annual inventory cost into holding, ordering, and stockout components. Section 5.5 presents the headline total-cost reduction result. Section 5.6 examines variation across lead-time scenarios. Section 5.7 reports the four-dimensional sensitivity analysis. Section 5.8 describes the Power BI dashboard. Sections 5.9 and 5.10 discuss the findings and limitations respectively. Section 5.11 summarises the chapter.</w:t>
      </w:r>
    </w:p>
    <w:p>
      <w:pPr>
        <w:pStyle w:val="Heading1"/>
      </w:pPr>
      <w:r>
        <w:rPr>
          <w:rFonts w:ascii="Arial" w:hAnsi="Arial"/>
          <w:color w:val="000000"/>
        </w:rPr>
        <w:t>5.2 OUTL Parameter Implementation</w:t>
      </w:r>
    </w:p>
    <w:p>
      <w:pPr>
        <w:spacing w:after="120"/>
      </w:pPr>
      <w:r>
        <w:rPr>
          <w:rFonts w:ascii="Arial" w:hAnsi="Arial"/>
          <w:b w:val="0"/>
          <w:i w:val="0"/>
          <w:sz w:val="22"/>
        </w:rPr>
        <w:t>Per the methodology specification in §3.7, the periodic (R, s, S) review system is implemented with a review period of R = 7 days. For each of the 502 product-store series in the test set, the following parameters are computed:</w:t>
      </w:r>
    </w:p>
    <w:p>
      <w:pPr>
        <w:pStyle w:val="ListBullet"/>
      </w:pPr>
      <w:r>
        <w:rPr>
          <w:rFonts w:ascii="Arial" w:hAnsi="Arial"/>
          <w:sz w:val="22"/>
        </w:rPr>
        <w:t>Safety stock SS — computed in two parallel forms: the Gaussian form z · σ · √(R+L) where σ is the standard deviation of forecast residuals on the test set, and the empirical form (q₀.₉₅ − q₀.₅₀) · √(R+L) where the quantile spread is taken from the LightGBM quantile-regression model of Tier 5.</w:t>
      </w:r>
    </w:p>
    <w:p>
      <w:pPr>
        <w:pStyle w:val="ListBullet"/>
      </w:pPr>
      <w:r>
        <w:rPr>
          <w:rFonts w:ascii="Arial" w:hAnsi="Arial"/>
          <w:sz w:val="22"/>
        </w:rPr>
        <w:t>Reorder point r — computed as the mean forecast demand over the review-plus-lead-time horizon plus the safety stock buffer.</w:t>
      </w:r>
    </w:p>
    <w:p>
      <w:pPr>
        <w:pStyle w:val="ListBullet"/>
      </w:pPr>
      <w:r>
        <w:rPr>
          <w:rFonts w:ascii="Arial" w:hAnsi="Arial"/>
          <w:sz w:val="22"/>
        </w:rPr>
        <w:t>Order quantity Q — computed via the Economic Order Quantity (EOQ) formula Q* = √(2·D·K/h), decoupling order frequency from forecast level to isolate the inventory carrying-cost effect of forecast quality.</w:t>
      </w:r>
    </w:p>
    <w:p>
      <w:pPr>
        <w:pStyle w:val="ListBullet"/>
      </w:pPr>
      <w:r>
        <w:rPr>
          <w:rFonts w:ascii="Arial" w:hAnsi="Arial"/>
          <w:sz w:val="22"/>
        </w:rPr>
        <w:t>Order-up-to level S — computed as r + Q.</w:t>
      </w:r>
    </w:p>
    <w:p>
      <w:pPr>
        <w:pStyle w:val="ListBullet"/>
      </w:pPr>
      <w:r>
        <w:rPr>
          <w:rFonts w:ascii="Arial" w:hAnsi="Arial"/>
          <w:sz w:val="22"/>
        </w:rPr>
        <w:t>Annual cost components — holding cost HC = (SS + Q/2)·h, ordering cost OC = (D/Q)·K, and stockout cost SC = (target_SL − achieved_SL)·D·unit_cost·m per §3.7.5.</w:t>
      </w:r>
    </w:p>
    <w:p>
      <w:pPr>
        <w:spacing w:after="120"/>
      </w:pPr>
      <w:r>
        <w:rPr>
          <w:rFonts w:ascii="Arial" w:hAnsi="Arial"/>
          <w:b w:val="0"/>
          <w:i w:val="0"/>
          <w:sz w:val="22"/>
        </w:rPr>
        <w:t>Economic constants follow methodology §3.7.2: carrying rate 25% of unit cost per year, fixed ordering cost $50 per order, gross margin 40% (so unit cost = 0.6 × selling price). The achieved service level under the Gaussian policy is computed by projecting the Gaussian SS buffer onto the empirical demand distribution captured by the quantile model, yielding a per-series quantification of the Gaussian under-allocation gap.</w:t>
      </w:r>
    </w:p>
    <w:p>
      <w:pPr>
        <w:pStyle w:val="Heading1"/>
      </w:pPr>
      <w:r>
        <w:rPr>
          <w:rFonts w:ascii="Arial" w:hAnsi="Arial"/>
          <w:color w:val="000000"/>
        </w:rPr>
        <w:t>5.3 Safety Stock Results — Gaussian vs Empirical Quantile</w:t>
      </w:r>
    </w:p>
    <w:p>
      <w:pPr>
        <w:spacing w:after="120"/>
      </w:pPr>
      <w:r>
        <w:rPr>
          <w:rFonts w:ascii="Arial" w:hAnsi="Arial"/>
          <w:b w:val="0"/>
          <w:i w:val="0"/>
          <w:sz w:val="22"/>
        </w:rPr>
        <w:t>Table 5.1 reports the aggregate safety stock and inventory carrying-cost outcomes across all 502 series at the 95% service level for a 14-day lead time — the representative central case for the methodology's lead-time scenarios.</w:t>
      </w:r>
    </w:p>
    <w:p>
      <w:pPr>
        <w:spacing w:before="160" w:after="80"/>
      </w:pPr>
      <w:r>
        <w:rPr>
          <w:rFonts w:ascii="Arial" w:hAnsi="Arial"/>
          <w:b/>
          <w:sz w:val="20"/>
        </w:rPr>
        <w:t>Table 5.1: Aggregate safety stock and carrying cost (L = 14, SL = 95%)</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5E8F0"/>
            <w:vAlign w:val="center"/>
          </w:tcPr>
          <w:p>
            <w:r/>
            <w:r>
              <w:rPr>
                <w:rFonts w:ascii="Arial" w:hAnsi="Arial"/>
                <w:b/>
                <w:sz w:val="20"/>
              </w:rPr>
              <w:t>Policy</w:t>
            </w:r>
          </w:p>
        </w:tc>
        <w:tc>
          <w:tcPr>
            <w:tcW w:type="dxa" w:w="1872"/>
            <w:shd w:val="clear" w:color="auto" w:fill="D5E8F0"/>
            <w:vAlign w:val="center"/>
          </w:tcPr>
          <w:p>
            <w:r/>
            <w:r>
              <w:rPr>
                <w:rFonts w:ascii="Arial" w:hAnsi="Arial"/>
                <w:b/>
                <w:sz w:val="20"/>
              </w:rPr>
              <w:t>Total SS (units)</w:t>
            </w:r>
          </w:p>
        </w:tc>
        <w:tc>
          <w:tcPr>
            <w:tcW w:type="dxa" w:w="1872"/>
            <w:shd w:val="clear" w:color="auto" w:fill="D5E8F0"/>
            <w:vAlign w:val="center"/>
          </w:tcPr>
          <w:p>
            <w:r/>
            <w:r>
              <w:rPr>
                <w:rFonts w:ascii="Arial" w:hAnsi="Arial"/>
                <w:b/>
                <w:sz w:val="20"/>
              </w:rPr>
              <w:t>Mean SS per series</w:t>
            </w:r>
          </w:p>
        </w:tc>
        <w:tc>
          <w:tcPr>
            <w:tcW w:type="dxa" w:w="1872"/>
            <w:shd w:val="clear" w:color="auto" w:fill="D5E8F0"/>
            <w:vAlign w:val="center"/>
          </w:tcPr>
          <w:p>
            <w:r/>
            <w:r>
              <w:rPr>
                <w:rFonts w:ascii="Arial" w:hAnsi="Arial"/>
                <w:b/>
                <w:sz w:val="20"/>
              </w:rPr>
              <w:t>Total HC ($)</w:t>
            </w:r>
          </w:p>
        </w:tc>
        <w:tc>
          <w:tcPr>
            <w:tcW w:type="dxa" w:w="1872"/>
            <w:shd w:val="clear" w:color="auto" w:fill="D5E8F0"/>
            <w:vAlign w:val="center"/>
          </w:tcPr>
          <w:p>
            <w:r/>
            <w:r>
              <w:rPr>
                <w:rFonts w:ascii="Arial" w:hAnsi="Arial"/>
                <w:b/>
                <w:sz w:val="20"/>
              </w:rPr>
              <w:t>Total OC ($)</w:t>
            </w:r>
          </w:p>
        </w:tc>
      </w:tr>
      <w:tr>
        <w:tc>
          <w:tcPr>
            <w:tcW w:type="dxa" w:w="1872"/>
            <w:vAlign w:val="center"/>
          </w:tcPr>
          <w:p>
            <w:r/>
            <w:r>
              <w:rPr>
                <w:rFonts w:ascii="Arial" w:hAnsi="Arial"/>
                <w:sz w:val="20"/>
              </w:rPr>
              <w:t>Classical (Croston-SBA, Gaussian SS)</w:t>
            </w:r>
          </w:p>
        </w:tc>
        <w:tc>
          <w:tcPr>
            <w:tcW w:type="dxa" w:w="1872"/>
            <w:vAlign w:val="center"/>
          </w:tcPr>
          <w:p>
            <w:r/>
            <w:r>
              <w:rPr>
                <w:rFonts w:ascii="Arial" w:hAnsi="Arial"/>
                <w:sz w:val="20"/>
              </w:rPr>
              <w:t>4,619.5</w:t>
            </w:r>
          </w:p>
        </w:tc>
        <w:tc>
          <w:tcPr>
            <w:tcW w:type="dxa" w:w="1872"/>
            <w:vAlign w:val="center"/>
          </w:tcPr>
          <w:p>
            <w:r/>
            <w:r>
              <w:rPr>
                <w:rFonts w:ascii="Arial" w:hAnsi="Arial"/>
                <w:sz w:val="20"/>
              </w:rPr>
              <w:t>9.22</w:t>
            </w:r>
          </w:p>
        </w:tc>
        <w:tc>
          <w:tcPr>
            <w:tcW w:type="dxa" w:w="1872"/>
            <w:vAlign w:val="center"/>
          </w:tcPr>
          <w:p>
            <w:r/>
            <w:r>
              <w:rPr>
                <w:rFonts w:ascii="Arial" w:hAnsi="Arial"/>
                <w:sz w:val="20"/>
              </w:rPr>
              <w:t>34,109.58</w:t>
            </w:r>
          </w:p>
        </w:tc>
        <w:tc>
          <w:tcPr>
            <w:tcW w:type="dxa" w:w="1872"/>
            <w:vAlign w:val="center"/>
          </w:tcPr>
          <w:p>
            <w:r/>
            <w:r>
              <w:rPr>
                <w:rFonts w:ascii="Arial" w:hAnsi="Arial"/>
                <w:sz w:val="20"/>
              </w:rPr>
              <w:t>31,567.29</w:t>
            </w:r>
          </w:p>
        </w:tc>
      </w:tr>
      <w:tr>
        <w:tc>
          <w:tcPr>
            <w:tcW w:type="dxa" w:w="1872"/>
            <w:vAlign w:val="center"/>
          </w:tcPr>
          <w:p>
            <w:r/>
            <w:r>
              <w:rPr>
                <w:rFonts w:ascii="Arial" w:hAnsi="Arial"/>
                <w:sz w:val="20"/>
              </w:rPr>
              <w:t>ML-Gaussian (Ensemble, Gaussian SS)</w:t>
            </w:r>
          </w:p>
        </w:tc>
        <w:tc>
          <w:tcPr>
            <w:tcW w:type="dxa" w:w="1872"/>
            <w:vAlign w:val="center"/>
          </w:tcPr>
          <w:p>
            <w:r/>
            <w:r>
              <w:rPr>
                <w:rFonts w:ascii="Arial" w:hAnsi="Arial"/>
                <w:sz w:val="20"/>
              </w:rPr>
              <w:t>4,571.9</w:t>
            </w:r>
          </w:p>
        </w:tc>
        <w:tc>
          <w:tcPr>
            <w:tcW w:type="dxa" w:w="1872"/>
            <w:vAlign w:val="center"/>
          </w:tcPr>
          <w:p>
            <w:r/>
            <w:r>
              <w:rPr>
                <w:rFonts w:ascii="Arial" w:hAnsi="Arial"/>
                <w:sz w:val="20"/>
              </w:rPr>
              <w:t>9.13</w:t>
            </w:r>
          </w:p>
        </w:tc>
        <w:tc>
          <w:tcPr>
            <w:tcW w:type="dxa" w:w="1872"/>
            <w:vAlign w:val="center"/>
          </w:tcPr>
          <w:p>
            <w:r/>
            <w:r>
              <w:rPr>
                <w:rFonts w:ascii="Arial" w:hAnsi="Arial"/>
                <w:sz w:val="20"/>
              </w:rPr>
              <w:t>34,092.42</w:t>
            </w:r>
          </w:p>
        </w:tc>
        <w:tc>
          <w:tcPr>
            <w:tcW w:type="dxa" w:w="1872"/>
            <w:vAlign w:val="center"/>
          </w:tcPr>
          <w:p>
            <w:r/>
            <w:r>
              <w:rPr>
                <w:rFonts w:ascii="Arial" w:hAnsi="Arial"/>
                <w:sz w:val="20"/>
              </w:rPr>
              <w:t>31,562.34</w:t>
            </w:r>
          </w:p>
        </w:tc>
      </w:tr>
      <w:tr>
        <w:tc>
          <w:tcPr>
            <w:tcW w:type="dxa" w:w="1872"/>
            <w:vAlign w:val="center"/>
          </w:tcPr>
          <w:p>
            <w:r/>
            <w:r>
              <w:rPr>
                <w:rFonts w:ascii="Arial" w:hAnsi="Arial"/>
                <w:sz w:val="20"/>
              </w:rPr>
              <w:t>ML-Empirical-Quantile</w:t>
            </w:r>
          </w:p>
        </w:tc>
        <w:tc>
          <w:tcPr>
            <w:tcW w:type="dxa" w:w="1872"/>
            <w:vAlign w:val="center"/>
          </w:tcPr>
          <w:p>
            <w:r/>
            <w:r>
              <w:rPr>
                <w:rFonts w:ascii="Arial" w:hAnsi="Arial"/>
                <w:sz w:val="20"/>
              </w:rPr>
              <w:t>6,285.9</w:t>
            </w:r>
          </w:p>
        </w:tc>
        <w:tc>
          <w:tcPr>
            <w:tcW w:type="dxa" w:w="1872"/>
            <w:vAlign w:val="center"/>
          </w:tcPr>
          <w:p>
            <w:r/>
            <w:r>
              <w:rPr>
                <w:rFonts w:ascii="Arial" w:hAnsi="Arial"/>
                <w:sz w:val="20"/>
              </w:rPr>
              <w:t>12.55</w:t>
            </w:r>
          </w:p>
        </w:tc>
        <w:tc>
          <w:tcPr>
            <w:tcW w:type="dxa" w:w="1872"/>
            <w:vAlign w:val="center"/>
          </w:tcPr>
          <w:p>
            <w:r/>
            <w:r>
              <w:rPr>
                <w:rFonts w:ascii="Arial" w:hAnsi="Arial"/>
                <w:sz w:val="20"/>
              </w:rPr>
              <w:t>35,089.02</w:t>
            </w:r>
          </w:p>
        </w:tc>
        <w:tc>
          <w:tcPr>
            <w:tcW w:type="dxa" w:w="1872"/>
            <w:vAlign w:val="center"/>
          </w:tcPr>
          <w:p>
            <w:r/>
            <w:r>
              <w:rPr>
                <w:rFonts w:ascii="Arial" w:hAnsi="Arial"/>
                <w:sz w:val="20"/>
              </w:rPr>
              <w:t>31,562.34</w:t>
            </w:r>
          </w:p>
        </w:tc>
      </w:tr>
    </w:tbl>
    <w:p>
      <w:pPr>
        <w:spacing w:after="120"/>
      </w:pPr>
      <w:r>
        <w:rPr>
          <w:rFonts w:ascii="Arial" w:hAnsi="Arial"/>
          <w:b w:val="0"/>
          <w:i w:val="0"/>
          <w:sz w:val="22"/>
        </w:rPr>
        <w:t>Three findings stand out. First, the Classical and ML-Gaussian policies allocate essentially identical total safety stock (4,620 vs 4,572 units, a 1.0% reduction). This narrow gap — despite a measurable improvement in point-forecast accuracy in Chapter 4 — is the consequence of two compounding effects: (a) per-series residual standard deviation is similar across Croston-SBA and the ensemble at SKU-daily granularity, and (b) safety stock under the Gaussian formula is a linear function of σ, so the relative improvement in σ propagates directly and unmagnified into the SS calculation. The implication is that the Chapter 1 ambition of converting ML forecast accuracy gains into inventory savings through the Gaussian formula alone is not realisable at this level of granularity.</w:t>
      </w:r>
    </w:p>
    <w:p>
      <w:pPr>
        <w:spacing w:after="120"/>
      </w:pPr>
      <w:r>
        <w:rPr>
          <w:rFonts w:ascii="Arial" w:hAnsi="Arial"/>
          <w:b w:val="0"/>
          <w:i w:val="0"/>
          <w:sz w:val="22"/>
        </w:rPr>
        <w:t>Second, the ML-Empirical-Quantile policy allocates 6,286 units of total safety stock — 37.5% more than the Gaussian policies. This is not a deficiency of the quantile approach but a quantification of the Gaussian formula's under-allocation: the q₀.₉₅ − q₀.₅₀ spread, scaled to the review-plus-lead-time horizon, is the safety-stock level that actually covers 95% of demand in the empirical distribution. The Gaussian formula, by assuming normality on a right-skewed and zero-inflated demand process, prescribes a buffer that is approximately 73.5% of the empirical 95th-percentile requirement.</w:t>
      </w:r>
    </w:p>
    <w:p>
      <w:pPr>
        <w:spacing w:after="120"/>
      </w:pPr>
      <w:r>
        <w:rPr>
          <w:rFonts w:ascii="Arial" w:hAnsi="Arial"/>
          <w:b w:val="0"/>
          <w:i w:val="0"/>
          <w:sz w:val="22"/>
        </w:rPr>
        <w:t>Third, the inventory holding cost differences between policies are small in percentage terms ($34,109 vs $35,089, approximately 3% across the gap) because the safety stock component is itself a modest fraction of total inventory holding cost — cycle stock (Q/2), driven by the EOQ formula and demand level, dominates. This decomposition is important for interpreting the headline result of Section 5.5: the operational cost advantage of the quantile policy does not derive from lower carrying cost but from avoided stockouts.</w:t>
      </w:r>
    </w:p>
    <w:p>
      <w:pPr>
        <w:pStyle w:val="Heading1"/>
      </w:pPr>
      <w:r>
        <w:rPr>
          <w:rFonts w:ascii="Arial" w:hAnsi="Arial"/>
          <w:color w:val="000000"/>
        </w:rPr>
        <w:t>5.4 Cost Decomposition: The Role of Stockout Cost</w:t>
      </w:r>
    </w:p>
    <w:p>
      <w:pPr>
        <w:spacing w:after="120"/>
      </w:pPr>
      <w:r>
        <w:rPr>
          <w:rFonts w:ascii="Arial" w:hAnsi="Arial"/>
          <w:b w:val="0"/>
          <w:i w:val="0"/>
          <w:sz w:val="22"/>
        </w:rPr>
        <w:t>Three categories of annual cost are tracked: holding cost (HC), ordering cost (OC), and stockout cost (SC), per the formulations in §3.7.5. Under the assumption that the Gaussian policy under-shoots the targeted 95% service level by approximately 12 percentage points (the under-allocation factor of 1.36 implies the Gaussian buffer covers approximately the 83rd percentile of empirical demand), the corresponding annual stockout units and stockout cost are computed for each policy.</w:t>
      </w:r>
    </w:p>
    <w:p>
      <w:pPr>
        <w:spacing w:after="120"/>
      </w:pPr>
      <w:r>
        <w:rPr>
          <w:rFonts w:ascii="Arial" w:hAnsi="Arial"/>
          <w:b w:val="0"/>
          <w:i w:val="0"/>
          <w:sz w:val="22"/>
        </w:rPr>
        <w:t>Table 5.2 reports the full cost decomposition at the central case L = 14, SL = 95%, with the baseline stockout cost multiplier of m = 1.0 (i.e., each stockout unit costs the full unit cost of the item).</w:t>
      </w:r>
    </w:p>
    <w:p>
      <w:pPr>
        <w:spacing w:before="160" w:after="80"/>
      </w:pPr>
      <w:r>
        <w:rPr>
          <w:rFonts w:ascii="Arial" w:hAnsi="Arial"/>
          <w:b/>
          <w:sz w:val="20"/>
        </w:rPr>
        <w:t>Table 5.2: Full annual cost decomposition (L = 14, SL = 95%, m = 1.0)</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5E8F0"/>
            <w:vAlign w:val="center"/>
          </w:tcPr>
          <w:p>
            <w:r/>
            <w:r>
              <w:rPr>
                <w:rFonts w:ascii="Arial" w:hAnsi="Arial"/>
                <w:b/>
                <w:sz w:val="20"/>
              </w:rPr>
              <w:t>Policy</w:t>
            </w:r>
          </w:p>
        </w:tc>
        <w:tc>
          <w:tcPr>
            <w:tcW w:type="dxa" w:w="1872"/>
            <w:shd w:val="clear" w:color="auto" w:fill="D5E8F0"/>
            <w:vAlign w:val="center"/>
          </w:tcPr>
          <w:p>
            <w:r/>
            <w:r>
              <w:rPr>
                <w:rFonts w:ascii="Arial" w:hAnsi="Arial"/>
                <w:b/>
                <w:sz w:val="20"/>
              </w:rPr>
              <w:t>HC ($)</w:t>
            </w:r>
          </w:p>
        </w:tc>
        <w:tc>
          <w:tcPr>
            <w:tcW w:type="dxa" w:w="1872"/>
            <w:shd w:val="clear" w:color="auto" w:fill="D5E8F0"/>
            <w:vAlign w:val="center"/>
          </w:tcPr>
          <w:p>
            <w:r/>
            <w:r>
              <w:rPr>
                <w:rFonts w:ascii="Arial" w:hAnsi="Arial"/>
                <w:b/>
                <w:sz w:val="20"/>
              </w:rPr>
              <w:t>OC ($)</w:t>
            </w:r>
          </w:p>
        </w:tc>
        <w:tc>
          <w:tcPr>
            <w:tcW w:type="dxa" w:w="1872"/>
            <w:shd w:val="clear" w:color="auto" w:fill="D5E8F0"/>
            <w:vAlign w:val="center"/>
          </w:tcPr>
          <w:p>
            <w:r/>
            <w:r>
              <w:rPr>
                <w:rFonts w:ascii="Arial" w:hAnsi="Arial"/>
                <w:b/>
                <w:sz w:val="20"/>
              </w:rPr>
              <w:t>SC ($)</w:t>
            </w:r>
          </w:p>
        </w:tc>
        <w:tc>
          <w:tcPr>
            <w:tcW w:type="dxa" w:w="1872"/>
            <w:shd w:val="clear" w:color="auto" w:fill="D5E8F0"/>
            <w:vAlign w:val="center"/>
          </w:tcPr>
          <w:p>
            <w:r/>
            <w:r>
              <w:rPr>
                <w:rFonts w:ascii="Arial" w:hAnsi="Arial"/>
                <w:b/>
                <w:sz w:val="20"/>
              </w:rPr>
              <w:t>Total ($)</w:t>
            </w:r>
          </w:p>
        </w:tc>
      </w:tr>
      <w:tr>
        <w:tc>
          <w:tcPr>
            <w:tcW w:type="dxa" w:w="1872"/>
            <w:vAlign w:val="center"/>
          </w:tcPr>
          <w:p>
            <w:r/>
            <w:r>
              <w:rPr>
                <w:rFonts w:ascii="Arial" w:hAnsi="Arial"/>
                <w:sz w:val="20"/>
              </w:rPr>
              <w:t>Classical (Croston-SBA, Gaussian SS)</w:t>
            </w:r>
          </w:p>
        </w:tc>
        <w:tc>
          <w:tcPr>
            <w:tcW w:type="dxa" w:w="1872"/>
            <w:vAlign w:val="center"/>
          </w:tcPr>
          <w:p>
            <w:r/>
            <w:r>
              <w:rPr>
                <w:rFonts w:ascii="Arial" w:hAnsi="Arial"/>
                <w:sz w:val="20"/>
              </w:rPr>
              <w:t>34,110</w:t>
            </w:r>
          </w:p>
        </w:tc>
        <w:tc>
          <w:tcPr>
            <w:tcW w:type="dxa" w:w="1872"/>
            <w:vAlign w:val="center"/>
          </w:tcPr>
          <w:p>
            <w:r/>
            <w:r>
              <w:rPr>
                <w:rFonts w:ascii="Arial" w:hAnsi="Arial"/>
                <w:sz w:val="20"/>
              </w:rPr>
              <w:t>31,567</w:t>
            </w:r>
          </w:p>
        </w:tc>
        <w:tc>
          <w:tcPr>
            <w:tcW w:type="dxa" w:w="1872"/>
            <w:vAlign w:val="center"/>
          </w:tcPr>
          <w:p>
            <w:r/>
            <w:r>
              <w:rPr>
                <w:rFonts w:ascii="Arial" w:hAnsi="Arial"/>
                <w:sz w:val="20"/>
              </w:rPr>
              <w:t>47,754</w:t>
            </w:r>
          </w:p>
        </w:tc>
        <w:tc>
          <w:tcPr>
            <w:tcW w:type="dxa" w:w="1872"/>
            <w:vAlign w:val="center"/>
          </w:tcPr>
          <w:p>
            <w:r/>
            <w:r>
              <w:rPr>
                <w:rFonts w:ascii="Arial" w:hAnsi="Arial"/>
                <w:sz w:val="20"/>
              </w:rPr>
              <w:t>113,431</w:t>
            </w:r>
          </w:p>
        </w:tc>
      </w:tr>
      <w:tr>
        <w:tc>
          <w:tcPr>
            <w:tcW w:type="dxa" w:w="1872"/>
            <w:vAlign w:val="center"/>
          </w:tcPr>
          <w:p>
            <w:r/>
            <w:r>
              <w:rPr>
                <w:rFonts w:ascii="Arial" w:hAnsi="Arial"/>
                <w:sz w:val="20"/>
              </w:rPr>
              <w:t>ML-Gaussian (Ensemble, Gaussian SS)</w:t>
            </w:r>
          </w:p>
        </w:tc>
        <w:tc>
          <w:tcPr>
            <w:tcW w:type="dxa" w:w="1872"/>
            <w:vAlign w:val="center"/>
          </w:tcPr>
          <w:p>
            <w:r/>
            <w:r>
              <w:rPr>
                <w:rFonts w:ascii="Arial" w:hAnsi="Arial"/>
                <w:sz w:val="20"/>
              </w:rPr>
              <w:t>34,092</w:t>
            </w:r>
          </w:p>
        </w:tc>
        <w:tc>
          <w:tcPr>
            <w:tcW w:type="dxa" w:w="1872"/>
            <w:vAlign w:val="center"/>
          </w:tcPr>
          <w:p>
            <w:r/>
            <w:r>
              <w:rPr>
                <w:rFonts w:ascii="Arial" w:hAnsi="Arial"/>
                <w:sz w:val="20"/>
              </w:rPr>
              <w:t>31,562</w:t>
            </w:r>
          </w:p>
        </w:tc>
        <w:tc>
          <w:tcPr>
            <w:tcW w:type="dxa" w:w="1872"/>
            <w:vAlign w:val="center"/>
          </w:tcPr>
          <w:p>
            <w:r/>
            <w:r>
              <w:rPr>
                <w:rFonts w:ascii="Arial" w:hAnsi="Arial"/>
                <w:sz w:val="20"/>
              </w:rPr>
              <w:t>47,754</w:t>
            </w:r>
          </w:p>
        </w:tc>
        <w:tc>
          <w:tcPr>
            <w:tcW w:type="dxa" w:w="1872"/>
            <w:vAlign w:val="center"/>
          </w:tcPr>
          <w:p>
            <w:r/>
            <w:r>
              <w:rPr>
                <w:rFonts w:ascii="Arial" w:hAnsi="Arial"/>
                <w:sz w:val="20"/>
              </w:rPr>
              <w:t>113,408</w:t>
            </w:r>
          </w:p>
        </w:tc>
      </w:tr>
      <w:tr>
        <w:tc>
          <w:tcPr>
            <w:tcW w:type="dxa" w:w="1872"/>
            <w:vAlign w:val="center"/>
          </w:tcPr>
          <w:p>
            <w:r/>
            <w:r>
              <w:rPr>
                <w:rFonts w:ascii="Arial" w:hAnsi="Arial"/>
                <w:sz w:val="20"/>
              </w:rPr>
              <w:t>ML-Empirical-Quantile</w:t>
            </w:r>
          </w:p>
        </w:tc>
        <w:tc>
          <w:tcPr>
            <w:tcW w:type="dxa" w:w="1872"/>
            <w:vAlign w:val="center"/>
          </w:tcPr>
          <w:p>
            <w:r/>
            <w:r>
              <w:rPr>
                <w:rFonts w:ascii="Arial" w:hAnsi="Arial"/>
                <w:sz w:val="20"/>
              </w:rPr>
              <w:t>35,089</w:t>
            </w:r>
          </w:p>
        </w:tc>
        <w:tc>
          <w:tcPr>
            <w:tcW w:type="dxa" w:w="1872"/>
            <w:vAlign w:val="center"/>
          </w:tcPr>
          <w:p>
            <w:r/>
            <w:r>
              <w:rPr>
                <w:rFonts w:ascii="Arial" w:hAnsi="Arial"/>
                <w:sz w:val="20"/>
              </w:rPr>
              <w:t>31,562</w:t>
            </w:r>
          </w:p>
        </w:tc>
        <w:tc>
          <w:tcPr>
            <w:tcW w:type="dxa" w:w="1872"/>
            <w:vAlign w:val="center"/>
          </w:tcPr>
          <w:p>
            <w:r/>
            <w:r>
              <w:rPr>
                <w:rFonts w:ascii="Arial" w:hAnsi="Arial"/>
                <w:sz w:val="20"/>
              </w:rPr>
              <w:t>22,972</w:t>
            </w:r>
          </w:p>
        </w:tc>
        <w:tc>
          <w:tcPr>
            <w:tcW w:type="dxa" w:w="1872"/>
            <w:vAlign w:val="center"/>
          </w:tcPr>
          <w:p>
            <w:r/>
            <w:r>
              <w:rPr>
                <w:rFonts w:ascii="Arial" w:hAnsi="Arial"/>
                <w:sz w:val="20"/>
              </w:rPr>
              <w:t>89,623</w:t>
            </w:r>
          </w:p>
        </w:tc>
      </w:tr>
    </w:tbl>
    <w:p>
      <w:pPr>
        <w:spacing w:after="120"/>
      </w:pPr>
      <w:r>
        <w:rPr>
          <w:rFonts w:ascii="Arial" w:hAnsi="Arial"/>
          <w:b w:val="0"/>
          <w:i w:val="0"/>
          <w:sz w:val="22"/>
        </w:rPr>
        <w:t>The stockout cost line dominates the comparison. The Gaussian policies (both Classical and ML-Gaussian) incur an estimated $47,754 in annual stockout cost — the consequence of their effective 83% service level when nominally targeting 95%. The empirical-quantile policy, by allocating safety stock to the empirically calibrated quantile spread, achieves its target service level and consequently incurs less than half the stockout cost. The additional holding cost incurred for the larger empirical buffer ($1,000) is a small fraction of the stockout cost reduction (~$24,800), yielding a net total annual cost reduction of approximately $23,800 — equivalent to 21.0% of the classical-policy total annual cost.</w:t>
      </w:r>
    </w:p>
    <w:p>
      <w:pPr>
        <w:pStyle w:val="Heading1"/>
      </w:pPr>
      <w:r>
        <w:rPr>
          <w:rFonts w:ascii="Arial" w:hAnsi="Arial"/>
          <w:color w:val="000000"/>
        </w:rPr>
        <w:t>5.5 Headline Total Cost Reduction Across Lead Times</w:t>
      </w:r>
    </w:p>
    <w:p>
      <w:pPr>
        <w:spacing w:after="120"/>
      </w:pPr>
      <w:r>
        <w:rPr>
          <w:rFonts w:ascii="Arial" w:hAnsi="Arial"/>
          <w:b w:val="0"/>
          <w:i w:val="0"/>
          <w:sz w:val="22"/>
        </w:rPr>
        <w:t>Table 5.3 reports the aggregate total annual cost and the percentage reduction of the ML-Empirical-Quantile policy versus the Classical baseline, across the four lead-time scenarios at the primary 95% service level and the baseline stockout cost multiplier (m = 1.0). All figures are aggregated across the 502 product-store series.</w:t>
      </w:r>
    </w:p>
    <w:p>
      <w:pPr>
        <w:spacing w:before="160" w:after="80"/>
      </w:pPr>
      <w:r>
        <w:rPr>
          <w:rFonts w:ascii="Arial" w:hAnsi="Arial"/>
          <w:b/>
          <w:sz w:val="20"/>
        </w:rPr>
        <w:t>Table 5.3: Headline total cost reduction (SL = 95%, m = 1.0)</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5E8F0"/>
            <w:vAlign w:val="center"/>
          </w:tcPr>
          <w:p>
            <w:r/>
            <w:r>
              <w:rPr>
                <w:rFonts w:ascii="Arial" w:hAnsi="Arial"/>
                <w:b/>
                <w:sz w:val="20"/>
              </w:rPr>
              <w:t>Lead time (days)</w:t>
            </w:r>
          </w:p>
        </w:tc>
        <w:tc>
          <w:tcPr>
            <w:tcW w:type="dxa" w:w="1872"/>
            <w:shd w:val="clear" w:color="auto" w:fill="D5E8F0"/>
            <w:vAlign w:val="center"/>
          </w:tcPr>
          <w:p>
            <w:r/>
            <w:r>
              <w:rPr>
                <w:rFonts w:ascii="Arial" w:hAnsi="Arial"/>
                <w:b/>
                <w:sz w:val="20"/>
              </w:rPr>
              <w:t>Classical TC ($)</w:t>
            </w:r>
          </w:p>
        </w:tc>
        <w:tc>
          <w:tcPr>
            <w:tcW w:type="dxa" w:w="1872"/>
            <w:shd w:val="clear" w:color="auto" w:fill="D5E8F0"/>
            <w:vAlign w:val="center"/>
          </w:tcPr>
          <w:p>
            <w:r/>
            <w:r>
              <w:rPr>
                <w:rFonts w:ascii="Arial" w:hAnsi="Arial"/>
                <w:b/>
                <w:sz w:val="20"/>
              </w:rPr>
              <w:t>ML-Gaussian TC ($)</w:t>
            </w:r>
          </w:p>
        </w:tc>
        <w:tc>
          <w:tcPr>
            <w:tcW w:type="dxa" w:w="1872"/>
            <w:shd w:val="clear" w:color="auto" w:fill="D5E8F0"/>
            <w:vAlign w:val="center"/>
          </w:tcPr>
          <w:p>
            <w:r/>
            <w:r>
              <w:rPr>
                <w:rFonts w:ascii="Arial" w:hAnsi="Arial"/>
                <w:b/>
                <w:sz w:val="20"/>
              </w:rPr>
              <w:t>ML-Quantile TC ($)</w:t>
            </w:r>
          </w:p>
        </w:tc>
        <w:tc>
          <w:tcPr>
            <w:tcW w:type="dxa" w:w="1872"/>
            <w:shd w:val="clear" w:color="auto" w:fill="D5E8F0"/>
            <w:vAlign w:val="center"/>
          </w:tcPr>
          <w:p>
            <w:r/>
            <w:r>
              <w:rPr>
                <w:rFonts w:ascii="Arial" w:hAnsi="Arial"/>
                <w:b/>
                <w:sz w:val="20"/>
              </w:rPr>
              <w:t>Quantile vs Classical (%)</w:t>
            </w:r>
          </w:p>
        </w:tc>
      </w:tr>
      <w:tr>
        <w:tc>
          <w:tcPr>
            <w:tcW w:type="dxa" w:w="1872"/>
            <w:vAlign w:val="center"/>
          </w:tcPr>
          <w:p>
            <w:r/>
            <w:r>
              <w:rPr>
                <w:rFonts w:ascii="Arial" w:hAnsi="Arial"/>
                <w:sz w:val="20"/>
              </w:rPr>
              <w:t>7</w:t>
            </w:r>
          </w:p>
        </w:tc>
        <w:tc>
          <w:tcPr>
            <w:tcW w:type="dxa" w:w="1872"/>
            <w:vAlign w:val="center"/>
          </w:tcPr>
          <w:p>
            <w:r/>
            <w:r>
              <w:rPr>
                <w:rFonts w:ascii="Arial" w:hAnsi="Arial"/>
                <w:sz w:val="20"/>
              </w:rPr>
              <w:t>112,964</w:t>
            </w:r>
          </w:p>
        </w:tc>
        <w:tc>
          <w:tcPr>
            <w:tcW w:type="dxa" w:w="1872"/>
            <w:vAlign w:val="center"/>
          </w:tcPr>
          <w:p>
            <w:r/>
            <w:r>
              <w:rPr>
                <w:rFonts w:ascii="Arial" w:hAnsi="Arial"/>
                <w:sz w:val="20"/>
              </w:rPr>
              <w:t>112,944</w:t>
            </w:r>
          </w:p>
        </w:tc>
        <w:tc>
          <w:tcPr>
            <w:tcW w:type="dxa" w:w="1872"/>
            <w:vAlign w:val="center"/>
          </w:tcPr>
          <w:p>
            <w:r/>
            <w:r>
              <w:rPr>
                <w:rFonts w:ascii="Arial" w:hAnsi="Arial"/>
                <w:sz w:val="20"/>
              </w:rPr>
              <w:t>88,976</w:t>
            </w:r>
          </w:p>
        </w:tc>
        <w:tc>
          <w:tcPr>
            <w:tcW w:type="dxa" w:w="1872"/>
            <w:vAlign w:val="center"/>
          </w:tcPr>
          <w:p>
            <w:r/>
            <w:r>
              <w:rPr>
                <w:rFonts w:ascii="Arial" w:hAnsi="Arial"/>
                <w:sz w:val="20"/>
              </w:rPr>
              <w:t>+21.2%</w:t>
            </w:r>
          </w:p>
        </w:tc>
      </w:tr>
      <w:tr>
        <w:tc>
          <w:tcPr>
            <w:tcW w:type="dxa" w:w="1872"/>
            <w:vAlign w:val="center"/>
          </w:tcPr>
          <w:p>
            <w:r/>
            <w:r>
              <w:rPr>
                <w:rFonts w:ascii="Arial" w:hAnsi="Arial"/>
                <w:sz w:val="20"/>
              </w:rPr>
              <w:t>10</w:t>
            </w:r>
          </w:p>
        </w:tc>
        <w:tc>
          <w:tcPr>
            <w:tcW w:type="dxa" w:w="1872"/>
            <w:vAlign w:val="center"/>
          </w:tcPr>
          <w:p>
            <w:r/>
            <w:r>
              <w:rPr>
                <w:rFonts w:ascii="Arial" w:hAnsi="Arial"/>
                <w:sz w:val="20"/>
              </w:rPr>
              <w:t>113,176</w:t>
            </w:r>
          </w:p>
        </w:tc>
        <w:tc>
          <w:tcPr>
            <w:tcW w:type="dxa" w:w="1872"/>
            <w:vAlign w:val="center"/>
          </w:tcPr>
          <w:p>
            <w:r/>
            <w:r>
              <w:rPr>
                <w:rFonts w:ascii="Arial" w:hAnsi="Arial"/>
                <w:sz w:val="20"/>
              </w:rPr>
              <w:t>113,155</w:t>
            </w:r>
          </w:p>
        </w:tc>
        <w:tc>
          <w:tcPr>
            <w:tcW w:type="dxa" w:w="1872"/>
            <w:vAlign w:val="center"/>
          </w:tcPr>
          <w:p>
            <w:r/>
            <w:r>
              <w:rPr>
                <w:rFonts w:ascii="Arial" w:hAnsi="Arial"/>
                <w:sz w:val="20"/>
              </w:rPr>
              <w:t>89,270</w:t>
            </w:r>
          </w:p>
        </w:tc>
        <w:tc>
          <w:tcPr>
            <w:tcW w:type="dxa" w:w="1872"/>
            <w:vAlign w:val="center"/>
          </w:tcPr>
          <w:p>
            <w:r/>
            <w:r>
              <w:rPr>
                <w:rFonts w:ascii="Arial" w:hAnsi="Arial"/>
                <w:sz w:val="20"/>
              </w:rPr>
              <w:t>+21.1%</w:t>
            </w:r>
          </w:p>
        </w:tc>
      </w:tr>
      <w:tr>
        <w:tc>
          <w:tcPr>
            <w:tcW w:type="dxa" w:w="1872"/>
            <w:vAlign w:val="center"/>
          </w:tcPr>
          <w:p>
            <w:r/>
            <w:r>
              <w:rPr>
                <w:rFonts w:ascii="Arial" w:hAnsi="Arial"/>
                <w:sz w:val="20"/>
              </w:rPr>
              <w:t>14</w:t>
            </w:r>
          </w:p>
        </w:tc>
        <w:tc>
          <w:tcPr>
            <w:tcW w:type="dxa" w:w="1872"/>
            <w:vAlign w:val="center"/>
          </w:tcPr>
          <w:p>
            <w:r/>
            <w:r>
              <w:rPr>
                <w:rFonts w:ascii="Arial" w:hAnsi="Arial"/>
                <w:sz w:val="20"/>
              </w:rPr>
              <w:t>113,431</w:t>
            </w:r>
          </w:p>
        </w:tc>
        <w:tc>
          <w:tcPr>
            <w:tcW w:type="dxa" w:w="1872"/>
            <w:vAlign w:val="center"/>
          </w:tcPr>
          <w:p>
            <w:r/>
            <w:r>
              <w:rPr>
                <w:rFonts w:ascii="Arial" w:hAnsi="Arial"/>
                <w:sz w:val="20"/>
              </w:rPr>
              <w:t>113,409</w:t>
            </w:r>
          </w:p>
        </w:tc>
        <w:tc>
          <w:tcPr>
            <w:tcW w:type="dxa" w:w="1872"/>
            <w:vAlign w:val="center"/>
          </w:tcPr>
          <w:p>
            <w:r/>
            <w:r>
              <w:rPr>
                <w:rFonts w:ascii="Arial" w:hAnsi="Arial"/>
                <w:sz w:val="20"/>
              </w:rPr>
              <w:t>89,623</w:t>
            </w:r>
          </w:p>
        </w:tc>
        <w:tc>
          <w:tcPr>
            <w:tcW w:type="dxa" w:w="1872"/>
            <w:vAlign w:val="center"/>
          </w:tcPr>
          <w:p>
            <w:r/>
            <w:r>
              <w:rPr>
                <w:rFonts w:ascii="Arial" w:hAnsi="Arial"/>
                <w:sz w:val="20"/>
              </w:rPr>
              <w:t>+21.0%</w:t>
            </w:r>
          </w:p>
        </w:tc>
      </w:tr>
      <w:tr>
        <w:tc>
          <w:tcPr>
            <w:tcW w:type="dxa" w:w="1872"/>
            <w:vAlign w:val="center"/>
          </w:tcPr>
          <w:p>
            <w:r/>
            <w:r>
              <w:rPr>
                <w:rFonts w:ascii="Arial" w:hAnsi="Arial"/>
                <w:sz w:val="20"/>
              </w:rPr>
              <w:t>21</w:t>
            </w:r>
          </w:p>
        </w:tc>
        <w:tc>
          <w:tcPr>
            <w:tcW w:type="dxa" w:w="1872"/>
            <w:vAlign w:val="center"/>
          </w:tcPr>
          <w:p>
            <w:r/>
            <w:r>
              <w:rPr>
                <w:rFonts w:ascii="Arial" w:hAnsi="Arial"/>
                <w:sz w:val="20"/>
              </w:rPr>
              <w:t>113,824</w:t>
            </w:r>
          </w:p>
        </w:tc>
        <w:tc>
          <w:tcPr>
            <w:tcW w:type="dxa" w:w="1872"/>
            <w:vAlign w:val="center"/>
          </w:tcPr>
          <w:p>
            <w:r/>
            <w:r>
              <w:rPr>
                <w:rFonts w:ascii="Arial" w:hAnsi="Arial"/>
                <w:sz w:val="20"/>
              </w:rPr>
              <w:t>113,800</w:t>
            </w:r>
          </w:p>
        </w:tc>
        <w:tc>
          <w:tcPr>
            <w:tcW w:type="dxa" w:w="1872"/>
            <w:vAlign w:val="center"/>
          </w:tcPr>
          <w:p>
            <w:r/>
            <w:r>
              <w:rPr>
                <w:rFonts w:ascii="Arial" w:hAnsi="Arial"/>
                <w:sz w:val="20"/>
              </w:rPr>
              <w:t>90,169</w:t>
            </w:r>
          </w:p>
        </w:tc>
        <w:tc>
          <w:tcPr>
            <w:tcW w:type="dxa" w:w="1872"/>
            <w:vAlign w:val="center"/>
          </w:tcPr>
          <w:p>
            <w:r/>
            <w:r>
              <w:rPr>
                <w:rFonts w:ascii="Arial" w:hAnsi="Arial"/>
                <w:sz w:val="20"/>
              </w:rPr>
              <w:t>+20.8%</w:t>
            </w:r>
          </w:p>
        </w:tc>
      </w:tr>
    </w:tbl>
    <w:p>
      <w:pPr>
        <w:spacing w:after="120"/>
      </w:pPr>
      <w:r>
        <w:rPr>
          <w:rFonts w:ascii="Arial" w:hAnsi="Arial"/>
          <w:b w:val="0"/>
          <w:i w:val="0"/>
          <w:sz w:val="22"/>
        </w:rPr>
        <w:t>The reduction sits in a narrow band of 20.8–21.2% across all four lead-time scenarios — a striking and operationally meaningful figure that materially exceeds the 5–15% range specified as the inventory cost reduction target in Chapter 1. The reduction is essentially constant across lead times because the dominant cost component (stockout cost) is proportional to annual demand and the Gaussian under-allocation factor, both of which are independent of L. The lead time enters only through the safety stock units themselves (which scale with √(R+L)) and the holding cost they imply — a second-order effect compared to the stockout cost driven by under-allocation.</w:t>
      </w:r>
    </w:p>
    <w:p>
      <w:pPr>
        <w:spacing w:after="120"/>
      </w:pPr>
      <w:r>
        <w:rPr>
          <w:rFonts w:ascii="Arial" w:hAnsi="Arial"/>
          <w:b w:val="0"/>
          <w:i w:val="0"/>
          <w:sz w:val="22"/>
        </w:rPr>
        <w:t>The ML-Gaussian policy yields a negligible improvement over the Classical baseline (approximately $20–$25 per scenario, or 0.02% of total annual cost). This is the quantitative confirmation of the principal finding of this thesis: at SKU-daily granularity on intermittent retail demand, the operational value of ML forecasting is captured almost entirely by the quantile-based safety-stock formulation, not by the marginal improvement in point-forecast accuracy.</w:t>
      </w:r>
    </w:p>
    <w:p>
      <w:pPr>
        <w:pStyle w:val="Heading1"/>
      </w:pPr>
      <w:r>
        <w:rPr>
          <w:rFonts w:ascii="Arial" w:hAnsi="Arial"/>
          <w:color w:val="000000"/>
        </w:rPr>
        <w:t>5.6 Lead Time Scenario Analysis</w:t>
      </w:r>
    </w:p>
    <w:p>
      <w:pPr>
        <w:spacing w:after="120"/>
      </w:pPr>
      <w:r>
        <w:rPr>
          <w:rFonts w:ascii="Arial" w:hAnsi="Arial"/>
          <w:b w:val="0"/>
          <w:i w:val="0"/>
          <w:sz w:val="22"/>
        </w:rPr>
        <w:t>The four lead-time scenarios specified in Chapter 1 — 7, 10, 14, and 21 days — span the range from regional distribution centre supply through to extended international or seasonal supply. Seyedan et al. (2023) argue that the relative advantage of improved forecasting grows with lead time because safety stock requirements scale with √(R+L). Table 5.4 examines how the components of total cost vary with L under both the Gaussian and empirical-quantile policies.</w:t>
      </w:r>
    </w:p>
    <w:p>
      <w:pPr>
        <w:spacing w:before="160" w:after="80"/>
      </w:pPr>
      <w:r>
        <w:rPr>
          <w:rFonts w:ascii="Arial" w:hAnsi="Arial"/>
          <w:b/>
          <w:sz w:val="20"/>
        </w:rPr>
        <w:t>Table 5.4: Total annual cost (with stockout) across lead-time scenarios</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5E8F0"/>
            <w:vAlign w:val="center"/>
          </w:tcPr>
          <w:p>
            <w:r/>
            <w:r>
              <w:rPr>
                <w:rFonts w:ascii="Arial" w:hAnsi="Arial"/>
                <w:b/>
                <w:sz w:val="20"/>
              </w:rPr>
              <w:t>L (days)</w:t>
            </w:r>
          </w:p>
        </w:tc>
        <w:tc>
          <w:tcPr>
            <w:tcW w:type="dxa" w:w="1872"/>
            <w:shd w:val="clear" w:color="auto" w:fill="D5E8F0"/>
            <w:vAlign w:val="center"/>
          </w:tcPr>
          <w:p>
            <w:r/>
            <w:r>
              <w:rPr>
                <w:rFonts w:ascii="Arial" w:hAnsi="Arial"/>
                <w:b/>
                <w:sz w:val="20"/>
              </w:rPr>
              <w:t>Classical TC ($)</w:t>
            </w:r>
          </w:p>
        </w:tc>
        <w:tc>
          <w:tcPr>
            <w:tcW w:type="dxa" w:w="1872"/>
            <w:shd w:val="clear" w:color="auto" w:fill="D5E8F0"/>
            <w:vAlign w:val="center"/>
          </w:tcPr>
          <w:p>
            <w:r/>
            <w:r>
              <w:rPr>
                <w:rFonts w:ascii="Arial" w:hAnsi="Arial"/>
                <w:b/>
                <w:sz w:val="20"/>
              </w:rPr>
              <w:t>ML-Quantile TC ($)</w:t>
            </w:r>
          </w:p>
        </w:tc>
        <w:tc>
          <w:tcPr>
            <w:tcW w:type="dxa" w:w="1872"/>
            <w:shd w:val="clear" w:color="auto" w:fill="D5E8F0"/>
            <w:vAlign w:val="center"/>
          </w:tcPr>
          <w:p>
            <w:r/>
            <w:r>
              <w:rPr>
                <w:rFonts w:ascii="Arial" w:hAnsi="Arial"/>
                <w:b/>
                <w:sz w:val="20"/>
              </w:rPr>
              <w:t>Quantile saves ($)</w:t>
            </w:r>
          </w:p>
        </w:tc>
        <w:tc>
          <w:tcPr>
            <w:tcW w:type="dxa" w:w="1872"/>
            <w:shd w:val="clear" w:color="auto" w:fill="D5E8F0"/>
            <w:vAlign w:val="center"/>
          </w:tcPr>
          <w:p>
            <w:r/>
            <w:r>
              <w:rPr>
                <w:rFonts w:ascii="Arial" w:hAnsi="Arial"/>
                <w:b/>
                <w:sz w:val="20"/>
              </w:rPr>
              <w:t>% saved</w:t>
            </w:r>
          </w:p>
        </w:tc>
      </w:tr>
      <w:tr>
        <w:tc>
          <w:tcPr>
            <w:tcW w:type="dxa" w:w="1872"/>
            <w:vAlign w:val="center"/>
          </w:tcPr>
          <w:p>
            <w:r/>
            <w:r>
              <w:rPr>
                <w:rFonts w:ascii="Arial" w:hAnsi="Arial"/>
                <w:sz w:val="20"/>
              </w:rPr>
              <w:t>7</w:t>
            </w:r>
          </w:p>
        </w:tc>
        <w:tc>
          <w:tcPr>
            <w:tcW w:type="dxa" w:w="1872"/>
            <w:vAlign w:val="center"/>
          </w:tcPr>
          <w:p>
            <w:r/>
            <w:r>
              <w:rPr>
                <w:rFonts w:ascii="Arial" w:hAnsi="Arial"/>
                <w:sz w:val="20"/>
              </w:rPr>
              <w:t>112,964</w:t>
            </w:r>
          </w:p>
        </w:tc>
        <w:tc>
          <w:tcPr>
            <w:tcW w:type="dxa" w:w="1872"/>
            <w:vAlign w:val="center"/>
          </w:tcPr>
          <w:p>
            <w:r/>
            <w:r>
              <w:rPr>
                <w:rFonts w:ascii="Arial" w:hAnsi="Arial"/>
                <w:sz w:val="20"/>
              </w:rPr>
              <w:t>88,976</w:t>
            </w:r>
          </w:p>
        </w:tc>
        <w:tc>
          <w:tcPr>
            <w:tcW w:type="dxa" w:w="1872"/>
            <w:vAlign w:val="center"/>
          </w:tcPr>
          <w:p>
            <w:r/>
            <w:r>
              <w:rPr>
                <w:rFonts w:ascii="Arial" w:hAnsi="Arial"/>
                <w:sz w:val="20"/>
              </w:rPr>
              <w:t>23,988</w:t>
            </w:r>
          </w:p>
        </w:tc>
        <w:tc>
          <w:tcPr>
            <w:tcW w:type="dxa" w:w="1872"/>
            <w:vAlign w:val="center"/>
          </w:tcPr>
          <w:p>
            <w:r/>
            <w:r>
              <w:rPr>
                <w:rFonts w:ascii="Arial" w:hAnsi="Arial"/>
                <w:sz w:val="20"/>
              </w:rPr>
              <w:t>21.2</w:t>
            </w:r>
          </w:p>
        </w:tc>
      </w:tr>
      <w:tr>
        <w:tc>
          <w:tcPr>
            <w:tcW w:type="dxa" w:w="1872"/>
            <w:vAlign w:val="center"/>
          </w:tcPr>
          <w:p>
            <w:r/>
            <w:r>
              <w:rPr>
                <w:rFonts w:ascii="Arial" w:hAnsi="Arial"/>
                <w:sz w:val="20"/>
              </w:rPr>
              <w:t>10</w:t>
            </w:r>
          </w:p>
        </w:tc>
        <w:tc>
          <w:tcPr>
            <w:tcW w:type="dxa" w:w="1872"/>
            <w:vAlign w:val="center"/>
          </w:tcPr>
          <w:p>
            <w:r/>
            <w:r>
              <w:rPr>
                <w:rFonts w:ascii="Arial" w:hAnsi="Arial"/>
                <w:sz w:val="20"/>
              </w:rPr>
              <w:t>113,176</w:t>
            </w:r>
          </w:p>
        </w:tc>
        <w:tc>
          <w:tcPr>
            <w:tcW w:type="dxa" w:w="1872"/>
            <w:vAlign w:val="center"/>
          </w:tcPr>
          <w:p>
            <w:r/>
            <w:r>
              <w:rPr>
                <w:rFonts w:ascii="Arial" w:hAnsi="Arial"/>
                <w:sz w:val="20"/>
              </w:rPr>
              <w:t>89,270</w:t>
            </w:r>
          </w:p>
        </w:tc>
        <w:tc>
          <w:tcPr>
            <w:tcW w:type="dxa" w:w="1872"/>
            <w:vAlign w:val="center"/>
          </w:tcPr>
          <w:p>
            <w:r/>
            <w:r>
              <w:rPr>
                <w:rFonts w:ascii="Arial" w:hAnsi="Arial"/>
                <w:sz w:val="20"/>
              </w:rPr>
              <w:t>23,906</w:t>
            </w:r>
          </w:p>
        </w:tc>
        <w:tc>
          <w:tcPr>
            <w:tcW w:type="dxa" w:w="1872"/>
            <w:vAlign w:val="center"/>
          </w:tcPr>
          <w:p>
            <w:r/>
            <w:r>
              <w:rPr>
                <w:rFonts w:ascii="Arial" w:hAnsi="Arial"/>
                <w:sz w:val="20"/>
              </w:rPr>
              <w:t>21.1</w:t>
            </w:r>
          </w:p>
        </w:tc>
      </w:tr>
      <w:tr>
        <w:tc>
          <w:tcPr>
            <w:tcW w:type="dxa" w:w="1872"/>
            <w:vAlign w:val="center"/>
          </w:tcPr>
          <w:p>
            <w:r/>
            <w:r>
              <w:rPr>
                <w:rFonts w:ascii="Arial" w:hAnsi="Arial"/>
                <w:sz w:val="20"/>
              </w:rPr>
              <w:t>14</w:t>
            </w:r>
          </w:p>
        </w:tc>
        <w:tc>
          <w:tcPr>
            <w:tcW w:type="dxa" w:w="1872"/>
            <w:vAlign w:val="center"/>
          </w:tcPr>
          <w:p>
            <w:r/>
            <w:r>
              <w:rPr>
                <w:rFonts w:ascii="Arial" w:hAnsi="Arial"/>
                <w:sz w:val="20"/>
              </w:rPr>
              <w:t>113,431</w:t>
            </w:r>
          </w:p>
        </w:tc>
        <w:tc>
          <w:tcPr>
            <w:tcW w:type="dxa" w:w="1872"/>
            <w:vAlign w:val="center"/>
          </w:tcPr>
          <w:p>
            <w:r/>
            <w:r>
              <w:rPr>
                <w:rFonts w:ascii="Arial" w:hAnsi="Arial"/>
                <w:sz w:val="20"/>
              </w:rPr>
              <w:t>89,623</w:t>
            </w:r>
          </w:p>
        </w:tc>
        <w:tc>
          <w:tcPr>
            <w:tcW w:type="dxa" w:w="1872"/>
            <w:vAlign w:val="center"/>
          </w:tcPr>
          <w:p>
            <w:r/>
            <w:r>
              <w:rPr>
                <w:rFonts w:ascii="Arial" w:hAnsi="Arial"/>
                <w:sz w:val="20"/>
              </w:rPr>
              <w:t>23,808</w:t>
            </w:r>
          </w:p>
        </w:tc>
        <w:tc>
          <w:tcPr>
            <w:tcW w:type="dxa" w:w="1872"/>
            <w:vAlign w:val="center"/>
          </w:tcPr>
          <w:p>
            <w:r/>
            <w:r>
              <w:rPr>
                <w:rFonts w:ascii="Arial" w:hAnsi="Arial"/>
                <w:sz w:val="20"/>
              </w:rPr>
              <w:t>21.0</w:t>
            </w:r>
          </w:p>
        </w:tc>
      </w:tr>
      <w:tr>
        <w:tc>
          <w:tcPr>
            <w:tcW w:type="dxa" w:w="1872"/>
            <w:vAlign w:val="center"/>
          </w:tcPr>
          <w:p>
            <w:r/>
            <w:r>
              <w:rPr>
                <w:rFonts w:ascii="Arial" w:hAnsi="Arial"/>
                <w:sz w:val="20"/>
              </w:rPr>
              <w:t>21</w:t>
            </w:r>
          </w:p>
        </w:tc>
        <w:tc>
          <w:tcPr>
            <w:tcW w:type="dxa" w:w="1872"/>
            <w:vAlign w:val="center"/>
          </w:tcPr>
          <w:p>
            <w:r/>
            <w:r>
              <w:rPr>
                <w:rFonts w:ascii="Arial" w:hAnsi="Arial"/>
                <w:sz w:val="20"/>
              </w:rPr>
              <w:t>113,824</w:t>
            </w:r>
          </w:p>
        </w:tc>
        <w:tc>
          <w:tcPr>
            <w:tcW w:type="dxa" w:w="1872"/>
            <w:vAlign w:val="center"/>
          </w:tcPr>
          <w:p>
            <w:r/>
            <w:r>
              <w:rPr>
                <w:rFonts w:ascii="Arial" w:hAnsi="Arial"/>
                <w:sz w:val="20"/>
              </w:rPr>
              <w:t>90,169</w:t>
            </w:r>
          </w:p>
        </w:tc>
        <w:tc>
          <w:tcPr>
            <w:tcW w:type="dxa" w:w="1872"/>
            <w:vAlign w:val="center"/>
          </w:tcPr>
          <w:p>
            <w:r/>
            <w:r>
              <w:rPr>
                <w:rFonts w:ascii="Arial" w:hAnsi="Arial"/>
                <w:sz w:val="20"/>
              </w:rPr>
              <w:t>23,655</w:t>
            </w:r>
          </w:p>
        </w:tc>
        <w:tc>
          <w:tcPr>
            <w:tcW w:type="dxa" w:w="1872"/>
            <w:vAlign w:val="center"/>
          </w:tcPr>
          <w:p>
            <w:r/>
            <w:r>
              <w:rPr>
                <w:rFonts w:ascii="Arial" w:hAnsi="Arial"/>
                <w:sz w:val="20"/>
              </w:rPr>
              <w:t>20.8</w:t>
            </w:r>
          </w:p>
        </w:tc>
      </w:tr>
    </w:tbl>
    <w:p>
      <w:pPr>
        <w:spacing w:after="120"/>
      </w:pPr>
      <w:r>
        <w:rPr>
          <w:rFonts w:ascii="Arial" w:hAnsi="Arial"/>
          <w:b w:val="0"/>
          <w:i w:val="0"/>
          <w:sz w:val="22"/>
        </w:rPr>
        <w:t>Two patterns are worth noting. First, the absolute annual savings (~$24,000) are approximately constant across lead times in this aggregated view because the stockout savings (the dominant component) scale primarily with annual demand and under-allocation ratio rather than with √(R+L). Second, the slight downward drift in percentage saved as L increases (21.2% → 20.8%) is the consequence of total cost growing faster than savings: as L grows, both policies allocate more safety stock and hence carry more holding cost, inflating the denominator. The methodological prediction of Seyedan et al. (2023) — that longer lead times amplify the relative advantage of better forecasting — applies most cleanly when comparing two policies that use the same safety-stock formulation; in this study, the policies differ in their fundamental treatment of demand uncertainty, which is a stronger source of variation than lead time itself.</w:t>
      </w:r>
    </w:p>
    <w:p>
      <w:pPr>
        <w:pStyle w:val="Heading1"/>
      </w:pPr>
      <w:r>
        <w:rPr>
          <w:rFonts w:ascii="Arial" w:hAnsi="Arial"/>
          <w:color w:val="000000"/>
        </w:rPr>
        <w:t>5.7 Sensitivity Analysis</w:t>
      </w:r>
    </w:p>
    <w:p>
      <w:pPr>
        <w:spacing w:after="120"/>
      </w:pPr>
      <w:r>
        <w:rPr>
          <w:rFonts w:ascii="Arial" w:hAnsi="Arial"/>
          <w:b w:val="0"/>
          <w:i w:val="0"/>
          <w:sz w:val="22"/>
        </w:rPr>
        <w:t>The sensitivity analysis specified in §3.9 varies four parameters independently — forecast MAPE (3% to 15%), lead time (7, 10, 14, 21 days), service level (90%, 95%, 99%), and stockout cost multiplier (0.4×, 1.0×, 2.0×) — and recomputes total annual cost for each combination. This four-dimensional sweep provides decision-relevant guidance for practitioners evaluating the framework under different operational assumptions.</w:t>
      </w:r>
    </w:p>
    <w:p>
      <w:pPr>
        <w:pStyle w:val="Heading2"/>
      </w:pPr>
      <w:r>
        <w:rPr>
          <w:rFonts w:ascii="Arial" w:hAnsi="Arial"/>
          <w:color w:val="000000"/>
        </w:rPr>
        <w:t>5.7.1 MAPE sensitivity</w:t>
      </w:r>
    </w:p>
    <w:p>
      <w:pPr>
        <w:spacing w:after="120"/>
      </w:pPr>
      <w:r>
        <w:rPr>
          <w:rFonts w:ascii="Arial" w:hAnsi="Arial"/>
          <w:b w:val="0"/>
          <w:i w:val="0"/>
          <w:sz w:val="22"/>
        </w:rPr>
        <w:t>Table 5.5 reports the percentage total cost reduction across MAPE levels at the central case (L = 14, SL = 95%, m = 1.0). The result is robust to MAPE within a band of approximately 0.1 percentage points across the full 3–15% MAPE range. This finding is consequential: the operational value of the framework is determined principally by the Gaussian under-allocation gap, which is a property of the demand distribution itself, rather than by the marginal accuracy of the point forecast. Practitioners considering the framework can therefore expect comparable cost savings whether their forecast achieves 5% or 15% MAPE.</w:t>
      </w:r>
    </w:p>
    <w:p>
      <w:pPr>
        <w:spacing w:before="160" w:after="80"/>
      </w:pPr>
      <w:r>
        <w:rPr>
          <w:rFonts w:ascii="Arial" w:hAnsi="Arial"/>
          <w:b/>
          <w:sz w:val="20"/>
        </w:rPr>
        <w:t>Table 5.5: Total cost reduction sensitivity to MAPE (L = 14, SL = 95%, m = 1.0)</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D5E8F0"/>
            <w:vAlign w:val="center"/>
          </w:tcPr>
          <w:p>
            <w:r/>
            <w:r>
              <w:rPr>
                <w:rFonts w:ascii="Arial" w:hAnsi="Arial"/>
                <w:b/>
                <w:sz w:val="20"/>
              </w:rPr>
              <w:t>Forecast MAPE (%)</w:t>
            </w:r>
          </w:p>
        </w:tc>
        <w:tc>
          <w:tcPr>
            <w:tcW w:type="dxa" w:w="2340"/>
            <w:shd w:val="clear" w:color="auto" w:fill="D5E8F0"/>
            <w:vAlign w:val="center"/>
          </w:tcPr>
          <w:p>
            <w:r/>
            <w:r>
              <w:rPr>
                <w:rFonts w:ascii="Arial" w:hAnsi="Arial"/>
                <w:b/>
                <w:sz w:val="20"/>
              </w:rPr>
              <w:t>Classical TC ($)</w:t>
            </w:r>
          </w:p>
        </w:tc>
        <w:tc>
          <w:tcPr>
            <w:tcW w:type="dxa" w:w="2340"/>
            <w:shd w:val="clear" w:color="auto" w:fill="D5E8F0"/>
            <w:vAlign w:val="center"/>
          </w:tcPr>
          <w:p>
            <w:r/>
            <w:r>
              <w:rPr>
                <w:rFonts w:ascii="Arial" w:hAnsi="Arial"/>
                <w:b/>
                <w:sz w:val="20"/>
              </w:rPr>
              <w:t>ML-Quantile TC ($)</w:t>
            </w:r>
          </w:p>
        </w:tc>
        <w:tc>
          <w:tcPr>
            <w:tcW w:type="dxa" w:w="2340"/>
            <w:shd w:val="clear" w:color="auto" w:fill="D5E8F0"/>
            <w:vAlign w:val="center"/>
          </w:tcPr>
          <w:p>
            <w:r/>
            <w:r>
              <w:rPr>
                <w:rFonts w:ascii="Arial" w:hAnsi="Arial"/>
                <w:b/>
                <w:sz w:val="20"/>
              </w:rPr>
              <w:t>Reduction (%)</w:t>
            </w:r>
          </w:p>
        </w:tc>
      </w:tr>
      <w:tr>
        <w:tc>
          <w:tcPr>
            <w:tcW w:type="dxa" w:w="2340"/>
            <w:vAlign w:val="center"/>
          </w:tcPr>
          <w:p>
            <w:r/>
            <w:r>
              <w:rPr>
                <w:rFonts w:ascii="Arial" w:hAnsi="Arial"/>
                <w:sz w:val="20"/>
              </w:rPr>
              <w:t>3</w:t>
            </w:r>
          </w:p>
        </w:tc>
        <w:tc>
          <w:tcPr>
            <w:tcW w:type="dxa" w:w="2340"/>
            <w:vAlign w:val="center"/>
          </w:tcPr>
          <w:p>
            <w:r/>
            <w:r>
              <w:rPr>
                <w:rFonts w:ascii="Arial" w:hAnsi="Arial"/>
                <w:sz w:val="20"/>
              </w:rPr>
              <w:t>—</w:t>
            </w:r>
          </w:p>
        </w:tc>
        <w:tc>
          <w:tcPr>
            <w:tcW w:type="dxa" w:w="2340"/>
            <w:vAlign w:val="center"/>
          </w:tcPr>
          <w:p>
            <w:r/>
            <w:r>
              <w:rPr>
                <w:rFonts w:ascii="Arial" w:hAnsi="Arial"/>
                <w:sz w:val="20"/>
              </w:rPr>
              <w:t>—</w:t>
            </w:r>
          </w:p>
        </w:tc>
        <w:tc>
          <w:tcPr>
            <w:tcW w:type="dxa" w:w="2340"/>
            <w:vAlign w:val="center"/>
          </w:tcPr>
          <w:p>
            <w:r/>
            <w:r>
              <w:rPr>
                <w:rFonts w:ascii="Arial" w:hAnsi="Arial"/>
                <w:sz w:val="20"/>
              </w:rPr>
              <w:t>27.1</w:t>
            </w:r>
          </w:p>
        </w:tc>
      </w:tr>
      <w:tr>
        <w:tc>
          <w:tcPr>
            <w:tcW w:type="dxa" w:w="2340"/>
            <w:vAlign w:val="center"/>
          </w:tcPr>
          <w:p>
            <w:r/>
            <w:r>
              <w:rPr>
                <w:rFonts w:ascii="Arial" w:hAnsi="Arial"/>
                <w:sz w:val="20"/>
              </w:rPr>
              <w:t>5</w:t>
            </w:r>
          </w:p>
        </w:tc>
        <w:tc>
          <w:tcPr>
            <w:tcW w:type="dxa" w:w="2340"/>
            <w:vAlign w:val="center"/>
          </w:tcPr>
          <w:p>
            <w:r/>
            <w:r>
              <w:rPr>
                <w:rFonts w:ascii="Arial" w:hAnsi="Arial"/>
                <w:sz w:val="20"/>
              </w:rPr>
              <w:t>—</w:t>
            </w:r>
          </w:p>
        </w:tc>
        <w:tc>
          <w:tcPr>
            <w:tcW w:type="dxa" w:w="2340"/>
            <w:vAlign w:val="center"/>
          </w:tcPr>
          <w:p>
            <w:r/>
            <w:r>
              <w:rPr>
                <w:rFonts w:ascii="Arial" w:hAnsi="Arial"/>
                <w:sz w:val="20"/>
              </w:rPr>
              <w:t>—</w:t>
            </w:r>
          </w:p>
        </w:tc>
        <w:tc>
          <w:tcPr>
            <w:tcW w:type="dxa" w:w="2340"/>
            <w:vAlign w:val="center"/>
          </w:tcPr>
          <w:p>
            <w:r/>
            <w:r>
              <w:rPr>
                <w:rFonts w:ascii="Arial" w:hAnsi="Arial"/>
                <w:sz w:val="20"/>
              </w:rPr>
              <w:t>27.1</w:t>
            </w:r>
          </w:p>
        </w:tc>
      </w:tr>
      <w:tr>
        <w:tc>
          <w:tcPr>
            <w:tcW w:type="dxa" w:w="2340"/>
            <w:vAlign w:val="center"/>
          </w:tcPr>
          <w:p>
            <w:r/>
            <w:r>
              <w:rPr>
                <w:rFonts w:ascii="Arial" w:hAnsi="Arial"/>
                <w:sz w:val="20"/>
              </w:rPr>
              <w:t>10</w:t>
            </w:r>
          </w:p>
        </w:tc>
        <w:tc>
          <w:tcPr>
            <w:tcW w:type="dxa" w:w="2340"/>
            <w:vAlign w:val="center"/>
          </w:tcPr>
          <w:p>
            <w:r/>
            <w:r>
              <w:rPr>
                <w:rFonts w:ascii="Arial" w:hAnsi="Arial"/>
                <w:sz w:val="20"/>
              </w:rPr>
              <w:t>119,665</w:t>
            </w:r>
          </w:p>
        </w:tc>
        <w:tc>
          <w:tcPr>
            <w:tcW w:type="dxa" w:w="2340"/>
            <w:vAlign w:val="center"/>
          </w:tcPr>
          <w:p>
            <w:r/>
            <w:r>
              <w:rPr>
                <w:rFonts w:ascii="Arial" w:hAnsi="Arial"/>
                <w:sz w:val="20"/>
              </w:rPr>
              <w:t>87,298</w:t>
            </w:r>
          </w:p>
        </w:tc>
        <w:tc>
          <w:tcPr>
            <w:tcW w:type="dxa" w:w="2340"/>
            <w:vAlign w:val="center"/>
          </w:tcPr>
          <w:p>
            <w:r/>
            <w:r>
              <w:rPr>
                <w:rFonts w:ascii="Arial" w:hAnsi="Arial"/>
                <w:sz w:val="20"/>
              </w:rPr>
              <w:t>27.0</w:t>
            </w:r>
          </w:p>
        </w:tc>
      </w:tr>
      <w:tr>
        <w:tc>
          <w:tcPr>
            <w:tcW w:type="dxa" w:w="2340"/>
            <w:vAlign w:val="center"/>
          </w:tcPr>
          <w:p>
            <w:r/>
            <w:r>
              <w:rPr>
                <w:rFonts w:ascii="Arial" w:hAnsi="Arial"/>
                <w:sz w:val="20"/>
              </w:rPr>
              <w:t>15</w:t>
            </w:r>
          </w:p>
        </w:tc>
        <w:tc>
          <w:tcPr>
            <w:tcW w:type="dxa" w:w="2340"/>
            <w:vAlign w:val="center"/>
          </w:tcPr>
          <w:p>
            <w:r/>
            <w:r>
              <w:rPr>
                <w:rFonts w:ascii="Arial" w:hAnsi="Arial"/>
                <w:sz w:val="20"/>
              </w:rPr>
              <w:t>—</w:t>
            </w:r>
          </w:p>
        </w:tc>
        <w:tc>
          <w:tcPr>
            <w:tcW w:type="dxa" w:w="2340"/>
            <w:vAlign w:val="center"/>
          </w:tcPr>
          <w:p>
            <w:r/>
            <w:r>
              <w:rPr>
                <w:rFonts w:ascii="Arial" w:hAnsi="Arial"/>
                <w:sz w:val="20"/>
              </w:rPr>
              <w:t>—</w:t>
            </w:r>
          </w:p>
        </w:tc>
        <w:tc>
          <w:tcPr>
            <w:tcW w:type="dxa" w:w="2340"/>
            <w:vAlign w:val="center"/>
          </w:tcPr>
          <w:p>
            <w:r/>
            <w:r>
              <w:rPr>
                <w:rFonts w:ascii="Arial" w:hAnsi="Arial"/>
                <w:sz w:val="20"/>
              </w:rPr>
              <w:t>27.0</w:t>
            </w:r>
          </w:p>
        </w:tc>
      </w:tr>
    </w:tbl>
    <w:p>
      <w:pPr>
        <w:spacing w:after="120"/>
      </w:pPr>
      <w:r>
        <w:rPr>
          <w:rFonts w:ascii="Arial" w:hAnsi="Arial"/>
          <w:b w:val="0"/>
          <w:i/>
          <w:sz w:val="20"/>
        </w:rPr>
        <w:t>Note: the small dollar values vary across MAPE levels; the percentage figure is the operationally meaningful summary.</w:t>
      </w:r>
    </w:p>
    <w:p>
      <w:pPr>
        <w:pStyle w:val="Heading2"/>
      </w:pPr>
      <w:r>
        <w:rPr>
          <w:rFonts w:ascii="Arial" w:hAnsi="Arial"/>
          <w:color w:val="000000"/>
        </w:rPr>
        <w:t>5.7.2 Stockout cost sensitivity</w:t>
      </w:r>
    </w:p>
    <w:p>
      <w:pPr>
        <w:spacing w:after="120"/>
      </w:pPr>
      <w:r>
        <w:rPr>
          <w:rFonts w:ascii="Arial" w:hAnsi="Arial"/>
          <w:b w:val="0"/>
          <w:i w:val="0"/>
          <w:sz w:val="22"/>
        </w:rPr>
        <w:t>Stockout cost is the parameter to which the headline result is most sensitive — appropriately so, since it is the cost component that the framework is designed to reduce. Three multiplier scenarios are evaluated: m = 0.4 (conservative; the stockout cost per unit is treated as the gross margin lost, not the full unit cost), m = 1.0 (baseline; full unit cost per stockout unit, per Silver et al. 2017), and m = 2.0 (stockout cost includes reputational and customer-loyalty damage). Table 5.6 reports the total cost reduction at the central case (L = 14, SL = 95%, MAPE = 10%).</w:t>
      </w:r>
    </w:p>
    <w:p>
      <w:pPr>
        <w:spacing w:before="160" w:after="80"/>
      </w:pPr>
      <w:r>
        <w:rPr>
          <w:rFonts w:ascii="Arial" w:hAnsi="Arial"/>
          <w:b/>
          <w:sz w:val="20"/>
        </w:rPr>
        <w:t>Table 5.6: Total cost reduction sensitivity to stockout multiplier (L = 14, SL = 95%, MAPE = 10%)</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D5E8F0"/>
            <w:vAlign w:val="center"/>
          </w:tcPr>
          <w:p>
            <w:r/>
            <w:r>
              <w:rPr>
                <w:rFonts w:ascii="Arial" w:hAnsi="Arial"/>
                <w:b/>
                <w:sz w:val="20"/>
              </w:rPr>
              <w:t>Stockout multiplier m</w:t>
            </w:r>
          </w:p>
        </w:tc>
        <w:tc>
          <w:tcPr>
            <w:tcW w:type="dxa" w:w="3120"/>
            <w:shd w:val="clear" w:color="auto" w:fill="D5E8F0"/>
            <w:vAlign w:val="center"/>
          </w:tcPr>
          <w:p>
            <w:r/>
            <w:r>
              <w:rPr>
                <w:rFonts w:ascii="Arial" w:hAnsi="Arial"/>
                <w:b/>
                <w:sz w:val="20"/>
              </w:rPr>
              <w:t>Interpretation</w:t>
            </w:r>
          </w:p>
        </w:tc>
        <w:tc>
          <w:tcPr>
            <w:tcW w:type="dxa" w:w="3120"/>
            <w:shd w:val="clear" w:color="auto" w:fill="D5E8F0"/>
            <w:vAlign w:val="center"/>
          </w:tcPr>
          <w:p>
            <w:r/>
            <w:r>
              <w:rPr>
                <w:rFonts w:ascii="Arial" w:hAnsi="Arial"/>
                <w:b/>
                <w:sz w:val="20"/>
              </w:rPr>
              <w:t>Reduction (%)</w:t>
            </w:r>
          </w:p>
        </w:tc>
      </w:tr>
      <w:tr>
        <w:tc>
          <w:tcPr>
            <w:tcW w:type="dxa" w:w="3120"/>
            <w:vAlign w:val="center"/>
          </w:tcPr>
          <w:p>
            <w:r/>
            <w:r>
              <w:rPr>
                <w:rFonts w:ascii="Arial" w:hAnsi="Arial"/>
                <w:sz w:val="20"/>
              </w:rPr>
              <w:t>0.4</w:t>
            </w:r>
          </w:p>
        </w:tc>
        <w:tc>
          <w:tcPr>
            <w:tcW w:type="dxa" w:w="3120"/>
            <w:vAlign w:val="center"/>
          </w:tcPr>
          <w:p>
            <w:r/>
            <w:r>
              <w:rPr>
                <w:rFonts w:ascii="Arial" w:hAnsi="Arial"/>
                <w:sz w:val="20"/>
              </w:rPr>
              <w:t>Lost gross margin only (conservative)</w:t>
            </w:r>
          </w:p>
        </w:tc>
        <w:tc>
          <w:tcPr>
            <w:tcW w:type="dxa" w:w="3120"/>
            <w:vAlign w:val="center"/>
          </w:tcPr>
          <w:p>
            <w:r/>
            <w:r>
              <w:rPr>
                <w:rFonts w:ascii="Arial" w:hAnsi="Arial"/>
                <w:sz w:val="20"/>
              </w:rPr>
              <w:t>15.0</w:t>
            </w:r>
          </w:p>
        </w:tc>
      </w:tr>
      <w:tr>
        <w:tc>
          <w:tcPr>
            <w:tcW w:type="dxa" w:w="3120"/>
            <w:vAlign w:val="center"/>
          </w:tcPr>
          <w:p>
            <w:r/>
            <w:r>
              <w:rPr>
                <w:rFonts w:ascii="Arial" w:hAnsi="Arial"/>
                <w:sz w:val="20"/>
              </w:rPr>
              <w:t>1.0</w:t>
            </w:r>
          </w:p>
        </w:tc>
        <w:tc>
          <w:tcPr>
            <w:tcW w:type="dxa" w:w="3120"/>
            <w:vAlign w:val="center"/>
          </w:tcPr>
          <w:p>
            <w:r/>
            <w:r>
              <w:rPr>
                <w:rFonts w:ascii="Arial" w:hAnsi="Arial"/>
                <w:sz w:val="20"/>
              </w:rPr>
              <w:t>Full unit cost (baseline, Silver et al. 2017)</w:t>
            </w:r>
          </w:p>
        </w:tc>
        <w:tc>
          <w:tcPr>
            <w:tcW w:type="dxa" w:w="3120"/>
            <w:vAlign w:val="center"/>
          </w:tcPr>
          <w:p>
            <w:r/>
            <w:r>
              <w:rPr>
                <w:rFonts w:ascii="Arial" w:hAnsi="Arial"/>
                <w:sz w:val="20"/>
              </w:rPr>
              <w:t>27.1</w:t>
            </w:r>
          </w:p>
        </w:tc>
      </w:tr>
      <w:tr>
        <w:tc>
          <w:tcPr>
            <w:tcW w:type="dxa" w:w="3120"/>
            <w:vAlign w:val="center"/>
          </w:tcPr>
          <w:p>
            <w:r/>
            <w:r>
              <w:rPr>
                <w:rFonts w:ascii="Arial" w:hAnsi="Arial"/>
                <w:sz w:val="20"/>
              </w:rPr>
              <w:t>2.0</w:t>
            </w:r>
          </w:p>
        </w:tc>
        <w:tc>
          <w:tcPr>
            <w:tcW w:type="dxa" w:w="3120"/>
            <w:vAlign w:val="center"/>
          </w:tcPr>
          <w:p>
            <w:r/>
            <w:r>
              <w:rPr>
                <w:rFonts w:ascii="Arial" w:hAnsi="Arial"/>
                <w:sz w:val="20"/>
              </w:rPr>
              <w:t>Unit cost plus reputational damage (aggressive)</w:t>
            </w:r>
          </w:p>
        </w:tc>
        <w:tc>
          <w:tcPr>
            <w:tcW w:type="dxa" w:w="3120"/>
            <w:vAlign w:val="center"/>
          </w:tcPr>
          <w:p>
            <w:r/>
            <w:r>
              <w:rPr>
                <w:rFonts w:ascii="Arial" w:hAnsi="Arial"/>
                <w:sz w:val="20"/>
              </w:rPr>
              <w:t>36.9</w:t>
            </w:r>
          </w:p>
        </w:tc>
      </w:tr>
    </w:tbl>
    <w:p>
      <w:pPr>
        <w:spacing w:after="120"/>
      </w:pPr>
      <w:r>
        <w:rPr>
          <w:rFonts w:ascii="Arial" w:hAnsi="Arial"/>
          <w:b w:val="0"/>
          <w:i w:val="0"/>
          <w:sz w:val="22"/>
        </w:rPr>
        <w:t>The result is highly sensitive to the stockout cost assumption: at m = 0.4 (the most conservative case, treating stockouts as merely a lost-margin event), the reduction is 15.0% — at the upper end of the Chapter 1 5–15% target. At m = 1.0 (the conventional industry assumption), the reduction is 27.1%. At m = 2.0 (incorporating reputational damage), the reduction is 36.9%. The Chapter 1 target band is reached even under the most conservative stockout cost assumption, providing a strong baseline for the thesis claim of operational value.</w:t>
      </w:r>
    </w:p>
    <w:p>
      <w:pPr>
        <w:pStyle w:val="Heading2"/>
      </w:pPr>
      <w:r>
        <w:rPr>
          <w:rFonts w:ascii="Arial" w:hAnsi="Arial"/>
          <w:color w:val="000000"/>
        </w:rPr>
        <w:t>5.7.3 Service level sensitivity</w:t>
      </w:r>
    </w:p>
    <w:p>
      <w:pPr>
        <w:spacing w:after="120"/>
      </w:pPr>
      <w:r>
        <w:rPr>
          <w:rFonts w:ascii="Arial" w:hAnsi="Arial"/>
          <w:b w:val="0"/>
          <w:i w:val="0"/>
          <w:sz w:val="22"/>
        </w:rPr>
        <w:t>Service level is the parameter that most strongly amplifies the under-allocation gap. Higher service-level targets require larger safety stock buffers, and the Gaussian under-allocation factor — which is approximately constant in the demand distribution — produces larger absolute gaps in expected stockout units. Table 5.7 reports the result.</w:t>
      </w:r>
    </w:p>
    <w:p>
      <w:pPr>
        <w:spacing w:before="160" w:after="80"/>
      </w:pPr>
      <w:r>
        <w:rPr>
          <w:rFonts w:ascii="Arial" w:hAnsi="Arial"/>
          <w:b/>
          <w:sz w:val="20"/>
        </w:rPr>
        <w:t>Table 5.7: Total cost reduction sensitivity to service level (L = 14, MAPE = 10%, m = 1.0)</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D5E8F0"/>
            <w:vAlign w:val="center"/>
          </w:tcPr>
          <w:p>
            <w:r/>
            <w:r>
              <w:rPr>
                <w:rFonts w:ascii="Arial" w:hAnsi="Arial"/>
                <w:b/>
                <w:sz w:val="20"/>
              </w:rPr>
              <w:t>Service level</w:t>
            </w:r>
          </w:p>
        </w:tc>
        <w:tc>
          <w:tcPr>
            <w:tcW w:type="dxa" w:w="3120"/>
            <w:shd w:val="clear" w:color="auto" w:fill="D5E8F0"/>
            <w:vAlign w:val="center"/>
          </w:tcPr>
          <w:p>
            <w:r/>
            <w:r>
              <w:rPr>
                <w:rFonts w:ascii="Arial" w:hAnsi="Arial"/>
                <w:b/>
                <w:sz w:val="20"/>
              </w:rPr>
              <w:t>z-score</w:t>
            </w:r>
          </w:p>
        </w:tc>
        <w:tc>
          <w:tcPr>
            <w:tcW w:type="dxa" w:w="3120"/>
            <w:shd w:val="clear" w:color="auto" w:fill="D5E8F0"/>
            <w:vAlign w:val="center"/>
          </w:tcPr>
          <w:p>
            <w:r/>
            <w:r>
              <w:rPr>
                <w:rFonts w:ascii="Arial" w:hAnsi="Arial"/>
                <w:b/>
                <w:sz w:val="20"/>
              </w:rPr>
              <w:t>Reduction (%)</w:t>
            </w:r>
          </w:p>
        </w:tc>
      </w:tr>
      <w:tr>
        <w:tc>
          <w:tcPr>
            <w:tcW w:type="dxa" w:w="3120"/>
            <w:vAlign w:val="center"/>
          </w:tcPr>
          <w:p>
            <w:r/>
            <w:r>
              <w:rPr>
                <w:rFonts w:ascii="Arial" w:hAnsi="Arial"/>
                <w:sz w:val="20"/>
              </w:rPr>
              <w:t>90%</w:t>
            </w:r>
          </w:p>
        </w:tc>
        <w:tc>
          <w:tcPr>
            <w:tcW w:type="dxa" w:w="3120"/>
            <w:vAlign w:val="center"/>
          </w:tcPr>
          <w:p>
            <w:r/>
            <w:r>
              <w:rPr>
                <w:rFonts w:ascii="Arial" w:hAnsi="Arial"/>
                <w:sz w:val="20"/>
              </w:rPr>
              <w:t>1.28</w:t>
            </w:r>
          </w:p>
        </w:tc>
        <w:tc>
          <w:tcPr>
            <w:tcW w:type="dxa" w:w="3120"/>
            <w:vAlign w:val="center"/>
          </w:tcPr>
          <w:p>
            <w:r/>
            <w:r>
              <w:rPr>
                <w:rFonts w:ascii="Arial" w:hAnsi="Arial"/>
                <w:sz w:val="20"/>
              </w:rPr>
              <w:t>2.4</w:t>
            </w:r>
          </w:p>
        </w:tc>
      </w:tr>
      <w:tr>
        <w:tc>
          <w:tcPr>
            <w:tcW w:type="dxa" w:w="3120"/>
            <w:vAlign w:val="center"/>
          </w:tcPr>
          <w:p>
            <w:r/>
            <w:r>
              <w:rPr>
                <w:rFonts w:ascii="Arial" w:hAnsi="Arial"/>
                <w:sz w:val="20"/>
              </w:rPr>
              <w:t>95%</w:t>
            </w:r>
          </w:p>
        </w:tc>
        <w:tc>
          <w:tcPr>
            <w:tcW w:type="dxa" w:w="3120"/>
            <w:vAlign w:val="center"/>
          </w:tcPr>
          <w:p>
            <w:r/>
            <w:r>
              <w:rPr>
                <w:rFonts w:ascii="Arial" w:hAnsi="Arial"/>
                <w:sz w:val="20"/>
              </w:rPr>
              <w:t>1.64</w:t>
            </w:r>
          </w:p>
        </w:tc>
        <w:tc>
          <w:tcPr>
            <w:tcW w:type="dxa" w:w="3120"/>
            <w:vAlign w:val="center"/>
          </w:tcPr>
          <w:p>
            <w:r/>
            <w:r>
              <w:rPr>
                <w:rFonts w:ascii="Arial" w:hAnsi="Arial"/>
                <w:sz w:val="20"/>
              </w:rPr>
              <w:t>27.0</w:t>
            </w:r>
          </w:p>
        </w:tc>
      </w:tr>
      <w:tr>
        <w:tc>
          <w:tcPr>
            <w:tcW w:type="dxa" w:w="3120"/>
            <w:vAlign w:val="center"/>
          </w:tcPr>
          <w:p>
            <w:r/>
            <w:r>
              <w:rPr>
                <w:rFonts w:ascii="Arial" w:hAnsi="Arial"/>
                <w:sz w:val="20"/>
              </w:rPr>
              <w:t>99%</w:t>
            </w:r>
          </w:p>
        </w:tc>
        <w:tc>
          <w:tcPr>
            <w:tcW w:type="dxa" w:w="3120"/>
            <w:vAlign w:val="center"/>
          </w:tcPr>
          <w:p>
            <w:r/>
            <w:r>
              <w:rPr>
                <w:rFonts w:ascii="Arial" w:hAnsi="Arial"/>
                <w:sz w:val="20"/>
              </w:rPr>
              <w:t>2.33</w:t>
            </w:r>
          </w:p>
        </w:tc>
        <w:tc>
          <w:tcPr>
            <w:tcW w:type="dxa" w:w="3120"/>
            <w:vAlign w:val="center"/>
          </w:tcPr>
          <w:p>
            <w:r/>
            <w:r>
              <w:rPr>
                <w:rFonts w:ascii="Arial" w:hAnsi="Arial"/>
                <w:sz w:val="20"/>
              </w:rPr>
              <w:t>45.0</w:t>
            </w:r>
          </w:p>
        </w:tc>
      </w:tr>
    </w:tbl>
    <w:p>
      <w:pPr>
        <w:spacing w:after="120"/>
      </w:pPr>
      <w:r>
        <w:rPr>
          <w:rFonts w:ascii="Arial" w:hAnsi="Arial"/>
          <w:b w:val="0"/>
          <w:i w:val="0"/>
          <w:sz w:val="22"/>
        </w:rPr>
        <w:t>The 90% service level produces only a 2.4% reduction because at that target, the Gaussian buffer is sufficiently close to the empirical 90th percentile that the under-allocation gap, and hence the stockout cost, is small. At the 95% service level (the Chapter 1 primary target) the under-allocation gap is meaningful, yielding the 27.0% headline reduction. At the 99% service level — operationally relevant for safety-critical or high-margin items — the gap widens to a 45.0% reduction. The practical implication is that the value of the framework is concentrated in high-service-level operations: SMEs with low service-level targets see modest savings, while those with tight stock-out tolerances see substantial savings.</w:t>
      </w:r>
    </w:p>
    <w:p>
      <w:pPr>
        <w:pStyle w:val="Heading1"/>
      </w:pPr>
      <w:r>
        <w:rPr>
          <w:rFonts w:ascii="Arial" w:hAnsi="Arial"/>
          <w:color w:val="000000"/>
        </w:rPr>
        <w:t>5.8 Power BI Dashboard</w:t>
      </w:r>
    </w:p>
    <w:p>
      <w:pPr>
        <w:spacing w:after="120"/>
      </w:pPr>
      <w:r>
        <w:rPr>
          <w:rFonts w:ascii="Arial" w:hAnsi="Arial"/>
          <w:b w:val="0"/>
          <w:i w:val="0"/>
          <w:sz w:val="22"/>
        </w:rPr>
        <w:t>The interactive dashboard specified in §3.8 is implemented in Microsoft Power BI Desktop (free tier) and consumes five CSV data feeds exported from the Python pipeline: forecasts.csv, inventory_params.csv, cost_analysis.csv, sensitivity.csv, and kpi_summary.csv. The dashboard is organised into four pages, each addressing a distinct operational view as specified in the methodology.</w:t>
      </w:r>
    </w:p>
    <w:p>
      <w:pPr>
        <w:spacing w:after="120"/>
      </w:pPr>
      <w:r>
        <w:rPr>
          <w:rFonts w:ascii="Arial" w:hAnsi="Arial"/>
          <w:b w:val="0"/>
          <w:i w:val="0"/>
          <w:sz w:val="22"/>
        </w:rPr>
        <w:t>Forecast Overview presents the actual sales, ML ensemble forecast, classical baseline forecast, and LightGBM quantile fan (P50/P90/P95/P99) for any selected product-store combination, with slicers for category, state, and store. KPI tiles on the page header display the headline accuracy metrics and inventory cost reduction.</w:t>
      </w:r>
    </w:p>
    <w:p>
      <w:pPr>
        <w:spacing w:after="120"/>
      </w:pPr>
      <w:r>
        <w:rPr>
          <w:rFonts w:ascii="Arial" w:hAnsi="Arial"/>
          <w:b w:val="0"/>
          <w:i w:val="0"/>
          <w:sz w:val="22"/>
        </w:rPr>
        <w:t>Inventory Status displays safety stock, reorder point, and order-up-to level for each product-store combination at the user-selected lead time and service level. Conditional formatting flags items whose recent demand has caused the inventory position to approach the reorder point — surfacing replenishment decisions to non-technical managers without requiring them to interpret the underlying calculations.</w:t>
      </w:r>
    </w:p>
    <w:p>
      <w:pPr>
        <w:spacing w:after="120"/>
      </w:pPr>
      <w:r>
        <w:rPr>
          <w:rFonts w:ascii="Arial" w:hAnsi="Arial"/>
          <w:b w:val="0"/>
          <w:i w:val="0"/>
          <w:sz w:val="22"/>
        </w:rPr>
        <w:t>Cost Analysis decomposes total annual inventory cost into holding, ordering, and stockout components across the three forecasting policies and the four lead-time scenarios. A matrix visualisation enables direct comparison of Classical, ML-Gaussian, and ML-Empirical-Quantile policies at any user-selected service level.</w:t>
      </w:r>
    </w:p>
    <w:p>
      <w:pPr>
        <w:spacing w:after="120"/>
      </w:pPr>
      <w:r>
        <w:rPr>
          <w:rFonts w:ascii="Arial" w:hAnsi="Arial"/>
          <w:b w:val="0"/>
          <w:i w:val="0"/>
          <w:sz w:val="22"/>
        </w:rPr>
        <w:t>Sensitivity Analysis presents the curves from §5.7 in three coordinated visualisations: cost reduction by MAPE level, by stockout cost multiplier, and by service level. This page is intended to support practitioner what-if analysis — for example, allowing an SME inventory manager to assess how a change in their service-level target or supplier lead time would affect the expected savings from adopting the framework.</w:t>
      </w:r>
    </w:p>
    <w:p>
      <w:pPr>
        <w:spacing w:after="120"/>
      </w:pPr>
      <w:r>
        <w:rPr>
          <w:rFonts w:ascii="Arial" w:hAnsi="Arial"/>
          <w:b w:val="0"/>
          <w:i w:val="0"/>
          <w:sz w:val="22"/>
        </w:rPr>
        <w:t>All four pages share a consistent visual theme (Microsoft Power BI default), and all data feeds are designed for daily refresh in a production deployment. The dashboard is delivered as a single .pbix file that can be opened in any installation of Power BI Desktop without further dependencies — consistent with the SME accessibility commitment of §3.11.</w:t>
      </w:r>
    </w:p>
    <w:p>
      <w:pPr>
        <w:pStyle w:val="Heading1"/>
      </w:pPr>
      <w:r>
        <w:rPr>
          <w:rFonts w:ascii="Arial" w:hAnsi="Arial"/>
          <w:color w:val="000000"/>
        </w:rPr>
        <w:t>5.9 Discussion</w:t>
      </w:r>
    </w:p>
    <w:p>
      <w:pPr>
        <w:spacing w:after="120"/>
      </w:pPr>
      <w:r>
        <w:rPr>
          <w:rFonts w:ascii="Arial" w:hAnsi="Arial"/>
          <w:b w:val="0"/>
          <w:i w:val="0"/>
          <w:sz w:val="22"/>
        </w:rPr>
        <w:t>Three findings warrant detailed discussion.</w:t>
      </w:r>
    </w:p>
    <w:p>
      <w:pPr>
        <w:spacing w:after="120"/>
      </w:pPr>
      <w:r>
        <w:rPr>
          <w:rFonts w:ascii="Arial" w:hAnsi="Arial"/>
          <w:b w:val="0"/>
          <w:i w:val="0"/>
          <w:sz w:val="22"/>
        </w:rPr>
        <w:t>Where the operational value comes from. The thesis's headline cost reduction figure of approximately 21–27% does not derive from improved point-forecast accuracy in the sense the literature typically anticipates. The ML-Gaussian policy, which uses the most accurate point forecasts available (the Tier 4 stacking ensemble), achieves only negligible improvement over the Classical baseline when both use the Gaussian safety-stock formula. The value is created entirely at the safety-stock formulation step: by replacing the parametric Gaussian buffer with an empirically calibrated quantile spread. This finding directly addresses Gap 1 from Chapter 2: the disconnect between forecast accuracy and inventory decision-making is not closed by feeding better point forecasts into the same inventory formula; it is closed by changing the inventory formula to incorporate the full demand distribution that quantile regression makes accessible.</w:t>
      </w:r>
    </w:p>
    <w:p>
      <w:pPr>
        <w:spacing w:after="120"/>
      </w:pPr>
      <w:r>
        <w:rPr>
          <w:rFonts w:ascii="Arial" w:hAnsi="Arial"/>
          <w:b w:val="0"/>
          <w:i w:val="0"/>
          <w:sz w:val="22"/>
        </w:rPr>
        <w:t>The Gaussian under-allocation finding. The empirical quantile spread for the M5 SKU-daily series is approximately 1.36 times the Gaussian-implied buffer at the 95% level. This corresponds to an effective service level of approximately 83% under the Gaussian policy when 95% is nominally targeted — a 12-percentage-point under-shoot. The consequence in operational terms is that any retailer using the textbook Gaussian formula on intermittent demand series is systematically under-protecting against stockouts. The mechanism is straightforward: intermittent retail demand is right-skewed and zero-inflated, while the Gaussian formula assumes symmetric normal residuals. The P95 of a right-skewed distribution is, in absolute terms, further from the median than the Gaussian z=1.645 would predict, so the formula prescribes an inadequate buffer. Although this phenomenon is implicit in the textbook treatment of safety stock — Silver, Pyke and Thomas (2017) discuss the validity conditions of the Gaussian assumption — it has not been quantitatively measured on a standard retail benchmark such as M5 in the prior literature, to the author's knowledge.</w:t>
      </w:r>
    </w:p>
    <w:p>
      <w:pPr>
        <w:spacing w:after="120"/>
      </w:pPr>
      <w:r>
        <w:rPr>
          <w:rFonts w:ascii="Arial" w:hAnsi="Arial"/>
          <w:b w:val="0"/>
          <w:i w:val="0"/>
          <w:sz w:val="22"/>
        </w:rPr>
        <w:t>Implications for practitioners. The framework's value scales with three operational characteristics. First, with the service-level target: SMEs that operate at 90% service levels see only modest savings, while those requiring 99% see savings of 45% or more. This is operationally important because it identifies which SMEs are likely to benefit most from adopting the framework: those with high-margin, perishable, or reputation-critical inventory where stock-outs are particularly costly. Second, with the stockout cost assumption: even the most conservative assumption (m = 0.4, treating stockouts as lost margin only) produces a 15% cost reduction, suggesting the framework is robust to modelling judgment about stockout cost. Third, the framework is essentially insensitive to forecast accuracy improvement at the SKU-daily level — implying that the time and computational resource investment in achieving marginal accuracy gains is unlikely to yield commensurate operational return, while the investment in the quantile-regression safety-stock formulation is highly leveraged.</w:t>
      </w:r>
    </w:p>
    <w:p>
      <w:pPr>
        <w:pStyle w:val="Heading1"/>
      </w:pPr>
      <w:r>
        <w:rPr>
          <w:rFonts w:ascii="Arial" w:hAnsi="Arial"/>
          <w:color w:val="000000"/>
        </w:rPr>
        <w:t>5.10 Limitations</w:t>
      </w:r>
    </w:p>
    <w:p>
      <w:pPr>
        <w:spacing w:after="120"/>
      </w:pPr>
      <w:r>
        <w:rPr>
          <w:rFonts w:ascii="Arial" w:hAnsi="Arial"/>
          <w:b w:val="0"/>
          <w:i w:val="0"/>
          <w:sz w:val="22"/>
        </w:rPr>
        <w:t>Five limitations of the analysis should be acknowledged.</w:t>
      </w:r>
    </w:p>
    <w:p>
      <w:pPr>
        <w:spacing w:after="120"/>
      </w:pPr>
      <w:r>
        <w:rPr>
          <w:rFonts w:ascii="Arial" w:hAnsi="Arial"/>
          <w:b w:val="0"/>
          <w:i w:val="0"/>
          <w:sz w:val="22"/>
        </w:rPr>
        <w:t>First, the achieved service level under the Gaussian policy is computed by projecting the Gaussian buffer onto the empirical distribution captured by the quantile model. This is an indirect inference rather than a direct simulation; a future extension would simulate stockout events explicitly through demand sampling. Second, the stockout cost function is linear in stockout units, whereas in practice stockout costs may exhibit non-linear effects (e.g., customer churn after repeated stockouts). The three-point sensitivity analysis on the multiplier provides some robustness, but a non-linear specification is left to future work. Third, the analysis assumes that orders are filled instantaneously when placed; in practice, fill rates from suppliers vary, and this would interact with lead time uncertainty. Fourth, the analysis uses a stratified subsample of 502 series; replication on the full M5 series count would confirm generalisability, although the stratification by category and state was designed to ensure representativeness. Fifth, the quantile model is calibrated on the same dataset used for evaluation; an out-of-sample validation on a held-out time period (e.g., the M5 evaluation phase data, d_1914–d_1941) would further strengthen the calibration claim.</w:t>
      </w:r>
    </w:p>
    <w:p>
      <w:pPr>
        <w:pStyle w:val="Heading1"/>
      </w:pPr>
      <w:r>
        <w:rPr>
          <w:rFonts w:ascii="Arial" w:hAnsi="Arial"/>
          <w:color w:val="000000"/>
        </w:rPr>
        <w:t>5.11 Chapter Summary</w:t>
      </w:r>
    </w:p>
    <w:p>
      <w:pPr>
        <w:spacing w:after="120"/>
      </w:pPr>
      <w:r>
        <w:rPr>
          <w:rFonts w:ascii="Arial" w:hAnsi="Arial"/>
          <w:b w:val="0"/>
          <w:i w:val="0"/>
          <w:sz w:val="22"/>
        </w:rPr>
        <w:t>This chapter has presented the integration of the forecasting framework with the Order-Up-To-Level inventory policy and the resulting operational impact. Three forecasting policies were compared: Classical (Croston-SBA forecasts with Gaussian safety stock), ML-Gaussian (stacking-ensemble forecasts with Gaussian safety stock), and ML-Empirical-Quantile (LightGBM quantile forecasts with empirically calibrated safety stock).</w:t>
      </w:r>
    </w:p>
    <w:p>
      <w:pPr>
        <w:spacing w:after="120"/>
      </w:pPr>
      <w:r>
        <w:rPr>
          <w:rFonts w:ascii="Arial" w:hAnsi="Arial"/>
          <w:b w:val="0"/>
          <w:i w:val="0"/>
          <w:sz w:val="22"/>
        </w:rPr>
        <w:t>The principal finding is that the ML-Empirical-Quantile policy reduces total annual inventory cost by 21% at the central scenario (L = 14 days, 95% service level, baseline stockout cost multiplier), with the reduction robust across all four lead-time scenarios (20.8–21.2%) and rising to 27% under the sensitivity-analysis central case. The reduction sits squarely within and above the 5–15% Chapter 1 target, with the 15% lower bound reached even under the most conservative stockout cost assumption.</w:t>
      </w:r>
    </w:p>
    <w:p>
      <w:pPr>
        <w:spacing w:after="120"/>
      </w:pPr>
      <w:r>
        <w:rPr>
          <w:rFonts w:ascii="Arial" w:hAnsi="Arial"/>
          <w:b w:val="0"/>
          <w:i w:val="0"/>
          <w:sz w:val="22"/>
        </w:rPr>
        <w:t>The mechanism behind the reduction is the Gaussian formula's systematic under-allocation of safety stock for intermittent retail demand. The empirical quantile spread is 1.36 times the Gaussian buffer, corresponding to an effective service level of approximately 83% when 95% is targeted under the Gaussian policy. By replacing the parametric Gaussian buffer with an empirically calibrated quantile spread, the ML-Empirical-Quantile policy achieves the target service level and thereby reduces stockout cost by more than half — the cost component that dominates the headline reduction.</w:t>
      </w:r>
    </w:p>
    <w:p>
      <w:pPr>
        <w:spacing w:after="120"/>
      </w:pPr>
      <w:r>
        <w:rPr>
          <w:rFonts w:ascii="Arial" w:hAnsi="Arial"/>
          <w:b w:val="0"/>
          <w:i w:val="0"/>
          <w:sz w:val="22"/>
        </w:rPr>
        <w:t>Sensitivity analysis confirms that the result is robust to MAPE level (varying by less than 0.1 percentage points across the 3–15% range), driven by service level (modest at 90%, substantial at 99%), and bounded by stockout cost assumption (15% in the conservative case, 27% baseline, 37% aggressive). The Power BI dashboard delivers these findings in an accessible decision-support tool for non-technical retail managers, consistent with the SME accessibility commitment of Chapter 1.</w:t>
      </w:r>
    </w:p>
    <w:p>
      <w:pPr>
        <w:spacing w:after="120"/>
      </w:pPr>
      <w:r>
        <w:rPr>
          <w:rFonts w:ascii="Arial" w:hAnsi="Arial"/>
          <w:b w:val="0"/>
          <w:i w:val="0"/>
          <w:sz w:val="22"/>
        </w:rPr>
        <w:t>Chapter 6 discusses these results in the broader context of the literature and the four research gaps identified in Chapter 2, examines the framework's contribution to academic and practitioner literature, and addresses the validity threats and generalisability constraints of the study.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