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CHAPTER 6</w:t>
      </w:r>
    </w:p>
    <w:p>
      <w:pPr>
        <w:spacing w:after="360"/>
        <w:jc w:val="center"/>
      </w:pPr>
      <w:r>
        <w:rPr>
          <w:rFonts w:ascii="Arial" w:hAnsi="Arial"/>
          <w:b/>
          <w:sz w:val="32"/>
        </w:rPr>
        <w:t>Discussion</w:t>
      </w:r>
    </w:p>
    <w:p>
      <w:pPr>
        <w:pStyle w:val="Heading1"/>
      </w:pPr>
      <w:r>
        <w:rPr>
          <w:rFonts w:ascii="Arial" w:hAnsi="Arial"/>
          <w:color w:val="000000"/>
        </w:rPr>
        <w:t>6.1 Introduction</w:t>
      </w:r>
    </w:p>
    <w:p>
      <w:pPr>
        <w:spacing w:after="120"/>
      </w:pPr>
      <w:r>
        <w:rPr>
          <w:rFonts w:ascii="Arial" w:hAnsi="Arial"/>
          <w:b w:val="0"/>
          <w:i w:val="0"/>
          <w:sz w:val="22"/>
        </w:rPr>
        <w:t>This chapter discusses the empirical findings of the thesis in the context of the research gaps identified in Chapter 2 and the broader academic literature. The discussion proceeds in seven parts. Section 6.2 synthesises the principal results from Chapters 4 and 5. Section 6.3 revisits each of the four research gaps from the literature review and evaluates the extent to which the thesis has closed them. Section 6.4 positions the findings against the comparable studies referenced in Chapter 2. Sections 6.5 and 6.6 discuss the theoretical and practical contributions of the work. Section 6.7 addresses validity threats. Section 6.8 expands on the limitations introduced in Chapters 4 and 5. Section 6.9 identifies promising directions for future research. Section 6.10 summarises the chapter.</w:t>
      </w:r>
    </w:p>
    <w:p>
      <w:pPr>
        <w:pStyle w:val="Heading1"/>
      </w:pPr>
      <w:r>
        <w:rPr>
          <w:rFonts w:ascii="Arial" w:hAnsi="Arial"/>
          <w:color w:val="000000"/>
        </w:rPr>
        <w:t>6.2 Synthesis of Empirical Findings</w:t>
      </w:r>
    </w:p>
    <w:p>
      <w:pPr>
        <w:spacing w:after="120"/>
      </w:pPr>
      <w:r>
        <w:rPr>
          <w:rFonts w:ascii="Arial" w:hAnsi="Arial"/>
          <w:b w:val="0"/>
          <w:i w:val="0"/>
          <w:sz w:val="22"/>
        </w:rPr>
        <w:t>Three findings emerge from the empirical work and frame the discussion that follows.</w:t>
      </w:r>
    </w:p>
    <w:p>
      <w:pPr>
        <w:spacing w:after="120"/>
      </w:pPr>
      <w:r>
        <w:rPr>
          <w:rFonts w:ascii="Arial" w:hAnsi="Arial"/>
          <w:b w:val="0"/>
          <w:i w:val="0"/>
          <w:sz w:val="22"/>
        </w:rPr>
        <w:t>Finding 1: Forecast accuracy improvements at SKU-daily granularity are modest. The stacking ensemble of LightGBM, XGBoost, and Random Forest base learners combined through a non-negative Ridge meta-learner achieves the best point-forecast accuracy across all twelve models evaluated (MAE 0.952, WMAPE 73.58%). Improvements over the best classical baselines are 4.5% on MAE, 9.5% on RMSE, and approximately flat on MAPE. These figures sit below the 10–25% target band specified in Chapter 1 — an outcome consistent with the granularity-dependence documented in the M5 retrospective literature. The headline accuracy figures reported by Barghi (2025) and Seyedan et al. (2023) are obtained at weekly or category-level aggregation, where averaging across observations softens the relative weight of zero-actual days that distort per-row percentage metrics.</w:t>
      </w:r>
    </w:p>
    <w:p>
      <w:pPr>
        <w:spacing w:after="120"/>
      </w:pPr>
      <w:r>
        <w:rPr>
          <w:rFonts w:ascii="Arial" w:hAnsi="Arial"/>
          <w:b w:val="0"/>
          <w:i w:val="0"/>
          <w:sz w:val="22"/>
        </w:rPr>
        <w:t>Finding 2: Under direct simulation of the (R, s, S) policy, all three forecasting policies achieve full service on the test window. When the achieved service level of each policy is measured by simulating the policy forward day-by-day over the 56-day test window — rather than inferred from a Gaussian projection onto the empirical demand distribution — all three policies (Classical, ML-Gaussian, and ML-Empirical-Quantile) achieve a realised service level of 100%. No demand goes unmet under any of the three policies, and the stockout-cost term is therefore zero in all cases. The same quantity that the earlier analytical formulation read as evidence of Gaussian under-allocation — namely, the empirical quantile spread of 1.36 times the Gaussian-implied buffer — is shown by simulation to be surplus inventory in a regime where the smaller Gaussian buffer already meets demand in full. The 1.36-times ratio is unchanged; only its interpretation changes.</w:t>
      </w:r>
    </w:p>
    <w:p>
      <w:pPr>
        <w:spacing w:after="120"/>
      </w:pPr>
      <w:r>
        <w:rPr>
          <w:rFonts w:ascii="Arial" w:hAnsi="Arial"/>
          <w:b w:val="0"/>
          <w:i w:val="0"/>
          <w:sz w:val="22"/>
        </w:rPr>
        <w:t>Finding 3: ML forecasting and the quantile-based safety-stock reformulation do not lower inventory cost in this regime. When service is saturated, the larger empirically calibrated buffer protects against stockouts that do not occur, and the additional holding cost it incurs is not recovered. The ML-Gaussian policy ties the Classical baseline to within $12 in total annual cost (a 0.0% change), and the ML-Empirical-Quantile policy costs approximately 1.5% more. The 21% reduction reported in the earlier draft of Chapter 5 was an artefact of the assumed service-level gap in that draft's cost formula and does not survive measurement. The Chapter 1 5–15% inventory-cost reduction target is therefore not achieved on this dataset, a result the chapter treats as a finding rather than a failure.</w:t>
      </w:r>
    </w:p>
    <w:p>
      <w:pPr>
        <w:pStyle w:val="Heading1"/>
      </w:pPr>
      <w:r>
        <w:rPr>
          <w:rFonts w:ascii="Arial" w:hAnsi="Arial"/>
          <w:color w:val="000000"/>
        </w:rPr>
        <w:t>6.3 Revisiting the Four Research Gaps</w:t>
      </w:r>
    </w:p>
    <w:p>
      <w:pPr>
        <w:spacing w:after="120"/>
      </w:pPr>
      <w:r>
        <w:rPr>
          <w:rFonts w:ascii="Arial" w:hAnsi="Arial"/>
          <w:b w:val="0"/>
          <w:i w:val="0"/>
          <w:sz w:val="22"/>
        </w:rPr>
        <w:t>The literature review in Chapter 2 identified four research gaps that motivated the design of the thesis. This section returns to each gap and evaluates the extent to which the empirical work has closed it.</w:t>
      </w:r>
    </w:p>
    <w:p>
      <w:pPr>
        <w:pStyle w:val="Heading2"/>
      </w:pPr>
      <w:r>
        <w:rPr>
          <w:rFonts w:ascii="Arial" w:hAnsi="Arial"/>
          <w:color w:val="000000"/>
        </w:rPr>
        <w:t>6.3.1 Gap 1 — Disconnect between forecast accuracy and inventory decisions</w:t>
      </w:r>
    </w:p>
    <w:p>
      <w:pPr>
        <w:spacing w:after="120"/>
      </w:pPr>
      <w:r>
        <w:rPr>
          <w:rFonts w:ascii="Arial" w:hAnsi="Arial"/>
          <w:b w:val="0"/>
          <w:i w:val="0"/>
          <w:sz w:val="22"/>
        </w:rPr>
        <w:t>Gap 1, articulated explicitly by Seyedan et al. (2023), identifies that most comparative forecasting studies report accuracy metrics without translating improved forecasts into operational inventory outcomes. This thesis addresses Gap 1 directly by integrating the forecasting framework with the OUTL policy and measuring inventory outcomes through forward simulation rather than inferring them analytically.</w:t>
      </w:r>
    </w:p>
    <w:p>
      <w:pPr>
        <w:spacing w:after="120"/>
      </w:pPr>
      <w:r>
        <w:rPr>
          <w:rFonts w:ascii="Arial" w:hAnsi="Arial"/>
          <w:b w:val="0"/>
          <w:i w:val="0"/>
          <w:sz w:val="22"/>
        </w:rPr>
        <w:t>The finding the thesis contributes to Gap 1 is conditional rather than universal: the value of ML forecasting and a quantile-based safety-stock reformulation for inventory cost reduction depends on the demand regime, not on forecast accuracy alone. Where the baseline (R, s, S) policy is exposed to genuine stockout risk, the larger empirically calibrated buffer earns its holding cost back by averting stockouts. Where service is already saturated — as on the M5 SKU-daily test window evaluated here — it does not. The decisive variable is therefore the frequency of stockouts under the baseline policy, which is itself governed by the demand regime and the generosity of the buffers, not by forecast accuracy.</w:t>
      </w:r>
    </w:p>
    <w:p>
      <w:pPr>
        <w:spacing w:after="120"/>
      </w:pPr>
      <w:r>
        <w:rPr>
          <w:rFonts w:ascii="Arial" w:hAnsi="Arial"/>
          <w:b w:val="0"/>
          <w:i w:val="0"/>
          <w:sz w:val="22"/>
        </w:rPr>
        <w:t>This thesis therefore reframes Gap 1 from 'how does ML forecasting translate into inventory savings' to 'under what conditions does ML forecasting translate into inventory savings'. The contribution is a rigorous, simulation-based boundary condition that practitioners and researchers can use to test their own settings, rather than a single quoted percentage saving.</w:t>
      </w:r>
    </w:p>
    <w:p>
      <w:pPr>
        <w:pStyle w:val="Heading2"/>
      </w:pPr>
      <w:r>
        <w:rPr>
          <w:rFonts w:ascii="Arial" w:hAnsi="Arial"/>
          <w:color w:val="000000"/>
        </w:rPr>
        <w:t>6.3.2 Gap 2 — Real-world deployment and operational validation</w:t>
      </w:r>
    </w:p>
    <w:p>
      <w:pPr>
        <w:spacing w:after="120"/>
      </w:pPr>
      <w:r>
        <w:rPr>
          <w:rFonts w:ascii="Arial" w:hAnsi="Arial"/>
          <w:b w:val="0"/>
          <w:i w:val="0"/>
          <w:sz w:val="22"/>
        </w:rPr>
        <w:t>Gap 2 concerns the limited focus in the literature on real-world deployment, model maintenance, and the practical constraints of live operation. The literature is dominated by historical-simulation evaluations that do not address the deployment layer.</w:t>
      </w:r>
    </w:p>
    <w:p>
      <w:pPr>
        <w:spacing w:after="120"/>
      </w:pPr>
      <w:r>
        <w:rPr>
          <w:rFonts w:ascii="Arial" w:hAnsi="Arial"/>
          <w:b w:val="0"/>
          <w:i w:val="0"/>
          <w:sz w:val="22"/>
        </w:rPr>
        <w:t>The thesis addresses Gap 2 through three concrete deliverables. First, the end-to-end pipeline produces a set of CSV data feeds designed for daily refresh in a production deployment — five files exported from the Python pipeline corresponding to the four dashboard views and a KPI summary. Second, the Power BI dashboard provides an interactive, accessible interface for non-technical retail managers, organising the framework's outputs into four operational views (Forecast Overview, Inventory Status, Cost Analysis, Sensitivity Analysis) and exposing the underlying parameters as configurable filters. Third, the inventory analysis is itself a simulation-based deployment validation: the (R, s, S) policy is run forward over real test demand day-by-day, providing the kind of operational measurement that the literature's analytical projections typically substitute for.</w:t>
      </w:r>
    </w:p>
    <w:p>
      <w:pPr>
        <w:spacing w:after="120"/>
      </w:pPr>
      <w:r>
        <w:rPr>
          <w:rFonts w:ascii="Arial" w:hAnsi="Arial"/>
          <w:b w:val="0"/>
          <w:i w:val="0"/>
          <w:sz w:val="22"/>
        </w:rPr>
        <w:t>Live deployment and incremental model updating remain out of scope, but the framework is structurally deployable and the simulation engine is reusable as a pre-deployment diagnostic tool for testing whether an SME's specific demand regime falls into the stockout-risk regime where ML forecasting pays off operationally.</w:t>
      </w:r>
    </w:p>
    <w:p>
      <w:pPr>
        <w:pStyle w:val="Heading2"/>
      </w:pPr>
      <w:r>
        <w:rPr>
          <w:rFonts w:ascii="Arial" w:hAnsi="Arial"/>
          <w:color w:val="000000"/>
        </w:rPr>
        <w:t>6.3.3 Gap 3 — SME accessibility and scalability</w:t>
      </w:r>
    </w:p>
    <w:p>
      <w:pPr>
        <w:spacing w:after="120"/>
      </w:pPr>
      <w:r>
        <w:rPr>
          <w:rFonts w:ascii="Arial" w:hAnsi="Arial"/>
          <w:b w:val="0"/>
          <w:i w:val="0"/>
          <w:sz w:val="22"/>
        </w:rPr>
        <w:t>Gap 3 concerns the dominance in the literature of frameworks designed for enterprise-scale analytics infrastructure, with limited attention to whether the same methodologies are viable for small and medium-sized retailers operating with constrained resources. The thesis addresses this gap through the explicit SME transferability commitment of Chapter 1 and the corresponding specification in §3.11.</w:t>
      </w:r>
    </w:p>
    <w:p>
      <w:pPr>
        <w:spacing w:after="120"/>
      </w:pPr>
      <w:r>
        <w:rPr>
          <w:rFonts w:ascii="Arial" w:hAnsi="Arial"/>
          <w:b w:val="0"/>
          <w:i w:val="0"/>
          <w:sz w:val="22"/>
        </w:rPr>
        <w:t>Three specific design choices implement this commitment. First, the entire pipeline is built on free and open-source tooling — Python with mainstream libraries (pandas, scikit-learn, lightgbm, xgboost, tensorflow, statsforecast, shap) and Microsoft Power BI Desktop free tier. No commercial software licence or cloud-computing subscription is required. Second, the framework runs in under three hours on a standard 16 GB-RAM laptop with no GPU. Third, the data inputs required are standard outputs of off-the-shelf SME point-of-sale systems, ensuring that no additional data infrastructure investment is needed.</w:t>
      </w:r>
    </w:p>
    <w:p>
      <w:pPr>
        <w:spacing w:after="120"/>
      </w:pPr>
      <w:r>
        <w:rPr>
          <w:rFonts w:ascii="Arial" w:hAnsi="Arial"/>
          <w:b w:val="0"/>
          <w:i w:val="0"/>
          <w:sz w:val="22"/>
        </w:rPr>
        <w:t>An important nuance emerges from the inventory analysis: SME accessibility is not only a tooling question but also a regime-fit question. The simulation engine delivered with the thesis allows an SME to test, on its own data, whether its demand regime exhibits genuine stockout risk under the baseline policy and therefore whether investment in the more complex ML-quantile pipeline is worthwhile. This regime-fit diagnostic is itself part of what the thesis contributes to Gap 3.</w:t>
      </w:r>
    </w:p>
    <w:p>
      <w:pPr>
        <w:pStyle w:val="Heading2"/>
      </w:pPr>
      <w:r>
        <w:rPr>
          <w:rFonts w:ascii="Arial" w:hAnsi="Arial"/>
          <w:color w:val="000000"/>
        </w:rPr>
        <w:t>6.3.4 Gap 4 — Responsible AI and uncertainty integration</w:t>
      </w:r>
    </w:p>
    <w:p>
      <w:pPr>
        <w:spacing w:after="120"/>
      </w:pPr>
      <w:r>
        <w:rPr>
          <w:rFonts w:ascii="Arial" w:hAnsi="Arial"/>
          <w:b w:val="0"/>
          <w:i w:val="0"/>
          <w:sz w:val="22"/>
        </w:rPr>
        <w:t>Gap 4 concerns the limited treatment of forecast uncertainty in the safety-stock calibration step (the Gaussian formula assumes point-forecast inputs and parametric normality) and the under-addressed responsible-AI dimension of retail forecasting.</w:t>
      </w:r>
    </w:p>
    <w:p>
      <w:pPr>
        <w:spacing w:after="120"/>
      </w:pPr>
      <w:r>
        <w:rPr>
          <w:rFonts w:ascii="Arial" w:hAnsi="Arial"/>
          <w:b w:val="0"/>
          <w:i w:val="0"/>
          <w:sz w:val="22"/>
        </w:rPr>
        <w:t>The thesis addresses Gap 4 in two ways. First, the LightGBM quantile-regression model (Tier 5) produces distributional rather than point forecasts, and the §3.7.4 robustness check replaces the parametric Gaussian safety-stock formula with an empirically calibrated quantile spread. This is a principled extension of classical inventory theory to non-Gaussian demand distributions. The simulation results presented in Chapter 5 show that this extension does not pay off operationally in the M5 test regime — but that finding itself is a contribution: it bounds the conditions under which distributional safety stock is worth adopting, providing both researchers and practitioners with a clearer expectation of when the more complex policy yields measurable benefit.</w:t>
      </w:r>
    </w:p>
    <w:p>
      <w:pPr>
        <w:spacing w:after="120"/>
      </w:pPr>
      <w:r>
        <w:rPr>
          <w:rFonts w:ascii="Arial" w:hAnsi="Arial"/>
          <w:b w:val="0"/>
          <w:i w:val="0"/>
          <w:sz w:val="22"/>
        </w:rPr>
        <w:t>On the responsible-AI dimension, model transparency is established through SHAP analysis of the best-performing model (top five features account for 78.6% of model behaviour). Performance fairness is established through disaggregated error metrics by product category and by state, with the observation that performance variation reflects underlying demand structure rather than systematic algorithmic bias.</w:t>
      </w:r>
    </w:p>
    <w:p>
      <w:pPr>
        <w:pStyle w:val="Heading1"/>
      </w:pPr>
      <w:r>
        <w:rPr>
          <w:rFonts w:ascii="Arial" w:hAnsi="Arial"/>
          <w:color w:val="000000"/>
        </w:rPr>
        <w:t>6.4 Comparison with the Literature</w:t>
      </w:r>
    </w:p>
    <w:p>
      <w:pPr>
        <w:spacing w:after="120"/>
      </w:pPr>
      <w:r>
        <w:rPr>
          <w:rFonts w:ascii="Arial" w:hAnsi="Arial"/>
          <w:b w:val="0"/>
          <w:i w:val="0"/>
          <w:sz w:val="22"/>
        </w:rPr>
        <w:t>This section positions the thesis findings against the principal comparable studies reviewed in Chapter 2 along three axes: forecast accuracy, modelling architecture, and inventory cost impact.</w:t>
      </w:r>
    </w:p>
    <w:p>
      <w:pPr>
        <w:spacing w:after="120"/>
      </w:pPr>
      <w:r>
        <w:rPr>
          <w:rFonts w:ascii="Arial" w:hAnsi="Arial"/>
          <w:b w:val="0"/>
          <w:i w:val="0"/>
          <w:sz w:val="22"/>
        </w:rPr>
        <w:t>Forecast accuracy. Barghi (2025) reports MAPE of 6.48% (hybrid ensemble) reduced to 3.53% with fuzzy generalisation preprocessing on the Rossmann Store Sales dataset at weekly aggregation. Seyedan et al. (2023) report MAPE of 5.22% (sports) and 9.58% (electronics) with their heterogeneous MLP-LSTM-CNN stacking ensemble on weekly retail data. Nasseri et al. (2023) report MAPE in a similar range with Extra Tree Regressors on perishable retail categories. The MAPE figures in this thesis — 53–58% across the model tiers at SKU-daily granularity — are an order of magnitude higher in absolute terms but consistent with the M5 retrospective literature at the same granularity. Single-digit MAPE on M5-style data is achievable only at weekly or category-level aggregation; the SKU-daily granularity used in this thesis is methodologically more demanding and operationally more informative, because inventory decisions are made at the SKU-store-day level.</w:t>
      </w:r>
    </w:p>
    <w:p>
      <w:pPr>
        <w:spacing w:after="120"/>
      </w:pPr>
      <w:r>
        <w:rPr>
          <w:rFonts w:ascii="Arial" w:hAnsi="Arial"/>
          <w:b w:val="0"/>
          <w:i w:val="0"/>
          <w:sz w:val="22"/>
        </w:rPr>
        <w:t>Modelling architecture. The thesis adopts a stacking ensemble of LightGBM, XGBoost, and Random Forest with a non-negative Ridge meta-learner — the conventional heterogeneous ensemble architecture used by Seyedan et al. (2023) and Mitra et al. (2022). This was preferred over the sequential residual-correction design used in Barghi (2025) on the grounds that sequential chaining tends to overfit successive layers to earlier-layer noise and stacking with non-negative weights is the more standard contemporary architecture. The empirical results support this choice in the sense that the stacking ensemble achieves the best MAE and WMAPE among all twelve models evaluated.</w:t>
      </w:r>
    </w:p>
    <w:p>
      <w:pPr>
        <w:spacing w:after="120"/>
      </w:pPr>
      <w:r>
        <w:rPr>
          <w:rFonts w:ascii="Arial" w:hAnsi="Arial"/>
          <w:b w:val="0"/>
          <w:i w:val="0"/>
          <w:sz w:val="22"/>
        </w:rPr>
        <w:t>Inventory cost impact. Seyedan et al. (2023) and Barghi (2025) report inventory cost reductions in the 8–14% range against single-model baselines, on weekly aggregated retail data. The thesis does not reproduce this finding on the M5 SKU-daily window when inventory outcomes are measured by direct simulation: all policies achieve full service, no stockouts occur, and the ML-Empirical-Quantile policy in fact incurs approximately 1.5% more total annual cost than the Classical baseline because it over-provisions safety stock without preventing any additional stockouts. This is a substantive divergence from the prior literature, and it is the substantive contribution of the thesis. The divergence is most plausibly attributable to two factors. First, the prior studies report cost reductions on aggregated data where demand smoothing produces variance levels that the baseline policy cannot fully absorb; on SKU-daily intermittent demand, the baseline (R, s, S) buffers are generous enough that this no longer holds. Second, the prior studies infer rather than measure the stockout-rate gap between policies; the present analysis measures it, and the gap is zero on the test window.</w:t>
      </w:r>
    </w:p>
    <w:p>
      <w:pPr>
        <w:pStyle w:val="Heading1"/>
      </w:pPr>
      <w:r>
        <w:rPr>
          <w:rFonts w:ascii="Arial" w:hAnsi="Arial"/>
          <w:color w:val="000000"/>
        </w:rPr>
        <w:t>6.5 Theoretical Contributions</w:t>
      </w:r>
    </w:p>
    <w:p>
      <w:pPr>
        <w:spacing w:after="120"/>
      </w:pPr>
      <w:r>
        <w:rPr>
          <w:rFonts w:ascii="Arial" w:hAnsi="Arial"/>
          <w:b w:val="0"/>
          <w:i w:val="0"/>
          <w:sz w:val="22"/>
        </w:rPr>
        <w:t>The thesis makes three theoretical contributions.</w:t>
      </w:r>
    </w:p>
    <w:p>
      <w:pPr>
        <w:spacing w:after="120"/>
      </w:pPr>
      <w:r>
        <w:rPr>
          <w:rFonts w:ascii="Arial" w:hAnsi="Arial"/>
          <w:b w:val="0"/>
          <w:i w:val="0"/>
          <w:sz w:val="22"/>
        </w:rPr>
        <w:t>First, it provides the first simulation-based measurement on the M5 benchmark of the operational consequence of the Gaussian-versus-empirical safety-stock choice. The empirical quantile spread is 1.36 times the Gaussian buffer, but the simulation shows that this distributional mismatch is regime-dependent in its operational consequence: the under-allocation is real as a property of the demand distribution yet operationally immaterial when the baseline buffer already meets demand in full. This finding refines the textbook observation (Silver, Pyke &amp; Thomas, 2017) that the Gaussian formula assumes symmetric normally distributed demand by supplying the empirical condition under which the assumption fails operationally.</w:t>
      </w:r>
    </w:p>
    <w:p>
      <w:pPr>
        <w:spacing w:after="120"/>
      </w:pPr>
      <w:r>
        <w:rPr>
          <w:rFonts w:ascii="Arial" w:hAnsi="Arial"/>
          <w:b w:val="0"/>
          <w:i w:val="0"/>
          <w:sz w:val="22"/>
        </w:rPr>
        <w:t>Second, the thesis demonstrates that the operational value of ML forecasting in retail inventory management is conditional on the demand regime rather than automatic. The ML-Gaussian policy, using the most accurate point forecasts produced in Chapter 4, ties the Classical baseline to within 0.0% in total annual cost, and the ML-Empirical-Quantile policy costs 1.5% more. This contradicts the common framing in the forecasting literature in which improved point-forecast accuracy is presumed to translate directly into operational inventory savings. The boundary condition under which the translation does and does not hold is itself the theoretical contribution.</w:t>
      </w:r>
    </w:p>
    <w:p>
      <w:pPr>
        <w:spacing w:after="120"/>
      </w:pPr>
      <w:r>
        <w:rPr>
          <w:rFonts w:ascii="Arial" w:hAnsi="Arial"/>
          <w:b w:val="0"/>
          <w:i w:val="0"/>
          <w:sz w:val="22"/>
        </w:rPr>
        <w:t>Third, the thesis shows that within the regime studied, the operational comparison is robust to MAPE level and to the stockout-cost multiplier. Across the 3–15% MAPE sensitivity range, the simulated cost comparison varies by less than 0.1 percentage points; across the 0.4× to 2.0× stockout cost multiplier range, the comparison is unchanged because stockouts are zero in all three policies and the multiplier never engages. This robustness profile clarifies that further investment in MAPE improvement is unlikely to yield inventory benefit in regimes of saturated service.</w:t>
      </w:r>
    </w:p>
    <w:p>
      <w:pPr>
        <w:pStyle w:val="Heading1"/>
      </w:pPr>
      <w:r>
        <w:rPr>
          <w:rFonts w:ascii="Arial" w:hAnsi="Arial"/>
          <w:color w:val="000000"/>
        </w:rPr>
        <w:t>6.6 Practical Contributions</w:t>
      </w:r>
    </w:p>
    <w:p>
      <w:pPr>
        <w:spacing w:after="120"/>
      </w:pPr>
      <w:r>
        <w:rPr>
          <w:rFonts w:ascii="Arial" w:hAnsi="Arial"/>
          <w:b w:val="0"/>
          <w:i w:val="0"/>
          <w:sz w:val="22"/>
        </w:rPr>
        <w:t>Three practical contributions complement the theoretical findings.</w:t>
      </w:r>
    </w:p>
    <w:p>
      <w:pPr>
        <w:spacing w:after="120"/>
      </w:pPr>
      <w:r>
        <w:rPr>
          <w:rFonts w:ascii="Arial" w:hAnsi="Arial"/>
          <w:b w:val="0"/>
          <w:i w:val="0"/>
          <w:sz w:val="22"/>
        </w:rPr>
        <w:t>An end-to-end, reproducible, SME-deployable framework. The thesis delivers a complete workflow from raw M5 ingestion through to the Power BI dashboard, implemented in free and open-source tooling and runnable on a standard laptop. The framework is documented to the level of detail required for independent replication, including the stratified subsample construction (§3.3.3), the chronological train/validation/test split (§3.6.2), the feature engineering specification (§3.5), the model configurations (§3.6.1), the OUTL calculations (§3.7), and the forward-simulation engine (§5.2).</w:t>
      </w:r>
    </w:p>
    <w:p>
      <w:pPr>
        <w:spacing w:after="120"/>
      </w:pPr>
      <w:r>
        <w:rPr>
          <w:rFonts w:ascii="Arial" w:hAnsi="Arial"/>
          <w:b w:val="0"/>
          <w:i w:val="0"/>
          <w:sz w:val="22"/>
        </w:rPr>
        <w:t>A simulation engine as a pre-investment diagnostic. The forward (R, s, S) simulation engine accompanying the thesis is itself a deliverable for SME practitioners. Before committing to the more complex ML-quantile pipeline, an SME can run the simulation engine on its own demand data to test whether its policy is exposed to genuine stockout risk under classical inputs. If the simulation shows that the baseline (R, s, S) policy already meets demand in full — as on the M5 test window — the additional investment in ML forecasting and quantile-based safety stock is unlikely to recover its cost; the resource is better directed elsewhere. This diagnostic capability is, in the present author's view, more operationally valuable than the headline cost-reduction figures typically reported in comparable studies.</w:t>
      </w:r>
    </w:p>
    <w:p>
      <w:pPr>
        <w:spacing w:after="120"/>
      </w:pPr>
      <w:r>
        <w:rPr>
          <w:rFonts w:ascii="Arial" w:hAnsi="Arial"/>
          <w:b w:val="0"/>
          <w:i w:val="0"/>
          <w:sz w:val="22"/>
        </w:rPr>
        <w:t>A decision-support dashboard. The Power BI dashboard translates the framework's outputs into four operational views (Forecast Overview, Inventory Status, Cost Analysis, Sensitivity Analysis) accessible to non-technical SME managers. The dashboard supports practitioner what-if analysis — changing the service-level target, the assumed lead time, or the stockout cost multiplier and observing the impact on the comparison — without requiring the user to understand the underlying methodology.</w:t>
      </w:r>
    </w:p>
    <w:p>
      <w:pPr>
        <w:pStyle w:val="Heading1"/>
      </w:pPr>
      <w:r>
        <w:rPr>
          <w:rFonts w:ascii="Arial" w:hAnsi="Arial"/>
          <w:color w:val="000000"/>
        </w:rPr>
        <w:t>6.7 Validity Threats</w:t>
      </w:r>
    </w:p>
    <w:p>
      <w:pPr>
        <w:spacing w:after="120"/>
      </w:pPr>
      <w:r>
        <w:rPr>
          <w:rFonts w:ascii="Arial" w:hAnsi="Arial"/>
          <w:b w:val="0"/>
          <w:i w:val="0"/>
          <w:sz w:val="22"/>
        </w:rPr>
        <w:t>Three classes of validity threat are considered: internal validity, external validity, and construct validity.</w:t>
      </w:r>
    </w:p>
    <w:p>
      <w:pPr>
        <w:spacing w:after="120"/>
      </w:pPr>
      <w:r>
        <w:rPr>
          <w:rFonts w:ascii="Arial" w:hAnsi="Arial"/>
          <w:b w:val="0"/>
          <w:i w:val="0"/>
          <w:sz w:val="22"/>
        </w:rPr>
        <w:t>Internal validity concerns whether the observed outcomes are attributable to the framework rather than to confounding factors in the implementation. The principal internal-validity threat is the chronological split between training, validation, and test sets. The methodology in §3.6.2 specifies strict chronological partitioning to eliminate data leakage from future to past. A secondary threat is the target encoding of high-cardinality categoricals; §3.4.6 specifies that target encodings are computed exclusively on the training window and propagated unchanged to validation and test, eliminating this leakage channel. A third threat — specific to the simulation engine — was raised by the §5.3 falsification test, which establishes that the engine can register stockouts (and the size of the stockout cost it would produce in non-saturated regimes), removing the concern that the 100% realised service level reflects a counter that fails to fire rather than genuinely-met demand.</w:t>
      </w:r>
    </w:p>
    <w:p>
      <w:pPr>
        <w:spacing w:after="120"/>
      </w:pPr>
      <w:r>
        <w:rPr>
          <w:rFonts w:ascii="Arial" w:hAnsi="Arial"/>
          <w:b w:val="0"/>
          <w:i w:val="0"/>
          <w:sz w:val="22"/>
        </w:rPr>
        <w:t>External validity concerns the generalisability of the findings to other retail contexts. The M5 dataset originates from a single large enterprise retailer (Walmart) operating primarily in three US states; the SME accessibility argument therefore rests on the transferability of the methodology, not on direct empirical validation in an SME environment. The boundary condition identified in §5.6 — that ML forecasting and quantile safety stock deliver operational value only when the baseline policy is exposed to genuine stockout risk — is likely to be the principal mediator of generalisability. Sensitivity analysis with the simulation engine (§5.7 and the §5.3 falsification results) shows that stockouts reappear under demand shocks and depleted buffers, and the cost ranking of the policies may flip in those regimes. The §3.11 SME transferability specification is therefore most plausibly satisfied for SMEs whose baseline policy is exposed to stockout risk; the regime-fit diagnostic of §6.6 should be the first step in any transfer.</w:t>
      </w:r>
    </w:p>
    <w:p>
      <w:pPr>
        <w:spacing w:after="120"/>
      </w:pPr>
      <w:r>
        <w:rPr>
          <w:rFonts w:ascii="Arial" w:hAnsi="Arial"/>
          <w:b w:val="0"/>
          <w:i w:val="0"/>
          <w:sz w:val="22"/>
        </w:rPr>
        <w:t>Construct validity concerns whether the metrics used measure what they are intended to measure. The Chapter 1 MAPE improvement target is the principal construct-validity concern at the forecasting level: at SKU-daily granularity on intermittent demand, MAPE is known to be an unstable metric, and the supplementary WMAPE used in this thesis is more robust for the data structure. The cost-reduction target is the principal construct-validity concern at the inventory level: the earlier draft's analytical projection of an under-allocation gap onto the empirical demand distribution conflated a property of the demand distribution with an operational outcome. The present analysis measures the operational outcome directly by simulation, eliminating this construct ambiguity.</w:t>
      </w:r>
    </w:p>
    <w:p>
      <w:pPr>
        <w:pStyle w:val="Heading1"/>
      </w:pPr>
      <w:r>
        <w:rPr>
          <w:rFonts w:ascii="Arial" w:hAnsi="Arial"/>
          <w:color w:val="000000"/>
        </w:rPr>
        <w:t>6.8 Extended Limitations</w:t>
      </w:r>
    </w:p>
    <w:p>
      <w:pPr>
        <w:spacing w:after="120"/>
      </w:pPr>
      <w:r>
        <w:rPr>
          <w:rFonts w:ascii="Arial" w:hAnsi="Arial"/>
          <w:b w:val="0"/>
          <w:i w:val="0"/>
          <w:sz w:val="22"/>
        </w:rPr>
        <w:t>Four limitations specific to the analysis in Chapters 4 and 5 were noted in §4.13 and §5.10. This section adds three further limitations spanning the thesis as a whole.</w:t>
      </w:r>
    </w:p>
    <w:p>
      <w:pPr>
        <w:spacing w:after="120"/>
      </w:pPr>
      <w:r>
        <w:rPr>
          <w:rFonts w:ascii="Arial" w:hAnsi="Arial"/>
          <w:b w:val="0"/>
          <w:i w:val="0"/>
          <w:sz w:val="22"/>
        </w:rPr>
        <w:t>First, the simulation analysis uses a single 56-day test window (March–April 2016). A longer or differently situated window, or one containing a demand spike, could expose the policies to stockouts and could materially affect the cost ranking. The §5.3 falsification runs probe the alternative regime through stress conditions, but as illustrative checks rather than a systematic sweep across demand-intensity scenarios.</w:t>
      </w:r>
    </w:p>
    <w:p>
      <w:pPr>
        <w:spacing w:after="120"/>
      </w:pPr>
      <w:r>
        <w:rPr>
          <w:rFonts w:ascii="Arial" w:hAnsi="Arial"/>
          <w:b w:val="0"/>
          <w:i w:val="0"/>
          <w:sz w:val="22"/>
        </w:rPr>
        <w:t>Second, the LSTM model in Tier 3 underperforms the tree-based models. While this finding is consistent with the M5 retrospective literature (Nasseri et al., 2023), it leaves open the possibility that a more elaborate sequence architecture (Temporal Fusion Transformers, N-BEATS) or per-series LSTM specialisation would close the gap. The thesis evaluates only the methodology-specified LSTM architecture.</w:t>
      </w:r>
    </w:p>
    <w:p>
      <w:pPr>
        <w:spacing w:after="120"/>
      </w:pPr>
      <w:r>
        <w:rPr>
          <w:rFonts w:ascii="Arial" w:hAnsi="Arial"/>
          <w:b w:val="0"/>
          <w:i w:val="0"/>
          <w:sz w:val="22"/>
        </w:rPr>
        <w:t>Third, the stockout cost model is linear in unmet units, with the multiplier evaluated as a three-point sensitivity. In practice, stockout costs may be non-linear (for example, customer churn after repeated stockouts) and the multiplier may interact with longer-run market dynamics that a single-window simulation does not capture. The irrelevance of the multiplier in the regime studied makes the point moot here, but it would matter in a higher-stockout regime.</w:t>
      </w:r>
    </w:p>
    <w:p>
      <w:pPr>
        <w:pStyle w:val="Heading1"/>
      </w:pPr>
      <w:r>
        <w:rPr>
          <w:rFonts w:ascii="Arial" w:hAnsi="Arial"/>
          <w:color w:val="000000"/>
        </w:rPr>
        <w:t>6.9 Implications for Future Research</w:t>
      </w:r>
    </w:p>
    <w:p>
      <w:pPr>
        <w:spacing w:after="120"/>
      </w:pPr>
      <w:r>
        <w:rPr>
          <w:rFonts w:ascii="Arial" w:hAnsi="Arial"/>
          <w:b w:val="0"/>
          <w:i w:val="0"/>
          <w:sz w:val="22"/>
        </w:rPr>
        <w:t>The findings of this thesis suggest five productive directions for future research.</w:t>
      </w:r>
    </w:p>
    <w:p>
      <w:pPr>
        <w:spacing w:after="120"/>
      </w:pPr>
      <w:r>
        <w:rPr>
          <w:rFonts w:ascii="Arial" w:hAnsi="Arial"/>
          <w:b w:val="0"/>
          <w:i w:val="0"/>
          <w:sz w:val="22"/>
        </w:rPr>
        <w:t>First, the simulation-based comparison should be repeated on retail benchmarks with more variable demand (Rossmann, Favorita, regional grocery datasets) and on alternative time windows where seasonal peaks expose the baseline policy to stockouts. The boundary condition identified in §5.6 predicts that the cost ranking of the policies will shift in those regimes; testing this prediction is the most directly actionable extension.</w:t>
      </w:r>
    </w:p>
    <w:p>
      <w:pPr>
        <w:spacing w:after="120"/>
      </w:pPr>
      <w:r>
        <w:rPr>
          <w:rFonts w:ascii="Arial" w:hAnsi="Arial"/>
          <w:b w:val="0"/>
          <w:i w:val="0"/>
          <w:sz w:val="22"/>
        </w:rPr>
        <w:t>Second, the quantile-based safety stock formulation should be evaluated against more sophisticated probabilistic forecasting methods (DeepAR, Bayesian neural networks, conformal prediction intervals) to assess whether quantile regression is the right probabilistic-forecasting model class for safety-stock calibration, or whether alternative specifications yield further operational improvement once the regime is one in which any quantile method would pay off.</w:t>
      </w:r>
    </w:p>
    <w:p>
      <w:pPr>
        <w:spacing w:after="120"/>
      </w:pPr>
      <w:r>
        <w:rPr>
          <w:rFonts w:ascii="Arial" w:hAnsi="Arial"/>
          <w:b w:val="0"/>
          <w:i w:val="0"/>
          <w:sz w:val="22"/>
        </w:rPr>
        <w:t>Third, the framework should be extended to incorporate live deployment routines: rolling retraining schedules, model drift detection, and the operational monitoring of forecast calibration over time. This extension would more fully close Gap 2 from Chapter 2.</w:t>
      </w:r>
    </w:p>
    <w:p>
      <w:pPr>
        <w:spacing w:after="120"/>
      </w:pPr>
      <w:r>
        <w:rPr>
          <w:rFonts w:ascii="Arial" w:hAnsi="Arial"/>
          <w:b w:val="0"/>
          <w:i w:val="0"/>
          <w:sz w:val="22"/>
        </w:rPr>
        <w:t>Fourth, the simulation engine should be extended to support non-linear stockout cost functions and supplier lead-time uncertainty. Both refinements would produce a more realistic operational cost model, although at the expense of analytical tractability.</w:t>
      </w:r>
    </w:p>
    <w:p>
      <w:pPr>
        <w:spacing w:after="120"/>
      </w:pPr>
      <w:r>
        <w:rPr>
          <w:rFonts w:ascii="Arial" w:hAnsi="Arial"/>
          <w:b w:val="0"/>
          <w:i w:val="0"/>
          <w:sz w:val="22"/>
        </w:rPr>
        <w:t>Fifth, the framework's transferability to SME environments should be validated through deployment in actual SME retail operations. The §3.11 transferability specification documents the requirements for such deployment; an empirical case study in an SME context where the baseline policy is exposed to stockouts would test both the SME transferability claim and the boundary condition identified in Chapter 5.</w:t>
      </w:r>
    </w:p>
    <w:p>
      <w:pPr>
        <w:pStyle w:val="Heading1"/>
      </w:pPr>
      <w:r>
        <w:rPr>
          <w:rFonts w:ascii="Arial" w:hAnsi="Arial"/>
          <w:color w:val="000000"/>
        </w:rPr>
        <w:t>6.10 Chapter Summary</w:t>
      </w:r>
    </w:p>
    <w:p>
      <w:pPr>
        <w:spacing w:after="120"/>
      </w:pPr>
      <w:r>
        <w:rPr>
          <w:rFonts w:ascii="Arial" w:hAnsi="Arial"/>
          <w:b w:val="0"/>
          <w:i w:val="0"/>
          <w:sz w:val="22"/>
        </w:rPr>
        <w:t>This chapter has discussed the empirical findings of Chapters 4 and 5 in the context of the four research gaps identified in Chapter 2 and the broader academic literature. Three principal findings were synthesised: forecast accuracy improvements at SKU-daily granularity are modest (4.5% MAE, 9.5% RMSE) and below the Chapter 1 target band; all three forecasting policies achieve full service on the test window under direct simulation; and ML forecasting and quantile-based safety-stock reformulation do not lower inventory cost in this regime, with the ML-Empirical-Quantile policy in fact costing 1.5% more than the Classical baseline.</w:t>
      </w:r>
    </w:p>
    <w:p>
      <w:pPr>
        <w:spacing w:after="120"/>
      </w:pPr>
      <w:r>
        <w:rPr>
          <w:rFonts w:ascii="Arial" w:hAnsi="Arial"/>
          <w:b w:val="0"/>
          <w:i w:val="0"/>
          <w:sz w:val="22"/>
        </w:rPr>
        <w:t>The thesis reframes Gap 1 (forecast-inventory disconnect) from a quantified cost saving to a quantified boundary condition: ML forecasting and distributional safety stock affect inventory outcomes when, and only when, the baseline policy is exposed to genuine stockout risk. It addresses Gap 3 (SME accessibility) through tooling and infrastructure choices and by delivering the simulation engine as a pre-investment diagnostic. It partially closes Gap 2 (deployment) through the dashboard and CSV refresh architecture, and Gap 4 (uncertainty and responsible AI) through quantile forecasting, SHAP transparency, and fairness analysis. The literature comparison establishes that the headline cost-reduction figures reported by Barghi (2025) and Seyedan et al. (2023) on aggregated data do not transfer to SKU-daily simulation, and the divergence is itself the substantive contribution of the thesis.</w:t>
      </w:r>
    </w:p>
    <w:p>
      <w:pPr>
        <w:spacing w:after="120"/>
      </w:pPr>
      <w:r>
        <w:rPr>
          <w:rFonts w:ascii="Arial" w:hAnsi="Arial"/>
          <w:b w:val="0"/>
          <w:i w:val="0"/>
          <w:sz w:val="22"/>
        </w:rPr>
        <w:t>Three theoretical contributions are identified: the first simulation-based characterisation of the operational consequence of the Gaussian-versus-empirical safety-stock choice; the demonstration that the operational value of ML forecasting in retail inventory management is conditional on the demand regime rather than automatic; and the empirical robustness of the comparison to MAPE level and stockout-cost multiplier within the saturated-service regime. Three practical contributions complement these: an end-to-end deployable framework; a simulation engine as a pre-investment diagnostic for SME practitioners; and a decision-support dashboard. Validity threats and limitations are acknowledged, and five directions for future research are identified.</w:t>
      </w:r>
    </w:p>
    <w:p>
      <w:pPr>
        <w:spacing w:after="120"/>
      </w:pPr>
      <w:r>
        <w:rPr>
          <w:rFonts w:ascii="Arial" w:hAnsi="Arial"/>
          <w:b w:val="0"/>
          <w:i w:val="0"/>
          <w:sz w:val="22"/>
        </w:rPr>
        <w:t>Chapter 7 concludes the thesis. It returns to the research objectives stated in Chapter 1, summarises the extent to which each has been achieved, and consolidates the contribution to the demand forecasting and inventory optimisation literature.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