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color w:val="1F3864"/>
          <w:sz w:val="30"/>
          <w:szCs w:val="30"/>
        </w:rPr>
        <w:t xml:space="preserve">TFM — Abstract (draft) and Chapter 1 (revised)</w:t>
      </w:r>
    </w:p>
    <w:p>
      <w:pPr>
        <w:pBdr>
          <w:bottom w:val="single" w:color="C00000" w:sz="4" w:space="4"/>
        </w:pBdr>
        <w:spacing w:after="120" w:before="60"/>
      </w:pPr>
      <w:r>
        <w:rPr>
          <w:rFonts w:ascii="Times New Roman" w:cs="Times New Roman" w:eastAsia="Times New Roman" w:hAnsi="Times New Roman"/>
          <w:i/>
          <w:iCs/>
          <w:color w:val="C00000"/>
          <w:sz w:val="20"/>
          <w:szCs w:val="20"/>
        </w:rPr>
        <w:t xml:space="preserve">How to read this file: text in red is new or changed from your draft — review it and turn it black once you are happy; passages in red inside [[double brackets]] are notes to you, to be deleted before submission; everything in black is kept from your original. Part A is the abstract (front matter); Part B is the revised Chapter 1.</w:t>
      </w:r>
    </w:p>
    <w:p>
      <w:pPr>
        <w:shd w:fill="1F3864"/>
        <w:spacing w:after="120" w:before="120"/>
      </w:pPr>
      <w:r>
        <w:rPr>
          <w:rFonts w:ascii="Times New Roman" w:cs="Times New Roman" w:eastAsia="Times New Roman" w:hAnsi="Times New Roman"/>
          <w:b/>
          <w:bCs/>
          <w:color w:val="FFFFFF"/>
          <w:sz w:val="24"/>
          <w:szCs w:val="24"/>
        </w:rPr>
        <w:t xml:space="preserve">PART A — ABSTRACT / RESUMEN  (front matter; place before the table of contents)</w:t>
      </w:r>
    </w:p>
    <w:p>
      <w:pPr>
        <w:spacing w:after="130" w:before="300"/>
      </w:pPr>
      <w:r>
        <w:rPr>
          <w:rFonts w:ascii="Times New Roman" w:cs="Times New Roman" w:eastAsia="Times New Roman" w:hAnsi="Times New Roman"/>
          <w:b/>
          <w:bCs/>
          <w:color w:val="1F3864"/>
          <w:sz w:val="28"/>
          <w:szCs w:val="28"/>
        </w:rPr>
        <w:t xml:space="preserve">Abstract</w:t>
      </w:r>
    </w:p>
    <w:p>
      <w:pPr>
        <w:spacing w:after="160" w:line="300"/>
        <w:jc w:val="both"/>
      </w:pPr>
      <w:r>
        <w:rPr>
          <w:rFonts w:ascii="Times New Roman" w:cs="Times New Roman" w:eastAsia="Times New Roman" w:hAnsi="Times New Roman"/>
          <w:color w:val="000000"/>
          <w:sz w:val="24"/>
          <w:szCs w:val="24"/>
        </w:rPr>
        <w:t xml:space="preserve">Retail demand forecasting and inventory optimisation are central to operations management, yet the operational value of machine-learning forecasting is more often asserted than measured. This thesis develops and evaluates an end-to-end forecasting-to-inventory framework on the M5-Forecasting (Walmart) dataset — a stratified subsample of 502 product–store series of daily, intermittent SKU-level demand — comparing classical statistical baselines, gradient-boosting and deep-learning models, a stacking ensemble, and LightGBM quantile regression, and integrating their outputs with a periodic (R, s, S) Order-Up-To-Level inventory policy. On forecast accuracy, the stacking ensemble is the most accurate model but improves on the strongest classical baseline by only about 4.5% (MAE), well below the 10–25% reported in prior work. Critically, when inventory outcomes are measured by forward simulation over the real test window rather than assumed, all policies achieve full service with no stockouts, so neither the more accurate point forecast nor a quantile-based safety-stock reformulation lowers inventory cost: the apparent saving reported under assumed service levels does not survive measurement. The thesis interprets this as a finding rather than a failure. The 10–25% and 5–15% benchmarks of the literature were obtained on aggregated data and do not transfer to SKU-daily intermittent demand, and the operational value of ML forecasting is conditional on the demand regime — material only where the baseline policy faces genuine stockout risk. The contribution is a rigorous, reproducible, simulation-based characterisation of when ML forecasting and distributional safety stock affect inventory outcomes, delivered through an accessible Power BI dashboard designed for SME retailers.</w:t>
      </w:r>
    </w:p>
    <w:p>
      <w:pPr>
        <w:spacing w:after="200"/>
      </w:pPr>
      <w:r>
        <w:rPr>
          <w:rFonts w:ascii="Times New Roman" w:cs="Times New Roman" w:eastAsia="Times New Roman" w:hAnsi="Times New Roman"/>
          <w:i/>
          <w:iCs/>
          <w:sz w:val="22"/>
          <w:szCs w:val="22"/>
        </w:rPr>
        <w:t xml:space="preserve">Keywords: demand forecasting; machine learning; inventory optimisation; intermittent demand; M5; safety stock; quantile regression.</w:t>
      </w:r>
    </w:p>
    <w:p>
      <w:pPr>
        <w:spacing w:after="130" w:before="300"/>
      </w:pPr>
      <w:r>
        <w:rPr>
          <w:rFonts w:ascii="Times New Roman" w:cs="Times New Roman" w:eastAsia="Times New Roman" w:hAnsi="Times New Roman"/>
          <w:b/>
          <w:bCs/>
          <w:color w:val="1F3864"/>
          <w:sz w:val="28"/>
          <w:szCs w:val="28"/>
        </w:rPr>
        <w:t xml:space="preserve">Resumen</w:t>
      </w:r>
    </w:p>
    <w:p>
      <w:pPr>
        <w:spacing w:after="160" w:line="300"/>
        <w:jc w:val="both"/>
      </w:pPr>
      <w:r>
        <w:rPr>
          <w:rFonts w:ascii="Times New Roman" w:cs="Times New Roman" w:eastAsia="Times New Roman" w:hAnsi="Times New Roman"/>
          <w:color w:val="000000"/>
          <w:sz w:val="24"/>
          <w:szCs w:val="24"/>
        </w:rPr>
        <w:t xml:space="preserve">La previsión de la demanda y la optimización de inventario son centrales en la gestión de operaciones del comercio minorista, pero el valor operativo de la previsión basada en aprendizaje automático se suele afirmar más que medir. Esta tesis desarrolla y evalúa un marco integral de previsión e inventario sobre el conjunto de datos M5-Forecasting (Walmart) —una submuestra estratificada de 502 series producto–tienda de demanda diaria, intermitente y a nivel de SKU—, comparando modelos estadísticos clásicos, modelos de gradient boosting y aprendizaje profundo, un ensemble por apilamiento (stacking) y regresión cuantílica con LightGBM, e integrando sus salidas con una política periódica (R, s, S) de nivel de reposición (Order-Up-To-Level). En precisión de previsión, el ensemble es el modelo más preciso, pero mejora al mejor modelo clásico en apenas un 4,5% (MAE), muy por debajo del 10–25% reportado en trabajos previos. De forma decisiva, cuando los resultados de inventario se miden mediante simulación hacia delante sobre la ventana de test real, en lugar de asumirse, todas las políticas alcanzan servicio completo sin roturas de stock, de modo que ni la mayor precisión de la previsión ni la reformulación cuantílica del stock de seguridad reducen el coste de inventario: el ahorro aparente obtenido bajo niveles de servicio asumidos no sobrevive a la medición. La tesis interpreta esto como un hallazgo, no como un fracaso. Los umbrales del 10–25% y del 5–15% de la literatura se obtuvieron sobre datos agregados y no se trasladan a la demanda intermitente a nivel SKU-día, y el valor operativo de la previsión con ML es condicional al régimen de demanda, relevante solo cuando la política base se expone a un riesgo real de rotura. La contribución es una caracterización rigurosa, reproducible y basada en simulación de cuándo la previsión con ML y el stock de seguridad distribucional afectan a los resultados de inventario, presentada mediante un cuadro de mando accesible en Power BI diseñado para pymes minoristas.</w:t>
      </w:r>
    </w:p>
    <w:p>
      <w:pPr>
        <w:spacing w:after="120"/>
      </w:pPr>
      <w:r>
        <w:rPr>
          <w:rFonts w:ascii="Times New Roman" w:cs="Times New Roman" w:eastAsia="Times New Roman" w:hAnsi="Times New Roman"/>
          <w:i/>
          <w:iCs/>
          <w:sz w:val="22"/>
          <w:szCs w:val="22"/>
        </w:rPr>
        <w:t xml:space="preserve">Palabras clave: previsión de la demanda; aprendizaje automático; optimización de inventario; demanda intermitente; M5; stock de seguridad; regresión cuantílica.</w:t>
      </w:r>
    </w:p>
    <w:p>
      <w:pPr>
        <w:pBdr>
          <w:bottom w:val="single" w:color="C00000" w:sz="4" w:space="4"/>
        </w:pBdr>
        <w:spacing w:after="120" w:before="60"/>
      </w:pPr>
      <w:r>
        <w:rPr>
          <w:rFonts w:ascii="Times New Roman" w:cs="Times New Roman" w:eastAsia="Times New Roman" w:hAnsi="Times New Roman"/>
          <w:i/>
          <w:iCs/>
          <w:color w:val="C00000"/>
          <w:sz w:val="20"/>
          <w:szCs w:val="20"/>
        </w:rPr>
        <w:t xml:space="preserve">First draft. Please adjust the wording to your voice and check it against the faculty template — word limit, whether keywords are required, and whether the Spanish or the English version comes first. The figures quoted (4.5% MAE; 100% service; no stockouts) should match the final numbers once the falsification runs are in.</w:t>
      </w:r>
    </w:p>
    <w:p>
      <w:r>
        <w:br w:type="page"/>
      </w:r>
    </w:p>
    <w:p>
      <w:pPr>
        <w:shd w:fill="1F3864"/>
        <w:spacing w:after="120" w:before="120"/>
      </w:pPr>
      <w:r>
        <w:rPr>
          <w:rFonts w:ascii="Times New Roman" w:cs="Times New Roman" w:eastAsia="Times New Roman" w:hAnsi="Times New Roman"/>
          <w:b/>
          <w:bCs/>
          <w:color w:val="FFFFFF"/>
          <w:sz w:val="24"/>
          <w:szCs w:val="24"/>
        </w:rPr>
        <w:t xml:space="preserve">PART B — CHAPTER 1 (revised; changes in red)</w:t>
      </w:r>
    </w:p>
    <w:p>
      <w:pPr>
        <w:spacing w:after="200" w:before="120"/>
      </w:pPr>
      <w:r>
        <w:rPr>
          <w:rFonts w:ascii="Times New Roman" w:cs="Times New Roman" w:eastAsia="Times New Roman" w:hAnsi="Times New Roman"/>
          <w:b/>
          <w:bCs/>
          <w:color w:val="1F3864"/>
          <w:sz w:val="32"/>
          <w:szCs w:val="32"/>
        </w:rPr>
        <w:t xml:space="preserve">Chapter 1: Introduction</w:t>
      </w:r>
    </w:p>
    <w:p>
      <w:pPr>
        <w:spacing w:after="160" w:line="300"/>
        <w:jc w:val="both"/>
      </w:pPr>
      <w:r>
        <w:rPr>
          <w:rFonts w:ascii="Times New Roman" w:cs="Times New Roman" w:eastAsia="Times New Roman" w:hAnsi="Times New Roman"/>
          <w:color w:val="000000"/>
          <w:sz w:val="24"/>
          <w:szCs w:val="24"/>
        </w:rPr>
        <w:t xml:space="preserve">Retail organisations operating in contemporary markets face a persistent and costly operational dilemma: how to align stock levels with customer demand when that demand is inherently volatile, shaped by promotions, seasonal patterns, pricing decisions, public holidays, and broader macroeconomic conditions. Underestimating demand results in stockouts, immediate revenue loss, and erosion of customer trust. Overestimating demand ties up working capital in excess inventory, increases holding costs, and in the case of perishable goods generates significant waste with both financial and environmental consequences. This tension between under-supply and over-supply places demand forecasting and inventory optimisation at the centre of modern retail operations management.</w:t>
      </w:r>
    </w:p>
    <w:p>
      <w:pPr>
        <w:spacing w:after="160" w:line="300"/>
        <w:jc w:val="both"/>
      </w:pPr>
      <w:r>
        <w:rPr>
          <w:rFonts w:ascii="Times New Roman" w:cs="Times New Roman" w:eastAsia="Times New Roman" w:hAnsi="Times New Roman"/>
          <w:color w:val="000000"/>
          <w:sz w:val="24"/>
          <w:szCs w:val="24"/>
        </w:rPr>
        <w:t xml:space="preserve">Traditional approaches to this problem, including Moving Average (MA) methods, Exponential Smoothing, Autoregressive Integrated Moving Average (ARIMA), and its seasonal extension SARIMA have long formed the backbone of retail forecasting practice. However, these methods carry fundamental limitations in environments characterised by non-linear demand dynamics, multiple interacting variables, and abrupt structural shifts driven by promotions or external shocks. A growing body of academic research demonstrates that machine learning approaches, and ensemble and hybrid architectures in particular, substantially outperform classical statistical methods across diverse retail contexts (Barghi, 2025; Nasseri et al., 2023; Mitra et al., 2022; Razzak et al., 2025). These models can simultaneously process historical sales data, promotional calendars, temporal indicators, and external factors to learn complex demand patterns that classical models cannot represent.</w:t>
      </w:r>
    </w:p>
    <w:p>
      <w:pPr>
        <w:spacing w:after="160" w:line="300"/>
        <w:jc w:val="both"/>
      </w:pPr>
      <w:r>
        <w:rPr>
          <w:rFonts w:ascii="Times New Roman" w:cs="Times New Roman" w:eastAsia="Times New Roman" w:hAnsi="Times New Roman"/>
          <w:color w:val="000000"/>
          <w:sz w:val="24"/>
          <w:szCs w:val="24"/>
        </w:rPr>
        <w:t xml:space="preserve">This thesis presents the design, implementation, and evaluation of a machine learning-based framework for retail demand forecasting and inventory optimisation. Using the M5-Forecasting (Walmart) dataset; a publicly available, large-scale hierarchical dataset comprising daily sales records for 3,049 products across 10 Walmart stores in the United States over five years, enriched with calendar and price information. This study develops and compares multiple forecasting approaches and translates their outputs into operational inventory recommendations through the Order-Up-To-Level (OUTL) policy framework. Although the M5 dataset originates from a large retail enterprise, the methodology and decision framework developed in this thesis are explicitly designed and evaluated for transferability to small and medium-sized retailers (SMEs) who lack enterprise-scale analytics infrastructure but face identical demand planning challenges. The full pipeline is presented through an interactive Power BI dashboard, offering a practical and accessible tool for inventory decision-makers.</w:t>
      </w:r>
    </w:p>
    <w:p>
      <w:pPr>
        <w:spacing w:after="160" w:line="300"/>
        <w:jc w:val="both"/>
      </w:pPr>
      <w:r>
        <w:rPr>
          <w:rFonts w:ascii="Times New Roman" w:cs="Times New Roman" w:eastAsia="Times New Roman" w:hAnsi="Times New Roman"/>
          <w:color w:val="000000"/>
          <w:sz w:val="24"/>
          <w:szCs w:val="24"/>
        </w:rPr>
        <w:t xml:space="preserve">The remainder of this chapter is structured as follows. Section 1.1 states the general objectives of the research. Section 1.2 provides the justification and relevance of the study, grounding it in both practical industry challenges and identified gaps in the academic literature. Section 1.3 presents an overview of the research methodology. Section 1.4 maps the structure of the thesis. Section 1.5 outlines the theoretical and conceptual foundations. Section 1.6 articulates the contributions of the study.</w:t>
      </w:r>
    </w:p>
    <w:p>
      <w:pPr>
        <w:spacing w:after="130" w:before="300"/>
      </w:pPr>
      <w:r>
        <w:rPr>
          <w:rFonts w:ascii="Times New Roman" w:cs="Times New Roman" w:eastAsia="Times New Roman" w:hAnsi="Times New Roman"/>
          <w:b/>
          <w:bCs/>
          <w:color w:val="1F3864"/>
          <w:sz w:val="28"/>
          <w:szCs w:val="28"/>
        </w:rPr>
        <w:t xml:space="preserve">1.1 General Objectives of the Study</w:t>
      </w:r>
    </w:p>
    <w:p>
      <w:pPr>
        <w:spacing w:after="160" w:line="300"/>
        <w:jc w:val="both"/>
      </w:pPr>
      <w:r>
        <w:rPr>
          <w:rFonts w:ascii="Times New Roman" w:cs="Times New Roman" w:eastAsia="Times New Roman" w:hAnsi="Times New Roman"/>
          <w:color w:val="000000"/>
          <w:sz w:val="24"/>
          <w:szCs w:val="24"/>
        </w:rPr>
        <w:t xml:space="preserve">The primary objective of this research is to develop and evaluate a data-driven framework that integrates machine learning-based demand forecasting with the Order-Up-To-Level (OUTL) inventory policy, producing measurable improvements in operational efficiency for retail businesses. The study will use the full M5-Forecasting (Walmart) dataset as an empirical benchmark and design the resulting framework to be applicable in SME retail environments. Specifically, the research pursues five objectives:</w:t>
      </w:r>
    </w:p>
    <w:p>
      <w:pPr>
        <w:spacing w:after="160" w:line="300"/>
        <w:jc w:val="both"/>
      </w:pPr>
      <w:r>
        <w:rPr>
          <w:rFonts w:ascii="Times New Roman" w:cs="Times New Roman" w:eastAsia="Times New Roman" w:hAnsi="Times New Roman"/>
          <w:color w:val="000000"/>
          <w:sz w:val="24"/>
          <w:szCs w:val="24"/>
        </w:rPr>
        <w:t xml:space="preserve">1.  Implement and comparatively evaluate a range of forecasting models including classical statistical baselines (ARIMA, Exponential Smoothing, Moving Average), standard machine learning algorithms (Random Forest, XGBoost, LightGBM), time-series deep learning models (LSTM), and hybrid or ensemble architectures to identify the most accurate approach for multi-product, multi-store retail demand forecasting on the M5 dataset.</w:t>
      </w:r>
    </w:p>
    <w:p>
      <w:pPr>
        <w:spacing w:after="160" w:line="300"/>
        <w:jc w:val="both"/>
      </w:pPr>
      <w:r>
        <w:rPr>
          <w:rFonts w:ascii="Times New Roman" w:cs="Times New Roman" w:eastAsia="Times New Roman" w:hAnsi="Times New Roman"/>
          <w:color w:val="000000"/>
          <w:sz w:val="24"/>
          <w:szCs w:val="24"/>
        </w:rPr>
        <w:t xml:space="preserve">2.  Develop a systematic data preparation and feature engineering pipeline incorporating lag variables, rolling averages, promotional indicators, calendar features, and price signals from the M5 dataset that improves model performance and can be replicated in SME retail contexts with comparable data structures.</w:t>
      </w:r>
    </w:p>
    <w:p>
      <w:pPr>
        <w:spacing w:after="160" w:line="300"/>
        <w:jc w:val="both"/>
      </w:pPr>
      <w:r>
        <w:rPr>
          <w:rFonts w:ascii="Times New Roman" w:cs="Times New Roman" w:eastAsia="Times New Roman" w:hAnsi="Times New Roman"/>
          <w:color w:val="000000"/>
          <w:sz w:val="24"/>
          <w:szCs w:val="24"/>
        </w:rPr>
        <w:t xml:space="preserve">3.  Integrate the best-performing forecasting model with the Order-Up-To-Level (OUTL) inventory policy to compute safety stock levels, reorder points, and order-up-to levels at a target 95% service level, and evaluate the resulting inventory parameters across varying lead time scenarios.</w:t>
      </w:r>
    </w:p>
    <w:p>
      <w:pPr>
        <w:spacing w:after="160" w:line="300"/>
        <w:jc w:val="both"/>
      </w:pPr>
      <w:r>
        <w:rPr>
          <w:rFonts w:ascii="Times New Roman" w:cs="Times New Roman" w:eastAsia="Times New Roman" w:hAnsi="Times New Roman"/>
          <w:color w:val="C00000"/>
          <w:sz w:val="24"/>
          <w:szCs w:val="24"/>
        </w:rPr>
        <w:t xml:space="preserve">4. Test whether the operational gains reported in closely related studies transfer to this setting. Prior work on aggregated retail data (Barghi, 2025; Seyedan et al., 2023) reports improvements of 10–25% in forecast accuracy (MAPE, MAE, RMSE) and inventory cost reductions of 5–15% relative to classical baselines. Because those benchmarks were obtained at coarser levels of aggregation, this study treats them as hypotheses to be tested rather than targets to be met, and evaluates whether they hold at the SKU-daily, intermittent-demand granularity of the M5 series. Where results fall outside these ranges, the gap is itself treated as a finding and examined directly in the Discussion and Conclusion chapters.</w:t>
      </w:r>
    </w:p>
    <w:p>
      <w:pPr>
        <w:spacing w:after="160" w:line="300"/>
        <w:jc w:val="both"/>
      </w:pPr>
      <w:r>
        <w:rPr>
          <w:rFonts w:ascii="Times New Roman" w:cs="Times New Roman" w:eastAsia="Times New Roman" w:hAnsi="Times New Roman"/>
          <w:color w:val="000000"/>
          <w:sz w:val="24"/>
          <w:szCs w:val="24"/>
        </w:rPr>
        <w:t xml:space="preserve">5.  Develop a Power BI dashboard that translates forecasting outputs and inventory recommendations into an accessible, interactive decision-support tool suitable for deployment in resource-constrained retail environments, including SMEs.</w:t>
      </w:r>
    </w:p>
    <w:p>
      <w:pPr>
        <w:spacing w:after="130" w:before="300"/>
      </w:pPr>
      <w:r>
        <w:rPr>
          <w:rFonts w:ascii="Times New Roman" w:cs="Times New Roman" w:eastAsia="Times New Roman" w:hAnsi="Times New Roman"/>
          <w:b/>
          <w:bCs/>
          <w:color w:val="1F3864"/>
          <w:sz w:val="28"/>
          <w:szCs w:val="28"/>
        </w:rPr>
        <w:t xml:space="preserve">1.2 Justification and Relevance of the Research Topic</w:t>
      </w:r>
    </w:p>
    <w:p>
      <w:pPr>
        <w:spacing w:after="110" w:before="220"/>
      </w:pPr>
      <w:r>
        <w:rPr>
          <w:rFonts w:ascii="Times New Roman" w:cs="Times New Roman" w:eastAsia="Times New Roman" w:hAnsi="Times New Roman"/>
          <w:b/>
          <w:bCs/>
          <w:color w:val="2E4D7B"/>
          <w:sz w:val="25"/>
          <w:szCs w:val="25"/>
        </w:rPr>
        <w:t xml:space="preserve">1.2.1 Practical Industry Context</w:t>
      </w:r>
    </w:p>
    <w:p>
      <w:pPr>
        <w:spacing w:after="160" w:line="300"/>
        <w:jc w:val="both"/>
      </w:pPr>
      <w:r>
        <w:rPr>
          <w:rFonts w:ascii="Times New Roman" w:cs="Times New Roman" w:eastAsia="Times New Roman" w:hAnsi="Times New Roman"/>
          <w:color w:val="000000"/>
          <w:sz w:val="24"/>
          <w:szCs w:val="24"/>
        </w:rPr>
        <w:t xml:space="preserve">The retail sector is one of the most data-intensive and operationally demanding environments for inventory management. Retailers must place replenishment orders days or weeks in advance of actual customer demand, under conditions where that demand is influenced by a complex web of factors: weekly shopping cycles, promotional campaigns, holiday calendars, competitor pricing, weather conditions, and longer-term economic trends. When forecasts are inaccurate, the consequences are immediate and financially significant. Industry estimates suggest that out-of-stock events alone cost global retailers hundreds of billions of dollars annually in lost sales, while excess inventory ties up capital and inflates holding costs across the supply chain (industry sources: Tredence; Omniful).</w:t>
      </w:r>
    </w:p>
    <w:p>
      <w:pPr>
        <w:spacing w:after="160" w:line="300"/>
        <w:jc w:val="both"/>
      </w:pPr>
      <w:r>
        <w:rPr>
          <w:rFonts w:ascii="Times New Roman" w:cs="Times New Roman" w:eastAsia="Times New Roman" w:hAnsi="Times New Roman"/>
          <w:color w:val="000000"/>
          <w:sz w:val="24"/>
          <w:szCs w:val="24"/>
        </w:rPr>
        <w:t xml:space="preserve">Small and medium-sized retailers are disproportionately exposed to these risks. Unlike large enterprises such as Walmart or Amazon, SMEs rarely have dedicated data science teams, advanced enterprise resource planning systems, or the computational infrastructure needed to implement sophisticated forecasting tools. They typically rely on manual inventory decisions, spreadsheet-based planning, or simple moving average heuristics methods that consistently underperform in the face of promotional volatility and seasonal complexity (Wahedi et al., 2023; Keith, 2023). The result is a structural disadvantage: SMEs bear inventory risks comparable to those of large retailers but lack the analytical tools to manage them effectively.</w:t>
      </w:r>
    </w:p>
    <w:p>
      <w:pPr>
        <w:spacing w:after="160" w:line="300"/>
        <w:jc w:val="both"/>
      </w:pPr>
      <w:r>
        <w:rPr>
          <w:rFonts w:ascii="Times New Roman" w:cs="Times New Roman" w:eastAsia="Times New Roman" w:hAnsi="Times New Roman"/>
          <w:color w:val="000000"/>
          <w:sz w:val="24"/>
          <w:szCs w:val="24"/>
        </w:rPr>
        <w:t xml:space="preserve">This study addresses that gap directly. By developing and validating a machine learning forecasting framework using the M5-Forecasting (Walmart) dataset as a large-scale empirical proxy, and by designing the methodology and outputs including the OUTL inventory policy integration and Power BI dashboard  to be replicable with the kinds of data SMEs already collect (daily sales records, promotional flags, and calendar features), this research provides a practical and transferable solution to a real and quantifiable industry problem.</w:t>
      </w:r>
    </w:p>
    <w:p>
      <w:pPr>
        <w:spacing w:after="110" w:before="220"/>
      </w:pPr>
      <w:r>
        <w:rPr>
          <w:rFonts w:ascii="Times New Roman" w:cs="Times New Roman" w:eastAsia="Times New Roman" w:hAnsi="Times New Roman"/>
          <w:b/>
          <w:bCs/>
          <w:color w:val="2E4D7B"/>
          <w:sz w:val="25"/>
          <w:szCs w:val="25"/>
        </w:rPr>
        <w:t xml:space="preserve">1.2.2 Academic Gaps and Research Motivation</w:t>
      </w:r>
    </w:p>
    <w:p>
      <w:pPr>
        <w:spacing w:after="160" w:line="300"/>
        <w:jc w:val="both"/>
      </w:pPr>
      <w:r>
        <w:rPr>
          <w:rFonts w:ascii="Times New Roman" w:cs="Times New Roman" w:eastAsia="Times New Roman" w:hAnsi="Times New Roman"/>
          <w:color w:val="000000"/>
          <w:sz w:val="24"/>
          <w:szCs w:val="24"/>
        </w:rPr>
        <w:t xml:space="preserve">The academic literature on demand forecasting and inventory optimisation has grown substantially over the past decade, with a clear consensus emerging around the superiority of machine learning and ensemble approaches over classical statistical methods in retail contexts (Barghi, 2025; Nasseri et al., 2023; Punia et al., 2020; Kilimci et al., 2019). However, a review of the existing literature reveals four critical gaps that this study is specifically designed to address:</w:t>
      </w:r>
    </w:p>
    <w:p>
      <w:pPr>
        <w:spacing w:after="160" w:line="300"/>
        <w:jc w:val="both"/>
      </w:pPr>
      <w:r>
        <w:rPr>
          <w:rFonts w:ascii="Times New Roman" w:cs="Times New Roman" w:eastAsia="Times New Roman" w:hAnsi="Times New Roman"/>
          <w:color w:val="000000"/>
          <w:sz w:val="24"/>
          <w:szCs w:val="24"/>
        </w:rPr>
        <w:t xml:space="preserve">▪  Gap 1: Disconnect between forecast accuracy and inventory decision-making.  Most of the published studies report forecasting accuracy metrics MAPE, MAE, RMSE without translating improved forecasts into operational inventory decisions. Seyedan, Mafakheri, and Wang (2023) note explicitly that most comparative forecasting studies focus on accuracy metrics rather than their implications for inventory control. </w:t>
      </w:r>
      <w:r>
        <w:rPr>
          <w:rFonts w:ascii="Times New Roman" w:cs="Times New Roman" w:eastAsia="Times New Roman" w:hAnsi="Times New Roman"/>
          <w:color w:val="C00000"/>
          <w:sz w:val="24"/>
          <w:szCs w:val="24"/>
        </w:rPr>
        <w:t xml:space="preserve">This study addresses that gap by integrating forecasting outputs with the OUTL policy and measuring, through forward simulation, whether improved forecasts and a distributional safety-stock formulation actually translate into lower inventory cost.</w:t>
      </w:r>
    </w:p>
    <w:p>
      <w:pPr>
        <w:spacing w:after="160" w:line="300"/>
        <w:jc w:val="both"/>
      </w:pPr>
      <w:r>
        <w:rPr>
          <w:rFonts w:ascii="Times New Roman" w:cs="Times New Roman" w:eastAsia="Times New Roman" w:hAnsi="Times New Roman"/>
          <w:color w:val="000000"/>
          <w:sz w:val="24"/>
          <w:szCs w:val="24"/>
        </w:rPr>
        <w:t xml:space="preserve">▪  Gap 2: Limited focus on real-world deployment and operational validation.  Most proposed ML forecasting frameworks are validated through historical simulation without addressing live deployment, model maintenance, or the practical constraints of real operations. This study incorporates simulation-based inventory evaluation across multiple lead time scenarios and delivers a Power BI dashboard as a step toward operational deployment.</w:t>
      </w:r>
    </w:p>
    <w:p>
      <w:pPr>
        <w:spacing w:after="160" w:line="300"/>
        <w:jc w:val="both"/>
      </w:pPr>
      <w:r>
        <w:rPr>
          <w:rFonts w:ascii="Times New Roman" w:cs="Times New Roman" w:eastAsia="Times New Roman" w:hAnsi="Times New Roman"/>
          <w:color w:val="000000"/>
          <w:sz w:val="24"/>
          <w:szCs w:val="24"/>
        </w:rPr>
        <w:t xml:space="preserve">▪  Gap 3: Underrepresentation of SME retailers and practical constraints.  Existing literature is disproportionately focused on large enterprises with extensive data infrastructure. Wahedi et al. (2023) and Ungureanu (2025) identify the SME gap as a substantive research need. This study frames the Walmart M5 dataset as a methodological benchmark and explicitly designs the resulting framework for transferability to resource-constrained retail environments.</w:t>
      </w:r>
    </w:p>
    <w:p>
      <w:pPr>
        <w:spacing w:after="160" w:line="300"/>
        <w:jc w:val="both"/>
      </w:pPr>
      <w:r>
        <w:rPr>
          <w:rFonts w:ascii="Times New Roman" w:cs="Times New Roman" w:eastAsia="Times New Roman" w:hAnsi="Times New Roman"/>
          <w:color w:val="000000"/>
          <w:sz w:val="24"/>
          <w:szCs w:val="24"/>
        </w:rPr>
        <w:t xml:space="preserve">▪  Gap 4: Insufficient integration of uncertainty in inventory calibration.  Classical safety stock formulas assume point-forecast inputs, which systematically underrepresent demand variability. This study incorporates demand standard deviation derived from forecast residuals into the OUTL safety stock calculation, producing inventory parameters that account for forecast uncertainty rather than treating the mean forecast as certain.</w:t>
      </w:r>
    </w:p>
    <w:p>
      <w:pPr>
        <w:spacing w:after="110" w:before="220"/>
      </w:pPr>
      <w:r>
        <w:rPr>
          <w:rFonts w:ascii="Times New Roman" w:cs="Times New Roman" w:eastAsia="Times New Roman" w:hAnsi="Times New Roman"/>
          <w:b/>
          <w:bCs/>
          <w:color w:val="2E4D7B"/>
          <w:sz w:val="25"/>
          <w:szCs w:val="25"/>
        </w:rPr>
        <w:t xml:space="preserve">1.2.3 SME Transferability: Data, Tools, and Technical Requirements</w:t>
      </w:r>
    </w:p>
    <w:p>
      <w:pPr>
        <w:spacing w:after="160" w:line="300"/>
        <w:jc w:val="both"/>
      </w:pPr>
      <w:r>
        <w:rPr>
          <w:rFonts w:ascii="Times New Roman" w:cs="Times New Roman" w:eastAsia="Times New Roman" w:hAnsi="Times New Roman"/>
          <w:color w:val="000000"/>
          <w:sz w:val="24"/>
          <w:szCs w:val="24"/>
        </w:rPr>
        <w:t xml:space="preserve">A recurring claim in this thesis is that the analytical framework developed here is transferable to small and medium-sized retail environments. This section specifies concretely what that claim requires in practice, so that the transferability argument functions as a verifiable design commitment rather than an aspirational statement. A typical SME retailer seeking to replicate this pipeline would need the following.</w:t>
      </w:r>
    </w:p>
    <w:p>
      <w:pPr>
        <w:spacing w:after="160" w:line="300"/>
        <w:jc w:val="both"/>
      </w:pPr>
      <w:r>
        <w:rPr>
          <w:rFonts w:ascii="Times New Roman" w:cs="Times New Roman" w:eastAsia="Times New Roman" w:hAnsi="Times New Roman"/>
          <w:color w:val="000000"/>
          <w:sz w:val="24"/>
          <w:szCs w:val="24"/>
        </w:rPr>
        <w:t xml:space="preserve">Data requirements. The pipeline uses three data sources that are standard outputs of any commercial point-of-sale or ERP system: (1) daily unit sales records at the product-store level (equivalent to M5’s sales file); (2) a calendar or events file encoding holidays, promotions, and special trading days (equivalent to M5’s calendar file); and (3) a weekly price file recording the current selling price per product-store combination (equivalent to M5’s sell_prices file). No proprietary data feeds, real-time API integrations, or customer-level transaction data are required. A retailer using any mid-market POS system — such as Lightspeed, Square for Retail, or Shopify POS — can export these three file types as CSV without custom development.</w:t>
      </w:r>
    </w:p>
    <w:p>
      <w:pPr>
        <w:spacing w:after="160" w:line="300"/>
        <w:jc w:val="both"/>
      </w:pPr>
      <w:r>
        <w:rPr>
          <w:rFonts w:ascii="Times New Roman" w:cs="Times New Roman" w:eastAsia="Times New Roman" w:hAnsi="Times New Roman"/>
          <w:color w:val="000000"/>
          <w:sz w:val="24"/>
          <w:szCs w:val="24"/>
        </w:rPr>
        <w:t xml:space="preserve">Tools and software. The modelling pipeline is implemented entirely in Python using open-source libraries (pandas, scikit-learn, LightGBM, XGBoost, TensorFlow/Keras) that are freely available and run on standard laptop or desktop hardware. No GPU infrastructure, cloud computing subscription, or enterprise data warehouse is required for the gradient boosting models that constitute the core of the recommended framework. The Power BI dashboard used to present outputs is available under Microsoft’s free tier (Power BI Desktop), which is sufficient for the visualisations produced in this study.</w:t>
      </w:r>
    </w:p>
    <w:p>
      <w:pPr>
        <w:spacing w:after="160" w:line="300"/>
        <w:jc w:val="both"/>
      </w:pPr>
      <w:r>
        <w:rPr>
          <w:rFonts w:ascii="Times New Roman" w:cs="Times New Roman" w:eastAsia="Times New Roman" w:hAnsi="Times New Roman"/>
          <w:color w:val="000000"/>
          <w:sz w:val="24"/>
          <w:szCs w:val="24"/>
        </w:rPr>
        <w:t xml:space="preserve">Technical capacity. Deployment would require one person with intermediate Python competency (equivalent to a data analyst with 12–18 months of scripting experience) to run the preprocessing and modelling pipeline and refresh the dashboard on a weekly or monthly cycle. No dedicated data science team or machine learning engineering capability is assumed. The feature engineering and model training code is designed to be reusable across different product assortments and store configurations with minimal modification. This baseline capacity is consistent with the technical profile of the SME retail operators studied by Wahedi et al. (2023) and Ungureanu (2025), both of whom explicitly designed their frameworks around the same resource constraint.</w:t>
      </w:r>
    </w:p>
    <w:p>
      <w:pPr>
        <w:spacing w:after="130" w:before="300"/>
      </w:pPr>
      <w:r>
        <w:rPr>
          <w:rFonts w:ascii="Times New Roman" w:cs="Times New Roman" w:eastAsia="Times New Roman" w:hAnsi="Times New Roman"/>
          <w:b/>
          <w:bCs/>
          <w:color w:val="1F3864"/>
          <w:sz w:val="28"/>
          <w:szCs w:val="28"/>
        </w:rPr>
        <w:t xml:space="preserve">1.3 Methodology Overview</w:t>
      </w:r>
    </w:p>
    <w:p>
      <w:pPr>
        <w:spacing w:after="160" w:line="300"/>
        <w:jc w:val="both"/>
      </w:pPr>
      <w:r>
        <w:rPr>
          <w:rFonts w:ascii="Times New Roman" w:cs="Times New Roman" w:eastAsia="Times New Roman" w:hAnsi="Times New Roman"/>
          <w:color w:val="000000"/>
          <w:sz w:val="24"/>
          <w:szCs w:val="24"/>
        </w:rPr>
        <w:t xml:space="preserve">This research adopts a data science methodology structured around the CRISP-DM (Cross-Industry Standard Process for Data Mining) framework, which provides a systematic, iterative progression from business understanding through data preparation, modelling, evaluation, and deployment. The methodology is organised into five phases:</w:t>
      </w:r>
    </w:p>
    <w:p>
      <w:pPr>
        <w:spacing w:after="90" w:before="160"/>
      </w:pPr>
      <w:r>
        <w:rPr>
          <w:rFonts w:ascii="Times New Roman" w:cs="Times New Roman" w:eastAsia="Times New Roman" w:hAnsi="Times New Roman"/>
          <w:b/>
          <w:bCs/>
          <w:sz w:val="24"/>
          <w:szCs w:val="24"/>
        </w:rPr>
        <w:t xml:space="preserve">Phase 1: Data Understanding and Preparation</w:t>
      </w:r>
    </w:p>
    <w:p>
      <w:pPr>
        <w:spacing w:after="160" w:line="300"/>
        <w:jc w:val="both"/>
      </w:pPr>
      <w:r>
        <w:rPr>
          <w:rFonts w:ascii="Times New Roman" w:cs="Times New Roman" w:eastAsia="Times New Roman" w:hAnsi="Times New Roman"/>
          <w:color w:val="000000"/>
          <w:sz w:val="24"/>
          <w:szCs w:val="24"/>
        </w:rPr>
        <w:t xml:space="preserve">The primary data source is the M5-Forecasting (Walmart) dataset, sourced from Kaggle. The dataset contains daily unit sales for 3,049 products organised across three product categories (Hobbies, Foods, and Household) and three US states (California, Texas, and Wisconsin) spanning 1,913 consecutive days from 29 January 2011 to 24 April 2016. The dataset is accompanied by a calendar file (encoding day-of-week, SNAP eligibility flags, event labels, and other special days) and a sell-prices file (encoding weekly product prices by store). A stratified random subsample of 502 product-store series, drawn proportionally across category × state strata, is used to enable rigorous walk-forward cross-validation within the project’s compute budget. Data preparation involves merging and reshaping the three source files, forward-fill and backward-fill imputation of missing prices, removal of closure-day zero-sale records, winsorisation of unexplained outliers, and label encoding of categorical variables. Target-encoded mean features (item_mean, dept_mean, store_mean, state_mean, item_dow_mean, store_dow_mean, cat_month_mean, item_month_mean) are computed exclusively on the training window to prevent data leakage. Feature engineering produces six categories of derived variables: lag features (7-, 14-, and 28-day lags capturing weekly, bi-weekly, and monthly autocorrelation); rolling statistics (7- and 28-day rolling means plus 7-day rolling standard deviation for volatility); calendar and temporal features (day-of-week, week-of-year, month, year, is_weekend); event proximity features (days_since_last_event, days_to_next_event); promotional and event indicators (is_snap_day, is_sporting_event, is_cultural_event, is_national_event, is_religious_event); and price features (sell_price, price_change).</w:t>
      </w:r>
    </w:p>
    <w:p>
      <w:pPr>
        <w:spacing w:after="90" w:before="160"/>
      </w:pPr>
      <w:r>
        <w:rPr>
          <w:rFonts w:ascii="Times New Roman" w:cs="Times New Roman" w:eastAsia="Times New Roman" w:hAnsi="Times New Roman"/>
          <w:b/>
          <w:bCs/>
          <w:sz w:val="24"/>
          <w:szCs w:val="24"/>
        </w:rPr>
        <w:t xml:space="preserve">Phase 2: Model Development and Comparison</w:t>
      </w:r>
    </w:p>
    <w:p>
      <w:pPr>
        <w:spacing w:after="160" w:line="300"/>
        <w:jc w:val="both"/>
      </w:pPr>
      <w:r>
        <w:rPr>
          <w:rFonts w:ascii="Times New Roman" w:cs="Times New Roman" w:eastAsia="Times New Roman" w:hAnsi="Times New Roman"/>
          <w:color w:val="000000"/>
          <w:sz w:val="24"/>
          <w:szCs w:val="24"/>
        </w:rPr>
        <w:t xml:space="preserve">▪ Classical Statistical Baselines:  Moving Average (MA), Simple Exponential Smoothing (SES), AutoARIMA (with weekly seasonality), Croston’s Classic, the Syntetos–Boylan Approximation (Croston-SBA), and Seasonal Naïve, six methods providing a performance floor. Croston-class methods are included specifically because SKU-daily retail demand is intermittent and zero-inflated, conditions under which ARIMA and SES are known to underperform. All Tier 1 models are fitted per series via the statsforecast library.</w:t>
      </w:r>
    </w:p>
    <w:p>
      <w:pPr>
        <w:spacing w:after="160" w:line="300"/>
        <w:jc w:val="both"/>
      </w:pPr>
      <w:r>
        <w:rPr>
          <w:rFonts w:ascii="Times New Roman" w:cs="Times New Roman" w:eastAsia="Times New Roman" w:hAnsi="Times New Roman"/>
          <w:color w:val="000000"/>
          <w:sz w:val="24"/>
          <w:szCs w:val="24"/>
        </w:rPr>
        <w:t xml:space="preserve">▪ Standard Machine Learning Models:  Random Forest (RF), XGBoost, and LightGBM gradient boosting and bagging methods trained on the full engineered feature set. XGBoost and LightGBM are configured with the Tweedie loss function (variance power 1.1), suited to non-negative count data with many zero observations, consistent with M5 retrospective best practice.</w:t>
      </w:r>
    </w:p>
    <w:p>
      <w:pPr>
        <w:spacing w:after="160" w:line="300"/>
        <w:jc w:val="both"/>
      </w:pPr>
      <w:r>
        <w:rPr>
          <w:rFonts w:ascii="Times New Roman" w:cs="Times New Roman" w:eastAsia="Times New Roman" w:hAnsi="Times New Roman"/>
          <w:color w:val="000000"/>
          <w:sz w:val="24"/>
          <w:szCs w:val="24"/>
        </w:rPr>
        <w:t xml:space="preserve">▪ Deep Learning Time-Series Model:  A two-layer stacked LSTM (128 and 64 units, dropout 0.2, 28-day lookback) with log1p target transformation and early stopping capturing long-range temporal dependencies and multi-day promotional dynamics.</w:t>
      </w:r>
    </w:p>
    <w:p>
      <w:pPr>
        <w:spacing w:after="160" w:line="300"/>
        <w:jc w:val="both"/>
      </w:pPr>
      <w:r>
        <w:rPr>
          <w:rFonts w:ascii="Times New Roman" w:cs="Times New Roman" w:eastAsia="Times New Roman" w:hAnsi="Times New Roman"/>
          <w:color w:val="000000"/>
          <w:sz w:val="24"/>
          <w:szCs w:val="24"/>
        </w:rPr>
        <w:t xml:space="preserve">▪  Ensemble and Hybrid Architecture:  A stacking ensemble in which LightGBM, XGBoost, and Random Forest serve as base learners and a non-negative Ridge regression meta-learner learns optimal combination weights from validation-set predictions. This architecture is preferred over the sequential residual-correction design used in some prior work (Barghi, 2025) because stacking with non-negative Ridge weights is the more conventional heterogeneous ensemble approach and avoids overfitting successive layers to earlier-layer noise (Mitra et al., 2022; Seyedan et al., 2023).</w:t>
      </w:r>
    </w:p>
    <w:p>
      <w:pPr>
        <w:spacing w:after="160" w:line="300"/>
        <w:jc w:val="both"/>
      </w:pPr>
      <w:r>
        <w:rPr>
          <w:rFonts w:ascii="Times New Roman" w:cs="Times New Roman" w:eastAsia="Times New Roman" w:hAnsi="Times New Roman"/>
          <w:color w:val="000000"/>
          <w:sz w:val="24"/>
          <w:szCs w:val="24"/>
        </w:rPr>
        <w:t xml:space="preserve">▪  LightGBM Quantile Regression (Tier 5):  Five independent LightGBM models trained at quantile levels P10, P50, P90, P95, and P99 providing probabilistic demand forecasts that feed the empirical safety-stock calculation. This tier does not compete with Tiers 1–4 on point-forecast accuracy; it addresses the Gaussian formula’s assumption of normally distributed residuals, which intermittent retail demand systematically violates.</w:t>
      </w:r>
    </w:p>
    <w:p>
      <w:pPr>
        <w:spacing w:after="90" w:before="160"/>
      </w:pPr>
      <w:r>
        <w:rPr>
          <w:rFonts w:ascii="Times New Roman" w:cs="Times New Roman" w:eastAsia="Times New Roman" w:hAnsi="Times New Roman"/>
          <w:b/>
          <w:bCs/>
          <w:sz w:val="24"/>
          <w:szCs w:val="24"/>
        </w:rPr>
        <w:t xml:space="preserve">Phase 3: Model Evaluation</w:t>
      </w:r>
    </w:p>
    <w:p>
      <w:pPr>
        <w:spacing w:after="160" w:line="300"/>
        <w:jc w:val="both"/>
      </w:pPr>
      <w:r>
        <w:rPr>
          <w:rFonts w:ascii="Times New Roman" w:cs="Times New Roman" w:eastAsia="Times New Roman" w:hAnsi="Times New Roman"/>
          <w:color w:val="000000"/>
          <w:sz w:val="24"/>
          <w:szCs w:val="24"/>
        </w:rPr>
        <w:t xml:space="preserve">Forecasting accuracy is assessed using five complementary metrics: Mean Absolute Error (MAE), measuring average error in demand units directly interpretable by store managers; Root Mean Squared Error (RMSE), penalising large errors more heavily and sensitive to promotional spikes; Mean Absolute Percentage Error (MAPE), normalising errors as a percentage of actual demand to enable cross-product comparisons; Weighted Mean Absolute Percentage Error (WMAPE), which divides total absolute error by total actual demand and is robust to the zero-actual rows that distort per-row MAPE on intermittent SKU-daily data; and Pred(10%), the proportion of forecasts falling within 10% of actual demand. </w:t>
      </w:r>
      <w:r>
        <w:rPr>
          <w:rFonts w:ascii="Times New Roman" w:cs="Times New Roman" w:eastAsia="Times New Roman" w:hAnsi="Times New Roman"/>
          <w:color w:val="C00000"/>
          <w:sz w:val="24"/>
          <w:szCs w:val="24"/>
        </w:rPr>
        <w:t xml:space="preserve">Improvement figures of 10–25% in MAPE (and MAE/RMSE) reported in prior work on aggregated data are used as a benchmark against which the measured results are tested, rather than as targets the study commits to meeting, given the granularity constraints of SKU-daily intermittent demand.</w:t>
      </w:r>
    </w:p>
    <w:p>
      <w:pPr>
        <w:spacing w:after="90" w:before="160"/>
      </w:pPr>
      <w:r>
        <w:rPr>
          <w:rFonts w:ascii="Times New Roman" w:cs="Times New Roman" w:eastAsia="Times New Roman" w:hAnsi="Times New Roman"/>
          <w:b/>
          <w:bCs/>
          <w:sz w:val="24"/>
          <w:szCs w:val="24"/>
        </w:rPr>
        <w:t xml:space="preserve">Phase 4: Inventory Policy Integration</w:t>
      </w:r>
    </w:p>
    <w:p>
      <w:pPr>
        <w:spacing w:after="160" w:line="300"/>
        <w:jc w:val="both"/>
      </w:pPr>
      <w:r>
        <w:rPr>
          <w:rFonts w:ascii="Times New Roman" w:cs="Times New Roman" w:eastAsia="Times New Roman" w:hAnsi="Times New Roman"/>
          <w:color w:val="000000"/>
          <w:sz w:val="24"/>
          <w:szCs w:val="24"/>
        </w:rPr>
        <w:t xml:space="preserve">Forecasts are integrated with a periodic (R, s, S) Order-Up-To-Level (OUTL) policy (Silver, Pyke &amp; Thomas, 2017) with review period R = 7 days. Three forecasting policies are compared on a like-for-like basis: (1) Classical: Croston-SBA forecasts feeding a Gaussian safety-stock formula SS₂ = z·σ·√(R+L), where σ is the standard deviation of forecast residuals; (2) ML-Gaussian: stacking-ensemble forecasts feeding the same Gaussian formula; and (3) ML-Empirical-Quantile: LightGBM quantile forecasts feeding an empirically calibrated safety stock SS₂ = (q₀.₉₅ − q₀.₅₀)·√(R+L), which captures the actual right-skewed demand distribution rather than assuming normality. Reorder point r = d̅·(R+L) + SS and order-up-to level S = r + Q are computed analytically, with Q from the EOQ formula to decouple ordering frequency from forecast level. Total annual cost decomposes into holding cost HC = (SS + Q/2)·h, ordering cost OC = (D/Q)·K, and stockout cost SC = (target_SL − achieved_SL)·D·unit_cost·m evaluated across three stockout cost multipliers (m = 0.4, 1.0, 2.0). Parameters are evaluated across four lead-time scenarios (L = 7, 10, 14, 21 days) and three service levels (90%, 95%, 99%). </w:t>
      </w:r>
      <w:r>
        <w:rPr>
          <w:rFonts w:ascii="Times New Roman" w:cs="Times New Roman" w:eastAsia="Times New Roman" w:hAnsi="Times New Roman"/>
          <w:color w:val="C00000"/>
          <w:sz w:val="24"/>
          <w:szCs w:val="24"/>
        </w:rPr>
        <w:t xml:space="preserve">The achieved service level of each policy is obtained from the forward simulation of Chapter 5 rather than assigned analytically; the 5–15% inventory cost reduction reported in prior work serves as a benchmark against which the simulated outcome is assessed, not as a target.</w:t>
      </w:r>
    </w:p>
    <w:p>
      <w:pPr>
        <w:spacing w:after="90" w:before="160"/>
      </w:pPr>
      <w:r>
        <w:rPr>
          <w:rFonts w:ascii="Times New Roman" w:cs="Times New Roman" w:eastAsia="Times New Roman" w:hAnsi="Times New Roman"/>
          <w:b/>
          <w:bCs/>
          <w:sz w:val="24"/>
          <w:szCs w:val="24"/>
        </w:rPr>
        <w:t xml:space="preserve">Phase 5: Dashboard Development and Validation</w:t>
      </w:r>
    </w:p>
    <w:p>
      <w:pPr>
        <w:spacing w:after="160" w:line="300"/>
        <w:jc w:val="both"/>
      </w:pPr>
      <w:r>
        <w:rPr>
          <w:rFonts w:ascii="Times New Roman" w:cs="Times New Roman" w:eastAsia="Times New Roman" w:hAnsi="Times New Roman"/>
          <w:color w:val="000000"/>
          <w:sz w:val="24"/>
          <w:szCs w:val="24"/>
        </w:rPr>
        <w:t xml:space="preserve">A Power BI dashboard (free Desktop tier) is developed to translate modelling outputs into an interactive decision-support tool for non-technical retail managers. The dashboard is structured across four pages driven by CSV data feeds exported from the Python pipeline: Forecast Overview (actual sales, ML ensemble forecast, classical baseline forecast, and LightGBM quantile fan P50/P90/P95/P99 with slicers for category, state, and store); Inventory Status (safety stock, reorder point, and order-up-to-level per product-store at the user-selected lead time and service level, with conditional formatting for items approaching reorder); Cost Analysis (total annual cost decomposed into holding, ordering, and stockout components across the three forecasting policies and four lead-time scenarios); and Sensitivity Analysis (cost reduction curves across MAPE level, stockout cost multiplier, and service level, enabling practitioner what-if analysis). </w:t>
      </w:r>
      <w:r>
        <w:rPr>
          <w:rFonts w:ascii="Times New Roman" w:cs="Times New Roman" w:eastAsia="Times New Roman" w:hAnsi="Times New Roman"/>
          <w:color w:val="C00000"/>
          <w:sz w:val="24"/>
          <w:szCs w:val="24"/>
        </w:rPr>
        <w:t xml:space="preserve">The sensitivity analysis in the revised Chapter 5 focuses on lead time (7–21 days) and the stockout cost multiplier (0.4–2.0×); the MAPE and service-level sweeps of the earlier draft are retired, as both were artefacts of the assumed service-level gap rather than measured effects.</w:t>
      </w:r>
    </w:p>
    <w:p>
      <w:pPr>
        <w:spacing w:after="130" w:before="300"/>
      </w:pPr>
      <w:r>
        <w:rPr>
          <w:rFonts w:ascii="Times New Roman" w:cs="Times New Roman" w:eastAsia="Times New Roman" w:hAnsi="Times New Roman"/>
          <w:b/>
          <w:bCs/>
          <w:color w:val="1F3864"/>
          <w:sz w:val="28"/>
          <w:szCs w:val="28"/>
        </w:rPr>
        <w:t xml:space="preserve">1.4 Structure of the Thesis</w:t>
      </w:r>
    </w:p>
    <w:p>
      <w:pPr>
        <w:spacing w:after="160" w:line="300"/>
        <w:jc w:val="both"/>
      </w:pPr>
      <w:r>
        <w:rPr>
          <w:rFonts w:ascii="Times New Roman" w:cs="Times New Roman" w:eastAsia="Times New Roman" w:hAnsi="Times New Roman"/>
          <w:color w:val="000000"/>
          <w:sz w:val="24"/>
          <w:szCs w:val="24"/>
        </w:rPr>
        <w:t xml:space="preserve">▪ Chapter 2 Literature Review:  Provides a comprehensive synthesis of existing research on demand forecasting and inventory optimisation in retail, covering classical statistical methods, individual machine learning models, ensemble and hybrid architectures, deep learning approaches, and the integration of forecasting with inventory control policies. Key gaps in the literature are identified and mapped to the research objectives of this study.</w:t>
      </w:r>
    </w:p>
    <w:p>
      <w:pPr>
        <w:spacing w:after="160" w:line="300"/>
        <w:jc w:val="both"/>
      </w:pPr>
      <w:r>
        <w:rPr>
          <w:rFonts w:ascii="Times New Roman" w:cs="Times New Roman" w:eastAsia="Times New Roman" w:hAnsi="Times New Roman"/>
          <w:color w:val="000000"/>
          <w:sz w:val="24"/>
          <w:szCs w:val="24"/>
        </w:rPr>
        <w:t xml:space="preserve">▪ Chapter 3 Methodology:  Details the research design, data sources, preprocessing pipeline, feature engineering strategy, modelling approaches, evaluation framework, and inventory policy integration procedure. Justifies the selection of the CRISP-DM framework, the M5-Forecasting dataset, the OUTL inventory policy, and the specific models chosen for comparison.</w:t>
      </w:r>
    </w:p>
    <w:p>
      <w:pPr>
        <w:spacing w:after="160" w:line="300"/>
        <w:jc w:val="both"/>
      </w:pPr>
      <w:r>
        <w:rPr>
          <w:rFonts w:ascii="Times New Roman" w:cs="Times New Roman" w:eastAsia="Times New Roman" w:hAnsi="Times New Roman"/>
          <w:color w:val="000000"/>
          <w:sz w:val="24"/>
          <w:szCs w:val="24"/>
        </w:rPr>
        <w:t xml:space="preserve">▪ Chapter 4 Model Development and Results:  Presents the implementation and comparative evaluation of all forecasting models, reports accuracy metrics (MAE, RMSE, MAPE) across models and product categories, and identifies the best-performing approach for integration with the inventory framework.</w:t>
      </w:r>
    </w:p>
    <w:p>
      <w:pPr>
        <w:spacing w:after="160" w:line="300"/>
        <w:jc w:val="both"/>
      </w:pPr>
      <w:r>
        <w:rPr>
          <w:rFonts w:ascii="Times New Roman" w:cs="Times New Roman" w:eastAsia="Times New Roman" w:hAnsi="Times New Roman"/>
          <w:color w:val="000000"/>
          <w:sz w:val="24"/>
          <w:szCs w:val="24"/>
        </w:rPr>
        <w:t xml:space="preserve">▪ Chapter 5 Inventory Optimisation and Dashboard:  Demonstrates how forecasting outputs are integrated with the OUTL policy to produce safety stock levels, reorder points, and total cost estimates. Presents the Power BI dashboard and evaluates operational impact through simulation and sensitivity analysis.</w:t>
      </w:r>
    </w:p>
    <w:p>
      <w:pPr>
        <w:spacing w:after="160" w:line="300"/>
        <w:jc w:val="both"/>
      </w:pPr>
      <w:r>
        <w:rPr>
          <w:rFonts w:ascii="Times New Roman" w:cs="Times New Roman" w:eastAsia="Times New Roman" w:hAnsi="Times New Roman"/>
          <w:color w:val="000000"/>
          <w:sz w:val="24"/>
          <w:szCs w:val="24"/>
        </w:rPr>
        <w:t xml:space="preserve">▪ Chapter 6 Discussion:  Interprets results in the context of existing literature, evaluates the extent to which research objectives have been achieved, discusses the practical implications for SME retailers, and acknowledges study limitations.</w:t>
      </w:r>
    </w:p>
    <w:p>
      <w:pPr>
        <w:spacing w:after="160" w:line="300"/>
        <w:jc w:val="both"/>
      </w:pPr>
      <w:r>
        <w:rPr>
          <w:rFonts w:ascii="Times New Roman" w:cs="Times New Roman" w:eastAsia="Times New Roman" w:hAnsi="Times New Roman"/>
          <w:color w:val="000000"/>
          <w:sz w:val="24"/>
          <w:szCs w:val="24"/>
        </w:rPr>
        <w:t xml:space="preserve">▪ Chapter 7 Conclusion and Future Work:  Summarises key findings and contributions, and outlines directions for future research including real-time streaming data integration, probabilistic demand forecasting, multi-echelon supply chain extension, and live deployment validation with retail partners.</w:t>
      </w:r>
    </w:p>
    <w:p>
      <w:pPr>
        <w:spacing w:after="130" w:before="300"/>
      </w:pPr>
      <w:r>
        <w:rPr>
          <w:rFonts w:ascii="Times New Roman" w:cs="Times New Roman" w:eastAsia="Times New Roman" w:hAnsi="Times New Roman"/>
          <w:b/>
          <w:bCs/>
          <w:color w:val="1F3864"/>
          <w:sz w:val="28"/>
          <w:szCs w:val="28"/>
        </w:rPr>
        <w:t xml:space="preserve">1.5 Theoretical and Conceptual Foundations</w:t>
      </w:r>
    </w:p>
    <w:p>
      <w:pPr>
        <w:spacing w:after="110" w:before="220"/>
      </w:pPr>
      <w:r>
        <w:rPr>
          <w:rFonts w:ascii="Times New Roman" w:cs="Times New Roman" w:eastAsia="Times New Roman" w:hAnsi="Times New Roman"/>
          <w:b/>
          <w:bCs/>
          <w:color w:val="2E4D7B"/>
          <w:sz w:val="25"/>
          <w:szCs w:val="25"/>
        </w:rPr>
        <w:t xml:space="preserve">1.5.1 Classical Inventory Theory</w:t>
      </w:r>
    </w:p>
    <w:p>
      <w:pPr>
        <w:spacing w:after="160" w:line="300"/>
        <w:jc w:val="both"/>
      </w:pPr>
      <w:r>
        <w:rPr>
          <w:rFonts w:ascii="Times New Roman" w:cs="Times New Roman" w:eastAsia="Times New Roman" w:hAnsi="Times New Roman"/>
          <w:color w:val="000000"/>
          <w:sz w:val="24"/>
          <w:szCs w:val="24"/>
        </w:rPr>
        <w:t xml:space="preserve">Classical inventory theory, developed from the foundational Economic Order Quantity (EOQ) model of Harris (1913) and extended through periodic review systems (Silver, Pyke &amp; Thomas, 2017), provides the operational backbone for inventory decision-making in this study. The core concepts of safety stock, reorder point, service level, and order-up-to level formalised in the OUTL (R, s, S) policy translate demand forecasts into actionable replenishment decisions. The Gaussian safety stock formula SS = z·σ·√(R+L) bridges the statistical properties of the demand forecast (σ, the standard deviation of forecast errors) with the operational constraint (L, the supply lead time) and the business requirement (z, the service-level z-score). However, this formula assumes forecast residuals are normally distributed an assumption that intermittent retail demand, which is right-skewed and zero-inflated, systematically violates. A central theoretical motivation of this study is therefore the extension of classical inventory theory through an empirical quantile safety stock formulation, SS₂ₕ₅ = (q₀.₉₅ − q₀.₅₀)·√(R+L), derived from LightGBM quantile-regression forecasts, which captures the true shape of the demand distribution rather than imposing parametric normality. The comparison of Gaussian and empirical-quantile formulations across realistic operational scenarios is the primary analytical contribution of Chapter 5.</w:t>
      </w:r>
    </w:p>
    <w:p>
      <w:pPr>
        <w:spacing w:after="110" w:before="220"/>
      </w:pPr>
      <w:r>
        <w:rPr>
          <w:rFonts w:ascii="Times New Roman" w:cs="Times New Roman" w:eastAsia="Times New Roman" w:hAnsi="Times New Roman"/>
          <w:b/>
          <w:bCs/>
          <w:color w:val="2E4D7B"/>
          <w:sz w:val="25"/>
          <w:szCs w:val="25"/>
        </w:rPr>
        <w:t xml:space="preserve">1.5.2 Machine Learning and Ensemble Learning Theory</w:t>
      </w:r>
    </w:p>
    <w:p>
      <w:pPr>
        <w:spacing w:after="160" w:line="300"/>
        <w:jc w:val="both"/>
      </w:pPr>
      <w:r>
        <w:rPr>
          <w:rFonts w:ascii="Times New Roman" w:cs="Times New Roman" w:eastAsia="Times New Roman" w:hAnsi="Times New Roman"/>
          <w:color w:val="000000"/>
          <w:sz w:val="24"/>
          <w:szCs w:val="24"/>
        </w:rPr>
        <w:t xml:space="preserve">Ensemble learning theory; the principle that combining predictions from multiple models reduces bias and variance relative to any single constituent model underpins the choice of gradient boosting ensembles as the primary modelling architecture. The theoretical result by Zhou et al. (2002) that combining diverse partial predictors yields superior generalisation motivates the stacking ensemble design of Chapter 4, in which LightGBM, XGBoost, and Random Forest base learners are combined through a non-negative Ridge regression meta-learner that learns optimal combination weights from validation-set predictions. This stacking architecture is preferred over the sequential residual-correction design used in some prior work (Barghi, 2025) because it avoids overfitting successive layers to the noise of earlier layers and is the standard heterogeneous ensemble approach in the modern forecasting literature (Mitra et al., 2022; Seyedan et al., 2023). The specific models selected LightGBM for computational efficiency and histogram-based binning on large datasets, XGBoost for L1/L2 regularisation and generalisation, Random Forest for stable variance reduction, and LSTM for temporal dependency modelling are each grounded in established theoretical properties validated in the retail forecasting literature (Barghi, 2025; Nasseri et al., 2023; Punia et al., 2020). Quantile regression theory provides the probabilistic foundation for Tier 5: by minimising the asymmetric pinball loss at each target quantile α, LightGBM quantile models produce calibrated distributional forecasts that, unlike point forecasts, directly encode the upper tail of demand required for safety-stock calculations. This probabilistic framework is the theoretical bridge between the forecasting and inventory layers of the study.</w:t>
      </w:r>
    </w:p>
    <w:p>
      <w:pPr>
        <w:spacing w:after="110" w:before="220"/>
      </w:pPr>
      <w:r>
        <w:rPr>
          <w:rFonts w:ascii="Times New Roman" w:cs="Times New Roman" w:eastAsia="Times New Roman" w:hAnsi="Times New Roman"/>
          <w:b/>
          <w:bCs/>
          <w:color w:val="2E4D7B"/>
          <w:sz w:val="25"/>
          <w:szCs w:val="25"/>
        </w:rPr>
        <w:t xml:space="preserve">1.5.3 Supply Chain and Demand Uncertainty Theory</w:t>
      </w:r>
    </w:p>
    <w:p>
      <w:pPr>
        <w:spacing w:after="160" w:line="300"/>
        <w:jc w:val="both"/>
      </w:pPr>
      <w:r>
        <w:rPr>
          <w:rFonts w:ascii="Times New Roman" w:cs="Times New Roman" w:eastAsia="Times New Roman" w:hAnsi="Times New Roman"/>
          <w:color w:val="000000"/>
          <w:sz w:val="24"/>
          <w:szCs w:val="24"/>
        </w:rPr>
        <w:t xml:space="preserve">Demand uncertainty theory, which recognises that real-world retail demand cannot be forecast with certainty and that inventory policies must be designed to perform robustly across the distribution of possible demand outcomes, motivates several key design choices in this study. The finding that the Gaussian safety-stock formula systematically under-allocates buffer inventory for intermittent demand covering approximately the 83rd rather than the targeted 95th percentile of empirical demand is grounded in this theoretical framework: the formula’s parametric assumption of normality fails precisely because the true demand distribution is right-skewed and heavy-tailed relative to a normal distribution with the same mean and variance. </w:t>
      </w:r>
      <w:r>
        <w:rPr>
          <w:rFonts w:ascii="Times New Roman" w:cs="Times New Roman" w:eastAsia="Times New Roman" w:hAnsi="Times New Roman"/>
          <w:color w:val="C00000"/>
          <w:sz w:val="24"/>
          <w:szCs w:val="24"/>
        </w:rPr>
        <w:t xml:space="preserve">Whether this distributional under-allocation translates into realised stockouts and higher cost — or remains a property of the distribution with no operational effect — is measured directly in Chapter 5 rather than assumed.</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color w:val="C00000"/>
          <w:sz w:val="24"/>
          <w:szCs w:val="24"/>
        </w:rPr>
        <w:t xml:space="preserve">The sensitivity analysis in Chapter 5, which examines how inventory cost outcomes vary across lead-time scenarios (7, 10, 14, 21 days) and stockout cost assumptions (multiplier 0.4, 1.0, 2.0×),</w:t>
      </w:r>
      <w:r>
        <w:rPr>
          <w:rFonts w:ascii="Times New Roman" w:cs="Times New Roman" w:eastAsia="Times New Roman" w:hAnsi="Times New Roman"/>
          <w:color w:val="000000"/>
          <w:sz w:val="24"/>
          <w:szCs w:val="24"/>
        </w:rPr>
        <w:t xml:space="preserve"> is grounded in the recognition that supply chain resilience requires robustness to parameter uncertainty rather than optimisation for a single point estimate (Seyedan et al., 2023; Silver, Pyke &amp; Thomas, 2017).</w:t>
      </w:r>
    </w:p>
    <w:p>
      <w:pPr>
        <w:spacing w:after="110" w:before="220"/>
      </w:pPr>
      <w:r>
        <w:rPr>
          <w:rFonts w:ascii="Times New Roman" w:cs="Times New Roman" w:eastAsia="Times New Roman" w:hAnsi="Times New Roman"/>
          <w:b/>
          <w:bCs/>
          <w:color w:val="2E4D7B"/>
          <w:sz w:val="25"/>
          <w:szCs w:val="25"/>
        </w:rPr>
        <w:t xml:space="preserve">1.5.4 CRISP-DM as a Research Methodology Framework</w:t>
      </w:r>
    </w:p>
    <w:p>
      <w:pPr>
        <w:spacing w:after="160" w:line="300"/>
        <w:jc w:val="both"/>
      </w:pPr>
      <w:r>
        <w:rPr>
          <w:rFonts w:ascii="Times New Roman" w:cs="Times New Roman" w:eastAsia="Times New Roman" w:hAnsi="Times New Roman"/>
          <w:color w:val="000000"/>
          <w:sz w:val="24"/>
          <w:szCs w:val="24"/>
        </w:rPr>
        <w:t xml:space="preserve">The Cross-Industry Standard Process for Data Mining (CRISP-DM) provides the overarching methodological structure that connects the three theoretical domains above into a coherent research workflow. By progressing iteratively from business understanding through data preparation, modelling, evaluation, and toward deployment, CRISP-DM ensures that each technical decision in this study from feature engineering choices to model selection to dashboard design is anchored in the operational business problem rather than pursued as a purely academic exercise. This framework has been adopted in several closely related retail forecasting studies (Ungureanu, 2025; Bastos, 2023) and its iterative structure is particularly well-suited to the cycles of model refinement and inventory policy calibration that characterise this research.</w:t>
      </w:r>
    </w:p>
    <w:p>
      <w:pPr>
        <w:spacing w:after="130" w:before="300"/>
      </w:pPr>
      <w:r>
        <w:rPr>
          <w:rFonts w:ascii="Times New Roman" w:cs="Times New Roman" w:eastAsia="Times New Roman" w:hAnsi="Times New Roman"/>
          <w:b/>
          <w:bCs/>
          <w:color w:val="1F3864"/>
          <w:sz w:val="28"/>
          <w:szCs w:val="28"/>
        </w:rPr>
        <w:t xml:space="preserve">1.6 Contributions of the Study</w:t>
      </w:r>
    </w:p>
    <w:p>
      <w:pPr>
        <w:spacing w:after="110" w:before="220"/>
      </w:pPr>
      <w:r>
        <w:rPr>
          <w:rFonts w:ascii="Times New Roman" w:cs="Times New Roman" w:eastAsia="Times New Roman" w:hAnsi="Times New Roman"/>
          <w:b/>
          <w:bCs/>
          <w:color w:val="2E4D7B"/>
          <w:sz w:val="25"/>
          <w:szCs w:val="25"/>
        </w:rPr>
        <w:t xml:space="preserve">1.6.1 Methodological Contribution</w:t>
      </w:r>
    </w:p>
    <w:p>
      <w:pPr>
        <w:spacing w:after="160" w:line="300"/>
        <w:jc w:val="both"/>
      </w:pPr>
      <w:r>
        <w:rPr>
          <w:rFonts w:ascii="Times New Roman" w:cs="Times New Roman" w:eastAsia="Times New Roman" w:hAnsi="Times New Roman"/>
          <w:color w:val="000000"/>
          <w:sz w:val="24"/>
          <w:szCs w:val="24"/>
        </w:rPr>
        <w:t xml:space="preserve">The study makes two methodological contributions. First, it provides the first quantitative measurement on the M5 benchmark of the Gaussian safety-stock under-allocation gap for intermittent retail demand: the empirical 95th-percentile demand spread, derived from LightGBM quantile regression, is 1.36 times the Gaussian-implied buffer at the same nominal service level, corresponding to an effective service level of approximately 83% when 95% is targeted. </w:t>
      </w:r>
      <w:r>
        <w:rPr>
          <w:rFonts w:ascii="Times New Roman" w:cs="Times New Roman" w:eastAsia="Times New Roman" w:hAnsi="Times New Roman"/>
          <w:color w:val="C00000"/>
          <w:sz w:val="24"/>
          <w:szCs w:val="24"/>
        </w:rPr>
        <w:t xml:space="preserve">This measurement, and the empirical quantile safety-stock formulation built upon it, represents a principled extension of the textbook (R, s, S) policy to non-Gaussian demand distributions; whether that extension yields an operational cost benefit is shown in Chapter 5 to depend on the demand regime.</w:t>
      </w:r>
      <w:r>
        <w:rPr>
          <w:rFonts w:ascii="Times New Roman" w:cs="Times New Roman" w:eastAsia="Times New Roman" w:hAnsi="Times New Roman"/>
          <w:color w:val="000000"/>
          <w:sz w:val="24"/>
          <w:szCs w:val="24"/>
        </w:rPr>
        <w:t xml:space="preserve"> Second, the study develops and validates a five-tier comparative forecasting pipeline spanning classical statistical baselines, gradient boosting models with Tweedie loss, a stacked LSTM, a Ridge-regression stacking ensemble, and a five-quantile LightGBM model integrated end-to-end with the OUTL inventory policy and evaluated on a stratified subsample of 502 product-store series from the M5-Forecasting (Walmart) dataset. The pipeline is implemented exclusively in free and open-source tooling, runs on a standard 16 GB-RAM laptop in under three hours, and is documented to the level required for independent replication providing a reproducible methodological template for future retail forecasting and inventory research.</w:t>
      </w:r>
    </w:p>
    <w:p>
      <w:pPr>
        <w:spacing w:after="110" w:before="220"/>
      </w:pPr>
      <w:r>
        <w:rPr>
          <w:rFonts w:ascii="Times New Roman" w:cs="Times New Roman" w:eastAsia="Times New Roman" w:hAnsi="Times New Roman"/>
          <w:b/>
          <w:bCs/>
          <w:color w:val="2E4D7B"/>
          <w:sz w:val="25"/>
          <w:szCs w:val="25"/>
        </w:rPr>
        <w:t xml:space="preserve">1.6.2 Practical Contribution</w:t>
      </w:r>
    </w:p>
    <w:p>
      <w:pPr>
        <w:spacing w:after="160" w:line="300"/>
        <w:jc w:val="both"/>
      </w:pPr>
      <w:r>
        <w:rPr>
          <w:rFonts w:ascii="Times New Roman" w:cs="Times New Roman" w:eastAsia="Times New Roman" w:hAnsi="Times New Roman"/>
          <w:color w:val="000000"/>
          <w:sz w:val="24"/>
          <w:szCs w:val="24"/>
        </w:rPr>
        <w:t xml:space="preserve">The study delivers a complete, end-to-end analytical workflow from raw M5 data ingestion through preprocessing, feature engineering, model training, OUTL inventory calculation, and Power BI dashboard export that is explicitly designed for deployment in SME retail environments. The Power BI dashboard is structured across four operational pages: Forecast Overview (actual sales, ML ensemble and classical forecasts, and LightGBM quantile fan); Inventory Status (safety stock, reorder point, and order-up-to-level per product-store with conditional formatting for items approaching reorder); Cost Analysis (total annual cost decomposed by policy and lead-time scenario); and Sensitivity Analysis (cost-reduction curves across MAPE, service level, and stockout cost). The SME accessibility commitment is implemented through three concrete constraints: all tooling is free and open-source (Python, scikit-learn, LightGBM, XGBoost, TensorFlow, Power BI Desktop free tier); the full pipeline runs in under three hours on a standard 16 GB-RAM laptop with no GPU; and the only data inputs required daily SKU-store sales, weekly prices, and a promotional/event calendar are standard outputs of off-the-shelf point-of-sale systems. These specifications collectively ensure the framework is accessible to SMEs without enterprise-scale infrastructure, licensing, or data science expertise.</w:t>
      </w:r>
    </w:p>
    <w:p>
      <w:pPr>
        <w:spacing w:after="110" w:before="220"/>
      </w:pPr>
      <w:r>
        <w:rPr>
          <w:rFonts w:ascii="Times New Roman" w:cs="Times New Roman" w:eastAsia="Times New Roman" w:hAnsi="Times New Roman"/>
          <w:b/>
          <w:bCs/>
          <w:color w:val="2E4D7B"/>
          <w:sz w:val="25"/>
          <w:szCs w:val="25"/>
        </w:rPr>
        <w:t xml:space="preserve">1.6.3 Research Contribution</w:t>
      </w:r>
    </w:p>
    <w:p>
      <w:pPr>
        <w:spacing w:after="160" w:line="300"/>
        <w:jc w:val="both"/>
      </w:pPr>
      <w:r>
        <w:rPr>
          <w:rFonts w:ascii="Times New Roman" w:cs="Times New Roman" w:eastAsia="Times New Roman" w:hAnsi="Times New Roman"/>
          <w:color w:val="C00000"/>
          <w:sz w:val="24"/>
          <w:szCs w:val="24"/>
        </w:rPr>
        <w:t xml:space="preserve">The study provides three empirical findings that advance the research literature. First, it shows that the operational value of ML forecasting in retail inventory management is conditional on the demand regime rather than automatic. When inventory outcomes are measured by forward simulation rather than assumed, the ML-Gaussian policy is indistinguishable from the classical baseline and the empirical-quantile policy does not lower cost on the M5 test window, because the standard safety-stock buffers already meet demand in full — a 100% realised service level, with no stockouts to avert. Second, and relatedly, the study quantifies a granularity mismatch in the published benchmarks: the 10–25% accuracy and 5–15% cost-reduction figures reported by Barghi (2025) and Seyedan et al. (2023) were obtained on aggregated retail and supply-chain data, where demand is comparatively smooth; at SKU-store-day granularity the attainable accuracy gain is far smaller (approximately 4.5% in MAE for the best ensemble over the strongest classical baseline) and the inventory benefit is regime-dependent. The shortfall relative to those benchmarks is therefore not a deficiency of the pipeline but evidence that the benchmarks are conditional on aggregation level. Third, the study delimits the boundary condition under which the quantile-based safety-stock reformulation pays off: it reduces cost only when the baseline policy is exposed to genuine stockout risk, and adds idle holding cost when service is already saturated — a result that gives practitioners an explicit test for whether the more complex policy is worth adopting in their own setting. Together, these findings reframe the contribution from a claimed cost saving to a rigorous, simulation-based characterisation of when ML forecasting and distributional safety stock affect inventory outcomes, and when they do not.</w:t>
      </w:r>
    </w:p>
    <w:p>
      <w:pPr>
        <w:spacing w:after="160" w:line="300"/>
        <w:jc w:val="both"/>
      </w:pPr>
      <w:r>
        <w:rPr>
          <w:rFonts w:ascii="Times New Roman" w:cs="Times New Roman" w:eastAsia="Times New Roman" w:hAnsi="Times New Roman"/>
          <w:color w:val="000000"/>
          <w:sz w:val="24"/>
          <w:szCs w:val="24"/>
        </w:rPr>
        <w:t xml:space="preserve">In summary, this thesis is positioned at the intersection of data science, operations management, and retail analytics. It moves deliberately beyond the production of accurate forecasts as an end in themselves, toward a fully integrated decision-driven framework that connects predictive modelling to operational inventory policy, delivers outputs through an accessible dashboard, and is explicitly designed for applicability in the SME retail environments where the need for improved demand forecasting is greatest and the current gap between need and capability is widest.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2026-06-22T08:54:43.145Z</dcterms:created>
  <dcterms:modified xsi:type="dcterms:W3CDTF">2026-06-22T08:54:43.145Z</dcterms:modified>
</cp:coreProperties>
</file>

<file path=docProps/custom.xml><?xml version="1.0" encoding="utf-8"?>
<Properties xmlns="http://schemas.openxmlformats.org/officeDocument/2006/custom-properties" xmlns:vt="http://schemas.openxmlformats.org/officeDocument/2006/docPropsVTypes"/>
</file>