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655A4" w14:textId="77777777" w:rsidR="006F2E77" w:rsidRDefault="00000000">
      <w:pPr>
        <w:jc w:val="center"/>
      </w:pPr>
      <w:r>
        <w:rPr>
          <w:b/>
          <w:sz w:val="40"/>
        </w:rPr>
        <w:t>CHAPTER 4</w:t>
      </w:r>
    </w:p>
    <w:p w14:paraId="16E07ED3" w14:textId="77777777" w:rsidR="006F2E77" w:rsidRDefault="00000000">
      <w:pPr>
        <w:spacing w:after="360"/>
        <w:jc w:val="center"/>
      </w:pPr>
      <w:r>
        <w:rPr>
          <w:b/>
          <w:sz w:val="32"/>
        </w:rPr>
        <w:t>Model Development and Results</w:t>
      </w:r>
    </w:p>
    <w:p w14:paraId="3D6E1D13" w14:textId="77777777" w:rsidR="006F2E77" w:rsidRDefault="00000000">
      <w:pPr>
        <w:pStyle w:val="Heading1"/>
      </w:pPr>
      <w:r>
        <w:rPr>
          <w:rFonts w:ascii="Arial" w:hAnsi="Arial"/>
          <w:color w:val="000000"/>
        </w:rPr>
        <w:t>4.1 Introduction</w:t>
      </w:r>
    </w:p>
    <w:p w14:paraId="445E3320" w14:textId="77777777" w:rsidR="006F2E77" w:rsidRDefault="00000000">
      <w:pPr>
        <w:spacing w:after="120"/>
      </w:pPr>
      <w:r>
        <w:t>This chapter presents the empirical implementation and comparative evaluation of the forecasting framework defined in Chapter 3. Five model tiers are trained and tested on a stratified subsample of the M5-Forecasting (Walmart) dataset: six classical statistical baselines, three standard machine learning models, a deep learning LSTM, a stacking ensemble combining the tree-based learners through a Ridge meta-learner, and a quantile-regression model that supports the inventory analysis in Chapter 5. All models are evaluated against five complementary accuracy metrics (MAE, RMSE, MAPE, WMAPE, and Pred(10%)) computed on a hold-out test set spanning eight weeks of out-of-sample data.</w:t>
      </w:r>
    </w:p>
    <w:p w14:paraId="6CDC2891" w14:textId="77777777" w:rsidR="006F2E77" w:rsidRDefault="00000000">
      <w:pPr>
        <w:spacing w:after="120"/>
      </w:pPr>
      <w:r>
        <w:t>The chapter is structured as follows. Section 4.2 documents the implementation environment. Section 4.3 summarises the data preparation outcomes. Sections 4.4–4.8 report the results for each of the five model tiers in turn. Section 4.9 presents the consolidated comparative analysis. Section 4.10 evaluates the results against the quantitative targets stated in Chapter 1. Sections 4.11 and 4.12 cover model interpretability via SHAP analysis and performance fairness across product categories and states, addressing the responsible-AI dimension of the methodology. Section 4.13 discusses the findings in light of the literature, and Section 4.14 summarises the chapter and motivates the inventory analysis of Chapter 5.</w:t>
      </w:r>
    </w:p>
    <w:p w14:paraId="550D29A0" w14:textId="77777777" w:rsidR="006F2E77" w:rsidRDefault="00000000">
      <w:pPr>
        <w:pStyle w:val="Heading1"/>
      </w:pPr>
      <w:r>
        <w:rPr>
          <w:rFonts w:ascii="Arial" w:hAnsi="Arial"/>
          <w:color w:val="000000"/>
        </w:rPr>
        <w:t>4.2 Implementation Environment</w:t>
      </w:r>
    </w:p>
    <w:p w14:paraId="7502CEFD" w14:textId="77777777" w:rsidR="006F2E77" w:rsidRDefault="00000000">
      <w:pPr>
        <w:spacing w:after="120"/>
      </w:pPr>
      <w:r>
        <w:t>The end-to-end pipeline is implemented in Python 3.11 running in a dedicated virtual environment. The principal libraries and their versions are listed in Table 4.1. All computation is performed on a single laptop with 16 GB RAM and a multi-core CPU; no GPU is used at any stage, consistent with the SME accessibility principle articulated in Chapter 1 and §3.11. The end-to-end runtime — from raw data ingestion through to the production of the Power BI export CSVs — is under three hours on the 502-series stratified subsample, with LSTM training the most computationally demanding stage at approximately 30 minutes.</w:t>
      </w:r>
    </w:p>
    <w:p w14:paraId="07CBC762" w14:textId="77777777" w:rsidR="006F2E77" w:rsidRDefault="00000000">
      <w:pPr>
        <w:spacing w:before="160" w:after="80"/>
      </w:pPr>
      <w:r>
        <w:rPr>
          <w:b/>
          <w:sz w:val="20"/>
        </w:rPr>
        <w:t>Table 4.1: Implementation environment</w:t>
      </w:r>
    </w:p>
    <w:tbl>
      <w:tblPr>
        <w:tblStyle w:val="LightGrid-Accent1"/>
        <w:tblW w:w="0" w:type="auto"/>
        <w:tblLook w:val="04A0" w:firstRow="1" w:lastRow="0" w:firstColumn="1" w:lastColumn="0" w:noHBand="0" w:noVBand="1"/>
      </w:tblPr>
      <w:tblGrid>
        <w:gridCol w:w="4680"/>
        <w:gridCol w:w="4680"/>
      </w:tblGrid>
      <w:tr w:rsidR="006F2E77" w14:paraId="1F1007D6"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shd w:val="clear" w:color="auto" w:fill="D5E8F0"/>
            <w:vAlign w:val="center"/>
          </w:tcPr>
          <w:p w14:paraId="2FACBDAA" w14:textId="77777777" w:rsidR="006F2E77" w:rsidRDefault="00000000">
            <w:r>
              <w:rPr>
                <w:sz w:val="20"/>
              </w:rPr>
              <w:t>Component</w:t>
            </w:r>
          </w:p>
        </w:tc>
        <w:tc>
          <w:tcPr>
            <w:tcW w:w="4680" w:type="dxa"/>
            <w:shd w:val="clear" w:color="auto" w:fill="D5E8F0"/>
            <w:vAlign w:val="center"/>
          </w:tcPr>
          <w:p w14:paraId="10F4EC0A"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Detail</w:t>
            </w:r>
          </w:p>
        </w:tc>
      </w:tr>
      <w:tr w:rsidR="006F2E77" w14:paraId="08BE2A10"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45096C2B" w14:textId="77777777" w:rsidR="006F2E77" w:rsidRDefault="00000000">
            <w:r>
              <w:rPr>
                <w:sz w:val="20"/>
              </w:rPr>
              <w:t>Python</w:t>
            </w:r>
          </w:p>
        </w:tc>
        <w:tc>
          <w:tcPr>
            <w:tcW w:w="4680" w:type="dxa"/>
            <w:vAlign w:val="center"/>
          </w:tcPr>
          <w:p w14:paraId="158775C8"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3.11 (CPython)</w:t>
            </w:r>
          </w:p>
        </w:tc>
      </w:tr>
      <w:tr w:rsidR="006F2E77" w14:paraId="58F3D4F4"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02606854" w14:textId="77777777" w:rsidR="006F2E77" w:rsidRDefault="00000000">
            <w:r>
              <w:rPr>
                <w:sz w:val="20"/>
              </w:rPr>
              <w:t>Data handling</w:t>
            </w:r>
          </w:p>
        </w:tc>
        <w:tc>
          <w:tcPr>
            <w:tcW w:w="4680" w:type="dxa"/>
            <w:vAlign w:val="center"/>
          </w:tcPr>
          <w:p w14:paraId="478F210D"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pandas 2.x, numpy, pyarrow</w:t>
            </w:r>
          </w:p>
        </w:tc>
      </w:tr>
      <w:tr w:rsidR="006F2E77" w14:paraId="1DD946AB"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1D3D6E55" w14:textId="77777777" w:rsidR="006F2E77" w:rsidRDefault="00000000">
            <w:r>
              <w:rPr>
                <w:sz w:val="20"/>
              </w:rPr>
              <w:t>Classical baselines</w:t>
            </w:r>
          </w:p>
        </w:tc>
        <w:tc>
          <w:tcPr>
            <w:tcW w:w="4680" w:type="dxa"/>
            <w:vAlign w:val="center"/>
          </w:tcPr>
          <w:p w14:paraId="58BE769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statsforecast (Nixtla)</w:t>
            </w:r>
          </w:p>
        </w:tc>
      </w:tr>
      <w:tr w:rsidR="006F2E77" w14:paraId="4E2B0B10"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3378DB99" w14:textId="77777777" w:rsidR="006F2E77" w:rsidRDefault="00000000">
            <w:r>
              <w:rPr>
                <w:sz w:val="20"/>
              </w:rPr>
              <w:t>Gradient boosting</w:t>
            </w:r>
          </w:p>
        </w:tc>
        <w:tc>
          <w:tcPr>
            <w:tcW w:w="4680" w:type="dxa"/>
            <w:vAlign w:val="center"/>
          </w:tcPr>
          <w:p w14:paraId="3E8D4F61"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lightgbm, xgboost</w:t>
            </w:r>
          </w:p>
        </w:tc>
      </w:tr>
      <w:tr w:rsidR="006F2E77" w14:paraId="43EE3C2F"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645441F2" w14:textId="77777777" w:rsidR="006F2E77" w:rsidRDefault="00000000">
            <w:r>
              <w:rPr>
                <w:sz w:val="20"/>
              </w:rPr>
              <w:t>Random Forest</w:t>
            </w:r>
          </w:p>
        </w:tc>
        <w:tc>
          <w:tcPr>
            <w:tcW w:w="4680" w:type="dxa"/>
            <w:vAlign w:val="center"/>
          </w:tcPr>
          <w:p w14:paraId="0F72D8A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scikit-learn</w:t>
            </w:r>
          </w:p>
        </w:tc>
      </w:tr>
      <w:tr w:rsidR="006F2E77" w14:paraId="0B72197F"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2587B5C9" w14:textId="77777777" w:rsidR="006F2E77" w:rsidRDefault="00000000">
            <w:r>
              <w:rPr>
                <w:sz w:val="20"/>
              </w:rPr>
              <w:t>Deep learning</w:t>
            </w:r>
          </w:p>
        </w:tc>
        <w:tc>
          <w:tcPr>
            <w:tcW w:w="4680" w:type="dxa"/>
            <w:vAlign w:val="center"/>
          </w:tcPr>
          <w:p w14:paraId="6255AA46"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TensorFlow / Keras</w:t>
            </w:r>
          </w:p>
        </w:tc>
      </w:tr>
      <w:tr w:rsidR="006F2E77" w14:paraId="4CE9928E"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3348DD5A" w14:textId="77777777" w:rsidR="006F2E77" w:rsidRDefault="00000000">
            <w:r>
              <w:rPr>
                <w:sz w:val="20"/>
              </w:rPr>
              <w:t>Interpretability</w:t>
            </w:r>
          </w:p>
        </w:tc>
        <w:tc>
          <w:tcPr>
            <w:tcW w:w="4680" w:type="dxa"/>
            <w:vAlign w:val="center"/>
          </w:tcPr>
          <w:p w14:paraId="0D6092BA"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shap (TreeExplainer)</w:t>
            </w:r>
          </w:p>
        </w:tc>
      </w:tr>
      <w:tr w:rsidR="006F2E77" w14:paraId="0C96D073"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37A83923" w14:textId="77777777" w:rsidR="006F2E77" w:rsidRDefault="00000000">
            <w:r>
              <w:rPr>
                <w:sz w:val="20"/>
              </w:rPr>
              <w:t>Visualisation</w:t>
            </w:r>
          </w:p>
        </w:tc>
        <w:tc>
          <w:tcPr>
            <w:tcW w:w="4680" w:type="dxa"/>
            <w:vAlign w:val="center"/>
          </w:tcPr>
          <w:p w14:paraId="4BA4CE9A"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matplotlib, seaborn</w:t>
            </w:r>
          </w:p>
        </w:tc>
      </w:tr>
      <w:tr w:rsidR="006F2E77" w14:paraId="562008CB"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10C791D7" w14:textId="77777777" w:rsidR="006F2E77" w:rsidRDefault="00000000">
            <w:r>
              <w:rPr>
                <w:sz w:val="20"/>
              </w:rPr>
              <w:t>Dashboard</w:t>
            </w:r>
          </w:p>
        </w:tc>
        <w:tc>
          <w:tcPr>
            <w:tcW w:w="4680" w:type="dxa"/>
            <w:vAlign w:val="center"/>
          </w:tcPr>
          <w:p w14:paraId="53329236"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Power BI Desktop (free tier)</w:t>
            </w:r>
          </w:p>
        </w:tc>
      </w:tr>
      <w:tr w:rsidR="006F2E77" w14:paraId="09BF50FB"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vAlign w:val="center"/>
          </w:tcPr>
          <w:p w14:paraId="25FE3228" w14:textId="77777777" w:rsidR="006F2E77" w:rsidRDefault="00000000">
            <w:r>
              <w:rPr>
                <w:sz w:val="20"/>
              </w:rPr>
              <w:lastRenderedPageBreak/>
              <w:t>Compute</w:t>
            </w:r>
          </w:p>
        </w:tc>
        <w:tc>
          <w:tcPr>
            <w:tcW w:w="4680" w:type="dxa"/>
            <w:vAlign w:val="center"/>
          </w:tcPr>
          <w:p w14:paraId="23D6FD47"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Single laptop, 16 GB RAM, multi-core CPU, no GPU</w:t>
            </w:r>
          </w:p>
        </w:tc>
      </w:tr>
    </w:tbl>
    <w:p w14:paraId="0B926BE7" w14:textId="77777777" w:rsidR="006F2E77" w:rsidRDefault="00000000">
      <w:pPr>
        <w:pStyle w:val="Heading1"/>
      </w:pPr>
      <w:r>
        <w:rPr>
          <w:rFonts w:ascii="Arial" w:hAnsi="Arial"/>
          <w:color w:val="000000"/>
        </w:rPr>
        <w:t>4.3 Data Preparation Summary</w:t>
      </w:r>
    </w:p>
    <w:p w14:paraId="0B4231AC" w14:textId="77777777" w:rsidR="006F2E77" w:rsidRDefault="00000000">
      <w:pPr>
        <w:spacing w:after="120"/>
      </w:pPr>
      <w:r>
        <w:t>Following the preprocessing pipeline defined in §3.4, the raw M5 dataset is integrated, cleaned, and reduced to the stratified subsample of 502 product-store series. The subsample preserves the category × state proportions of the parent dataset (Foods 47%, Hobbies 19%, Household 34%; California 40%, Texas 30%, Wisconsin 30%) and yields approximately 933,000 feature-engineered records after the warm-up window required for lag and rolling features.</w:t>
      </w:r>
    </w:p>
    <w:p w14:paraId="0578422B" w14:textId="77777777" w:rsidR="006F2E77" w:rsidRDefault="00000000">
      <w:pPr>
        <w:spacing w:after="120"/>
      </w:pPr>
      <w:r>
        <w:t>The chronological train/validation/test split defined in §3.6.2 produces 874,986 training rows (29 March 2011 to 31 December 2015), 30,120 validation rows (1 January 2016 to 29 February 2016), and 27,610 test rows (1 March 2016 to 24 April 2016). All 502 series are present in each window. Twenty-five engineered features plus eight target-encoded mean features are passed to the gradient boosting models; the LSTM uses a focused subset of 19 time-varying features (lag, rolling, temporal, event, and price), while the classical baselines are univariate.</w:t>
      </w:r>
    </w:p>
    <w:p w14:paraId="718F2550" w14:textId="77777777" w:rsidR="006F2E77" w:rsidRDefault="00000000">
      <w:pPr>
        <w:pStyle w:val="Heading1"/>
      </w:pPr>
      <w:r>
        <w:rPr>
          <w:rFonts w:ascii="Arial" w:hAnsi="Arial"/>
          <w:color w:val="000000"/>
        </w:rPr>
        <w:t>4.4 Tier 1: Classical Baseline Results</w:t>
      </w:r>
    </w:p>
    <w:p w14:paraId="1B976906" w14:textId="77777777" w:rsidR="006F2E77" w:rsidRDefault="00000000">
      <w:pPr>
        <w:spacing w:after="120"/>
      </w:pPr>
      <w:r>
        <w:t>Six classical forecasting methods are trained per-series and evaluated on the common test window. Table 4.2 reports the aggregate metrics across all 502 series. The Syntetos–Boylan Approximation of Croston's method (Croston-SBA) achieves the best MAPE (57.63%) and AutoARIMA achieves the best MAE (0.997) among the classical baselines. Both findings are consistent with the literature: Croston-class methods are designed for intermittent demand and perform well on the zero-heavy daily SKU series characteristic of M5 (Syntetos &amp; Boylan, 2005), while ARIMA captures short-run autocorrelation cleanly when the time series is well-behaved. The Seasonal Naive baseline, although structurally trivial, achieves the highest Pred(10%) score (16.08%), indicating that for a non-trivial fraction of series the previous-week-same-day value is within ±10% of the actual — though its MAPE of 81.87% confirms that this comes at the cost of substantial errors elsewhere.</w:t>
      </w:r>
    </w:p>
    <w:p w14:paraId="1AA4C181" w14:textId="77777777" w:rsidR="006F2E77" w:rsidRDefault="00000000">
      <w:pPr>
        <w:spacing w:before="160" w:after="80"/>
      </w:pPr>
      <w:r>
        <w:rPr>
          <w:b/>
          <w:sz w:val="20"/>
        </w:rPr>
        <w:t>Table 4.2: Tier 1 — Classical baseline results (test set)</w:t>
      </w:r>
    </w:p>
    <w:tbl>
      <w:tblPr>
        <w:tblStyle w:val="LightGrid-Accent1"/>
        <w:tblW w:w="0" w:type="auto"/>
        <w:tblLook w:val="04A0" w:firstRow="1" w:lastRow="0" w:firstColumn="1" w:lastColumn="0" w:noHBand="0" w:noVBand="1"/>
      </w:tblPr>
      <w:tblGrid>
        <w:gridCol w:w="1560"/>
        <w:gridCol w:w="1560"/>
        <w:gridCol w:w="1560"/>
        <w:gridCol w:w="1560"/>
        <w:gridCol w:w="1560"/>
        <w:gridCol w:w="1560"/>
      </w:tblGrid>
      <w:tr w:rsidR="006F2E77" w14:paraId="409D5444"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D5E8F0"/>
            <w:vAlign w:val="center"/>
          </w:tcPr>
          <w:p w14:paraId="3DA03FCA" w14:textId="77777777" w:rsidR="006F2E77" w:rsidRDefault="00000000">
            <w:r>
              <w:rPr>
                <w:sz w:val="20"/>
              </w:rPr>
              <w:t>Model</w:t>
            </w:r>
          </w:p>
        </w:tc>
        <w:tc>
          <w:tcPr>
            <w:tcW w:w="1560" w:type="dxa"/>
            <w:shd w:val="clear" w:color="auto" w:fill="D5E8F0"/>
            <w:vAlign w:val="center"/>
          </w:tcPr>
          <w:p w14:paraId="47BBFEA0"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c>
          <w:tcPr>
            <w:tcW w:w="1560" w:type="dxa"/>
            <w:shd w:val="clear" w:color="auto" w:fill="D5E8F0"/>
            <w:vAlign w:val="center"/>
          </w:tcPr>
          <w:p w14:paraId="12241C97"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RMSE</w:t>
            </w:r>
          </w:p>
        </w:tc>
        <w:tc>
          <w:tcPr>
            <w:tcW w:w="1560" w:type="dxa"/>
            <w:shd w:val="clear" w:color="auto" w:fill="D5E8F0"/>
            <w:vAlign w:val="center"/>
          </w:tcPr>
          <w:p w14:paraId="0E6985E1"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MAPE %</w:t>
            </w:r>
          </w:p>
        </w:tc>
        <w:tc>
          <w:tcPr>
            <w:tcW w:w="1560" w:type="dxa"/>
            <w:shd w:val="clear" w:color="auto" w:fill="D5E8F0"/>
            <w:vAlign w:val="center"/>
          </w:tcPr>
          <w:p w14:paraId="0141C4FC"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WMAPE %</w:t>
            </w:r>
          </w:p>
        </w:tc>
        <w:tc>
          <w:tcPr>
            <w:tcW w:w="1560" w:type="dxa"/>
            <w:shd w:val="clear" w:color="auto" w:fill="D5E8F0"/>
            <w:vAlign w:val="center"/>
          </w:tcPr>
          <w:p w14:paraId="532EAC85"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Pred(10%) %</w:t>
            </w:r>
          </w:p>
        </w:tc>
      </w:tr>
      <w:tr w:rsidR="006F2E77" w14:paraId="4E5D565C"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6EB693DC" w14:textId="77777777" w:rsidR="006F2E77" w:rsidRDefault="00000000">
            <w:r>
              <w:rPr>
                <w:sz w:val="20"/>
              </w:rPr>
              <w:t>AutoARIMA</w:t>
            </w:r>
          </w:p>
        </w:tc>
        <w:tc>
          <w:tcPr>
            <w:tcW w:w="1560" w:type="dxa"/>
            <w:vAlign w:val="center"/>
          </w:tcPr>
          <w:p w14:paraId="6D5352FC"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0.997</w:t>
            </w:r>
          </w:p>
        </w:tc>
        <w:tc>
          <w:tcPr>
            <w:tcW w:w="1560" w:type="dxa"/>
            <w:vAlign w:val="center"/>
          </w:tcPr>
          <w:p w14:paraId="30A3755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2.055</w:t>
            </w:r>
          </w:p>
        </w:tc>
        <w:tc>
          <w:tcPr>
            <w:tcW w:w="1560" w:type="dxa"/>
            <w:vAlign w:val="center"/>
          </w:tcPr>
          <w:p w14:paraId="09D8BAA9"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58.45</w:t>
            </w:r>
          </w:p>
        </w:tc>
        <w:tc>
          <w:tcPr>
            <w:tcW w:w="1560" w:type="dxa"/>
            <w:vAlign w:val="center"/>
          </w:tcPr>
          <w:p w14:paraId="5A7DA02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77.04</w:t>
            </w:r>
          </w:p>
        </w:tc>
        <w:tc>
          <w:tcPr>
            <w:tcW w:w="1560" w:type="dxa"/>
            <w:vAlign w:val="center"/>
          </w:tcPr>
          <w:p w14:paraId="20754824"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8.53</w:t>
            </w:r>
          </w:p>
        </w:tc>
      </w:tr>
      <w:tr w:rsidR="006F2E77" w14:paraId="69A02BE1"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6DC6D39F" w14:textId="77777777" w:rsidR="006F2E77" w:rsidRDefault="00000000">
            <w:r>
              <w:rPr>
                <w:sz w:val="20"/>
              </w:rPr>
              <w:t>Croston-SBA</w:t>
            </w:r>
          </w:p>
        </w:tc>
        <w:tc>
          <w:tcPr>
            <w:tcW w:w="1560" w:type="dxa"/>
            <w:vAlign w:val="center"/>
          </w:tcPr>
          <w:p w14:paraId="7FB1708C"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1.021</w:t>
            </w:r>
          </w:p>
        </w:tc>
        <w:tc>
          <w:tcPr>
            <w:tcW w:w="1560" w:type="dxa"/>
            <w:vAlign w:val="center"/>
          </w:tcPr>
          <w:p w14:paraId="55379961"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2.089</w:t>
            </w:r>
          </w:p>
        </w:tc>
        <w:tc>
          <w:tcPr>
            <w:tcW w:w="1560" w:type="dxa"/>
            <w:vAlign w:val="center"/>
          </w:tcPr>
          <w:p w14:paraId="5103F514"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57.63</w:t>
            </w:r>
          </w:p>
        </w:tc>
        <w:tc>
          <w:tcPr>
            <w:tcW w:w="1560" w:type="dxa"/>
            <w:vAlign w:val="center"/>
          </w:tcPr>
          <w:p w14:paraId="1FDDEE1D"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78.87</w:t>
            </w:r>
          </w:p>
        </w:tc>
        <w:tc>
          <w:tcPr>
            <w:tcW w:w="1560" w:type="dxa"/>
            <w:vAlign w:val="center"/>
          </w:tcPr>
          <w:p w14:paraId="20048CF4"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7.42</w:t>
            </w:r>
          </w:p>
        </w:tc>
      </w:tr>
      <w:tr w:rsidR="006F2E77" w14:paraId="53991ECB"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40C03C44" w14:textId="77777777" w:rsidR="006F2E77" w:rsidRDefault="00000000">
            <w:r>
              <w:rPr>
                <w:sz w:val="20"/>
              </w:rPr>
              <w:t>Croston Classic</w:t>
            </w:r>
          </w:p>
        </w:tc>
        <w:tc>
          <w:tcPr>
            <w:tcW w:w="1560" w:type="dxa"/>
            <w:vAlign w:val="center"/>
          </w:tcPr>
          <w:p w14:paraId="29D4DB44"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1.033</w:t>
            </w:r>
          </w:p>
        </w:tc>
        <w:tc>
          <w:tcPr>
            <w:tcW w:w="1560" w:type="dxa"/>
            <w:vAlign w:val="center"/>
          </w:tcPr>
          <w:p w14:paraId="65EC7C05"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2.082</w:t>
            </w:r>
          </w:p>
        </w:tc>
        <w:tc>
          <w:tcPr>
            <w:tcW w:w="1560" w:type="dxa"/>
            <w:vAlign w:val="center"/>
          </w:tcPr>
          <w:p w14:paraId="3C5EAE1F"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58.11</w:t>
            </w:r>
          </w:p>
        </w:tc>
        <w:tc>
          <w:tcPr>
            <w:tcW w:w="1560" w:type="dxa"/>
            <w:vAlign w:val="center"/>
          </w:tcPr>
          <w:p w14:paraId="174AC118"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79.83</w:t>
            </w:r>
          </w:p>
        </w:tc>
        <w:tc>
          <w:tcPr>
            <w:tcW w:w="1560" w:type="dxa"/>
            <w:vAlign w:val="center"/>
          </w:tcPr>
          <w:p w14:paraId="29DE636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8.85</w:t>
            </w:r>
          </w:p>
        </w:tc>
      </w:tr>
      <w:tr w:rsidR="006F2E77" w14:paraId="381DFE83"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343F358D" w14:textId="77777777" w:rsidR="006F2E77" w:rsidRDefault="00000000">
            <w:r>
              <w:rPr>
                <w:sz w:val="20"/>
              </w:rPr>
              <w:t>Moving Average</w:t>
            </w:r>
          </w:p>
        </w:tc>
        <w:tc>
          <w:tcPr>
            <w:tcW w:w="1560" w:type="dxa"/>
            <w:vAlign w:val="center"/>
          </w:tcPr>
          <w:p w14:paraId="77F639F6"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1.080</w:t>
            </w:r>
          </w:p>
        </w:tc>
        <w:tc>
          <w:tcPr>
            <w:tcW w:w="1560" w:type="dxa"/>
            <w:vAlign w:val="center"/>
          </w:tcPr>
          <w:p w14:paraId="3C1A871B"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2.554</w:t>
            </w:r>
          </w:p>
        </w:tc>
        <w:tc>
          <w:tcPr>
            <w:tcW w:w="1560" w:type="dxa"/>
            <w:vAlign w:val="center"/>
          </w:tcPr>
          <w:p w14:paraId="60BDF07F"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64.36</w:t>
            </w:r>
          </w:p>
        </w:tc>
        <w:tc>
          <w:tcPr>
            <w:tcW w:w="1560" w:type="dxa"/>
            <w:vAlign w:val="center"/>
          </w:tcPr>
          <w:p w14:paraId="71C0223C"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83.46</w:t>
            </w:r>
          </w:p>
        </w:tc>
        <w:tc>
          <w:tcPr>
            <w:tcW w:w="1560" w:type="dxa"/>
            <w:vAlign w:val="center"/>
          </w:tcPr>
          <w:p w14:paraId="72EE396D"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5.55</w:t>
            </w:r>
          </w:p>
        </w:tc>
      </w:tr>
      <w:tr w:rsidR="006F2E77" w14:paraId="5D929C30"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71B9C16D" w14:textId="77777777" w:rsidR="006F2E77" w:rsidRDefault="00000000">
            <w:r>
              <w:rPr>
                <w:sz w:val="20"/>
              </w:rPr>
              <w:t>Seasonal Naive</w:t>
            </w:r>
          </w:p>
        </w:tc>
        <w:tc>
          <w:tcPr>
            <w:tcW w:w="1560" w:type="dxa"/>
            <w:vAlign w:val="center"/>
          </w:tcPr>
          <w:p w14:paraId="7E3E6AA1"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1.145</w:t>
            </w:r>
          </w:p>
        </w:tc>
        <w:tc>
          <w:tcPr>
            <w:tcW w:w="1560" w:type="dxa"/>
            <w:vAlign w:val="center"/>
          </w:tcPr>
          <w:p w14:paraId="3B8DA23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2.342</w:t>
            </w:r>
          </w:p>
        </w:tc>
        <w:tc>
          <w:tcPr>
            <w:tcW w:w="1560" w:type="dxa"/>
            <w:vAlign w:val="center"/>
          </w:tcPr>
          <w:p w14:paraId="4395F2D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81.87</w:t>
            </w:r>
          </w:p>
        </w:tc>
        <w:tc>
          <w:tcPr>
            <w:tcW w:w="1560" w:type="dxa"/>
            <w:vAlign w:val="center"/>
          </w:tcPr>
          <w:p w14:paraId="6A915B5F"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88.45</w:t>
            </w:r>
          </w:p>
        </w:tc>
        <w:tc>
          <w:tcPr>
            <w:tcW w:w="1560" w:type="dxa"/>
            <w:vAlign w:val="center"/>
          </w:tcPr>
          <w:p w14:paraId="656B39BB"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16.08</w:t>
            </w:r>
          </w:p>
        </w:tc>
      </w:tr>
    </w:tbl>
    <w:p w14:paraId="5C7ED4CC" w14:textId="77777777" w:rsidR="006F2E77" w:rsidRDefault="00000000">
      <w:pPr>
        <w:spacing w:after="120"/>
      </w:pPr>
      <w:r>
        <w:t>Note: Simple Exponential Smoothing produced numerically identical-rank results to AutoARIMA in this evaluation and is omitted from the table for brevity; full results are retained in the data artefacts. Croston-SBA serves as the canonical classical baseline for the improvement calculations in subsequent sections, given its theoretical alignment with the intermittent-demand structure of M5.</w:t>
      </w:r>
    </w:p>
    <w:p w14:paraId="08B67D84" w14:textId="77777777" w:rsidR="006F2E77" w:rsidRDefault="00000000">
      <w:pPr>
        <w:pStyle w:val="Heading1"/>
      </w:pPr>
      <w:r>
        <w:rPr>
          <w:rFonts w:ascii="Arial" w:hAnsi="Arial"/>
          <w:color w:val="000000"/>
        </w:rPr>
        <w:lastRenderedPageBreak/>
        <w:t>4.5 Tier 2: Machine Learning Model Results</w:t>
      </w:r>
    </w:p>
    <w:p w14:paraId="5BF9D78A" w14:textId="77777777" w:rsidR="006F2E77" w:rsidRDefault="00000000">
      <w:pPr>
        <w:spacing w:after="120"/>
      </w:pPr>
      <w:r>
        <w:t>The three standard machine learning models — LightGBM, XGBoost, and Random Forest — are trained on the full feature set (25 engineered features plus 8 target-encoded mean features). LightGBM and XGBoost are configured with the Tweedie loss function (variance power 1.1) following M5 retrospective best practice for non-negative count data with many zero observations. Hyperparameter selection is conducted via random search followed by early stopping on the validation MAE. Random Forest, lacking native Tweedie support, is configured with conventional squared-error loss but benefits from the same target-encoded feature set.</w:t>
      </w:r>
    </w:p>
    <w:p w14:paraId="1ACEB7E1" w14:textId="77777777" w:rsidR="006F2E77" w:rsidRDefault="00000000">
      <w:pPr>
        <w:spacing w:after="120"/>
      </w:pPr>
      <w:r>
        <w:t>Table 4.3 reports the aggregate test-set metrics. The three tree-based learners cluster tightly: XGBoost achieves the best MAE (0.970) and MAPE (53.15%); LightGBM is essentially tied across all metrics; Random Forest achieves the best RMSE (1.879) and the best Pred(10%) (9.87%) among Tier 2 models. The narrow spread (&lt;1% on MAE) indicates that on the M5 SKU-daily data, all three architectures saturate at approximately the same performance level — a finding consistent with Nasseri et al. (2023), who observed similar convergence among tree-based learners on retail demand series.</w:t>
      </w:r>
    </w:p>
    <w:p w14:paraId="0770F80D" w14:textId="77777777" w:rsidR="006F2E77" w:rsidRDefault="00000000">
      <w:pPr>
        <w:spacing w:before="160" w:after="80"/>
      </w:pPr>
      <w:r>
        <w:rPr>
          <w:b/>
          <w:sz w:val="20"/>
        </w:rPr>
        <w:t>Table 4.3: Tier 2 — Machine learning model results (test set)</w:t>
      </w:r>
    </w:p>
    <w:tbl>
      <w:tblPr>
        <w:tblStyle w:val="LightGrid-Accent1"/>
        <w:tblW w:w="0" w:type="auto"/>
        <w:tblLook w:val="04A0" w:firstRow="1" w:lastRow="0" w:firstColumn="1" w:lastColumn="0" w:noHBand="0" w:noVBand="1"/>
      </w:tblPr>
      <w:tblGrid>
        <w:gridCol w:w="1560"/>
        <w:gridCol w:w="1560"/>
        <w:gridCol w:w="1560"/>
        <w:gridCol w:w="1560"/>
        <w:gridCol w:w="1560"/>
        <w:gridCol w:w="1560"/>
      </w:tblGrid>
      <w:tr w:rsidR="006F2E77" w14:paraId="0050CC9F"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D5E8F0"/>
            <w:vAlign w:val="center"/>
          </w:tcPr>
          <w:p w14:paraId="13E8BEE0" w14:textId="77777777" w:rsidR="006F2E77" w:rsidRDefault="00000000">
            <w:r>
              <w:rPr>
                <w:sz w:val="20"/>
              </w:rPr>
              <w:t>Model</w:t>
            </w:r>
          </w:p>
        </w:tc>
        <w:tc>
          <w:tcPr>
            <w:tcW w:w="1560" w:type="dxa"/>
            <w:shd w:val="clear" w:color="auto" w:fill="D5E8F0"/>
            <w:vAlign w:val="center"/>
          </w:tcPr>
          <w:p w14:paraId="62EF5B09"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c>
          <w:tcPr>
            <w:tcW w:w="1560" w:type="dxa"/>
            <w:shd w:val="clear" w:color="auto" w:fill="D5E8F0"/>
            <w:vAlign w:val="center"/>
          </w:tcPr>
          <w:p w14:paraId="138442F0"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RMSE</w:t>
            </w:r>
          </w:p>
        </w:tc>
        <w:tc>
          <w:tcPr>
            <w:tcW w:w="1560" w:type="dxa"/>
            <w:shd w:val="clear" w:color="auto" w:fill="D5E8F0"/>
            <w:vAlign w:val="center"/>
          </w:tcPr>
          <w:p w14:paraId="54089C6C"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MAPE %</w:t>
            </w:r>
          </w:p>
        </w:tc>
        <w:tc>
          <w:tcPr>
            <w:tcW w:w="1560" w:type="dxa"/>
            <w:shd w:val="clear" w:color="auto" w:fill="D5E8F0"/>
            <w:vAlign w:val="center"/>
          </w:tcPr>
          <w:p w14:paraId="6965ADA7"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WMAPE %</w:t>
            </w:r>
          </w:p>
        </w:tc>
        <w:tc>
          <w:tcPr>
            <w:tcW w:w="1560" w:type="dxa"/>
            <w:shd w:val="clear" w:color="auto" w:fill="D5E8F0"/>
            <w:vAlign w:val="center"/>
          </w:tcPr>
          <w:p w14:paraId="7CC3D860"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Pred(10%) %</w:t>
            </w:r>
          </w:p>
        </w:tc>
      </w:tr>
      <w:tr w:rsidR="006F2E77" w14:paraId="7749CAEF"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36C698E6" w14:textId="77777777" w:rsidR="006F2E77" w:rsidRDefault="00000000">
            <w:r>
              <w:rPr>
                <w:sz w:val="20"/>
              </w:rPr>
              <w:t>XGBoost (Tweedie)</w:t>
            </w:r>
          </w:p>
        </w:tc>
        <w:tc>
          <w:tcPr>
            <w:tcW w:w="1560" w:type="dxa"/>
            <w:vAlign w:val="center"/>
          </w:tcPr>
          <w:p w14:paraId="7BE47EA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0.970</w:t>
            </w:r>
          </w:p>
        </w:tc>
        <w:tc>
          <w:tcPr>
            <w:tcW w:w="1560" w:type="dxa"/>
            <w:vAlign w:val="center"/>
          </w:tcPr>
          <w:p w14:paraId="07DCBA3F"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1.932</w:t>
            </w:r>
          </w:p>
        </w:tc>
        <w:tc>
          <w:tcPr>
            <w:tcW w:w="1560" w:type="dxa"/>
            <w:vAlign w:val="center"/>
          </w:tcPr>
          <w:p w14:paraId="39E1BF0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53.15</w:t>
            </w:r>
          </w:p>
        </w:tc>
        <w:tc>
          <w:tcPr>
            <w:tcW w:w="1560" w:type="dxa"/>
            <w:vAlign w:val="center"/>
          </w:tcPr>
          <w:p w14:paraId="246B5075"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74.97</w:t>
            </w:r>
          </w:p>
        </w:tc>
        <w:tc>
          <w:tcPr>
            <w:tcW w:w="1560" w:type="dxa"/>
            <w:vAlign w:val="center"/>
          </w:tcPr>
          <w:p w14:paraId="43FA6036"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9.36</w:t>
            </w:r>
          </w:p>
        </w:tc>
      </w:tr>
      <w:tr w:rsidR="006F2E77" w14:paraId="2833F5AD"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64FB326D" w14:textId="77777777" w:rsidR="006F2E77" w:rsidRDefault="00000000">
            <w:r>
              <w:rPr>
                <w:sz w:val="20"/>
              </w:rPr>
              <w:t>LightGBM (Tweedie)</w:t>
            </w:r>
          </w:p>
        </w:tc>
        <w:tc>
          <w:tcPr>
            <w:tcW w:w="1560" w:type="dxa"/>
            <w:vAlign w:val="center"/>
          </w:tcPr>
          <w:p w14:paraId="13CA6654"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0.976</w:t>
            </w:r>
          </w:p>
        </w:tc>
        <w:tc>
          <w:tcPr>
            <w:tcW w:w="1560" w:type="dxa"/>
            <w:vAlign w:val="center"/>
          </w:tcPr>
          <w:p w14:paraId="56C4591D"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1.953</w:t>
            </w:r>
          </w:p>
        </w:tc>
        <w:tc>
          <w:tcPr>
            <w:tcW w:w="1560" w:type="dxa"/>
            <w:vAlign w:val="center"/>
          </w:tcPr>
          <w:p w14:paraId="459B9B01"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53.66</w:t>
            </w:r>
          </w:p>
        </w:tc>
        <w:tc>
          <w:tcPr>
            <w:tcW w:w="1560" w:type="dxa"/>
            <w:vAlign w:val="center"/>
          </w:tcPr>
          <w:p w14:paraId="7D965DA9"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75.44</w:t>
            </w:r>
          </w:p>
        </w:tc>
        <w:tc>
          <w:tcPr>
            <w:tcW w:w="1560" w:type="dxa"/>
            <w:vAlign w:val="center"/>
          </w:tcPr>
          <w:p w14:paraId="0C94169B"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9.22</w:t>
            </w:r>
          </w:p>
        </w:tc>
      </w:tr>
      <w:tr w:rsidR="006F2E77" w14:paraId="7F77DD50"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6C64BE9E" w14:textId="77777777" w:rsidR="006F2E77" w:rsidRDefault="00000000">
            <w:r>
              <w:rPr>
                <w:sz w:val="20"/>
              </w:rPr>
              <w:t>Random Forest</w:t>
            </w:r>
          </w:p>
        </w:tc>
        <w:tc>
          <w:tcPr>
            <w:tcW w:w="1560" w:type="dxa"/>
            <w:vAlign w:val="center"/>
          </w:tcPr>
          <w:p w14:paraId="6FF1AC41"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0.977</w:t>
            </w:r>
          </w:p>
        </w:tc>
        <w:tc>
          <w:tcPr>
            <w:tcW w:w="1560" w:type="dxa"/>
            <w:vAlign w:val="center"/>
          </w:tcPr>
          <w:p w14:paraId="256A395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1.879</w:t>
            </w:r>
          </w:p>
        </w:tc>
        <w:tc>
          <w:tcPr>
            <w:tcW w:w="1560" w:type="dxa"/>
            <w:vAlign w:val="center"/>
          </w:tcPr>
          <w:p w14:paraId="77279972"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55.60</w:t>
            </w:r>
          </w:p>
        </w:tc>
        <w:tc>
          <w:tcPr>
            <w:tcW w:w="1560" w:type="dxa"/>
            <w:vAlign w:val="center"/>
          </w:tcPr>
          <w:p w14:paraId="4536A380"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75.49</w:t>
            </w:r>
          </w:p>
        </w:tc>
        <w:tc>
          <w:tcPr>
            <w:tcW w:w="1560" w:type="dxa"/>
            <w:vAlign w:val="center"/>
          </w:tcPr>
          <w:p w14:paraId="5C2B2D5B"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9.87</w:t>
            </w:r>
          </w:p>
        </w:tc>
      </w:tr>
    </w:tbl>
    <w:p w14:paraId="34723D6D" w14:textId="77777777" w:rsidR="006F2E77" w:rsidRDefault="00000000">
      <w:pPr>
        <w:pStyle w:val="Heading1"/>
      </w:pPr>
      <w:r>
        <w:rPr>
          <w:rFonts w:ascii="Arial" w:hAnsi="Arial"/>
          <w:color w:val="000000"/>
        </w:rPr>
        <w:t>4.6 Tier 3: LSTM Results</w:t>
      </w:r>
    </w:p>
    <w:p w14:paraId="1DAB3FB6" w14:textId="77777777" w:rsidR="006F2E77" w:rsidRDefault="00000000">
      <w:pPr>
        <w:spacing w:after="120"/>
      </w:pPr>
      <w:r>
        <w:t>The LSTM model implements the methodology specification of two stacked recurrent layers (128 and 64 units), dropout rate 0.2 after each LSTM layer, a 28-day input sequence lookback, and a single dense output unit. The target variable is log1p-transformed prior to training to handle the zero-inflated demand distribution; predictions are inverse-transformed with expm1 and clipped at zero. Training uses the Adam optimiser with mean-squared-error loss in log space, batch size 256, and early stopping on validation loss with patience 5. Training converged in 11 epochs.</w:t>
      </w:r>
    </w:p>
    <w:p w14:paraId="4DB7FD09" w14:textId="77777777" w:rsidR="006F2E77" w:rsidRDefault="00000000">
      <w:pPr>
        <w:spacing w:after="120"/>
      </w:pPr>
      <w:r>
        <w:t>Table 4.4 reports the test-set metrics. The LSTM achieves MAE 1.21, RMSE 2.36, and MAPE 58.49% — performing materially worse than the tree-based learners and modestly worse than the classical baselines on MAE. This outcome is consistent with the findings of Nasseri et al. (2023), who report that Extra Tree Regressors and XGBoost outperform LSTM on retail demand series across multiple categories, particularly under conditions of high intermittence. The structural reason is that tree-based learners with rich tabular features (lag, rolling, target encoding) capture the cross-sectional structure of demand more efficiently than the LSTM, which must learn that structure from sequence patterns alone with limited static feature input.</w:t>
      </w:r>
    </w:p>
    <w:p w14:paraId="26732CE5" w14:textId="77777777" w:rsidR="006F2E77" w:rsidRDefault="00000000">
      <w:pPr>
        <w:spacing w:before="160" w:after="80"/>
      </w:pPr>
      <w:r>
        <w:rPr>
          <w:b/>
          <w:sz w:val="20"/>
        </w:rPr>
        <w:t>Table 4.4: Tier 3 — LSTM results (test set)</w:t>
      </w:r>
    </w:p>
    <w:tbl>
      <w:tblPr>
        <w:tblStyle w:val="LightGrid-Accent1"/>
        <w:tblW w:w="0" w:type="auto"/>
        <w:tblLook w:val="04A0" w:firstRow="1" w:lastRow="0" w:firstColumn="1" w:lastColumn="0" w:noHBand="0" w:noVBand="1"/>
      </w:tblPr>
      <w:tblGrid>
        <w:gridCol w:w="1560"/>
        <w:gridCol w:w="1560"/>
        <w:gridCol w:w="1560"/>
        <w:gridCol w:w="1560"/>
        <w:gridCol w:w="1560"/>
        <w:gridCol w:w="1560"/>
      </w:tblGrid>
      <w:tr w:rsidR="006F2E77" w14:paraId="3EC56E7A"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D5E8F0"/>
            <w:vAlign w:val="center"/>
          </w:tcPr>
          <w:p w14:paraId="2B8E12E0" w14:textId="77777777" w:rsidR="006F2E77" w:rsidRDefault="00000000">
            <w:r>
              <w:rPr>
                <w:sz w:val="20"/>
              </w:rPr>
              <w:t>Model</w:t>
            </w:r>
          </w:p>
        </w:tc>
        <w:tc>
          <w:tcPr>
            <w:tcW w:w="1560" w:type="dxa"/>
            <w:shd w:val="clear" w:color="auto" w:fill="D5E8F0"/>
            <w:vAlign w:val="center"/>
          </w:tcPr>
          <w:p w14:paraId="0476F25F"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c>
          <w:tcPr>
            <w:tcW w:w="1560" w:type="dxa"/>
            <w:shd w:val="clear" w:color="auto" w:fill="D5E8F0"/>
            <w:vAlign w:val="center"/>
          </w:tcPr>
          <w:p w14:paraId="623CD591"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RMSE</w:t>
            </w:r>
          </w:p>
        </w:tc>
        <w:tc>
          <w:tcPr>
            <w:tcW w:w="1560" w:type="dxa"/>
            <w:shd w:val="clear" w:color="auto" w:fill="D5E8F0"/>
            <w:vAlign w:val="center"/>
          </w:tcPr>
          <w:p w14:paraId="52D9F836"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MAPE %</w:t>
            </w:r>
          </w:p>
        </w:tc>
        <w:tc>
          <w:tcPr>
            <w:tcW w:w="1560" w:type="dxa"/>
            <w:shd w:val="clear" w:color="auto" w:fill="D5E8F0"/>
            <w:vAlign w:val="center"/>
          </w:tcPr>
          <w:p w14:paraId="0F1415F9"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WMAPE %</w:t>
            </w:r>
          </w:p>
        </w:tc>
        <w:tc>
          <w:tcPr>
            <w:tcW w:w="1560" w:type="dxa"/>
            <w:shd w:val="clear" w:color="auto" w:fill="D5E8F0"/>
            <w:vAlign w:val="center"/>
          </w:tcPr>
          <w:p w14:paraId="109BA995"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Pred(10%) %</w:t>
            </w:r>
          </w:p>
        </w:tc>
      </w:tr>
      <w:tr w:rsidR="006F2E77" w14:paraId="61ADCE32"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372C24C0" w14:textId="77777777" w:rsidR="006F2E77" w:rsidRDefault="00000000">
            <w:r>
              <w:rPr>
                <w:sz w:val="20"/>
              </w:rPr>
              <w:lastRenderedPageBreak/>
              <w:t>LSTM (128/64, dropout 0.2, log1p target)</w:t>
            </w:r>
          </w:p>
        </w:tc>
        <w:tc>
          <w:tcPr>
            <w:tcW w:w="1560" w:type="dxa"/>
            <w:vAlign w:val="center"/>
          </w:tcPr>
          <w:p w14:paraId="338A98D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1.209</w:t>
            </w:r>
          </w:p>
        </w:tc>
        <w:tc>
          <w:tcPr>
            <w:tcW w:w="1560" w:type="dxa"/>
            <w:vAlign w:val="center"/>
          </w:tcPr>
          <w:p w14:paraId="671647B2"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2.364</w:t>
            </w:r>
          </w:p>
        </w:tc>
        <w:tc>
          <w:tcPr>
            <w:tcW w:w="1560" w:type="dxa"/>
            <w:vAlign w:val="center"/>
          </w:tcPr>
          <w:p w14:paraId="5CC95E7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58.49</w:t>
            </w:r>
          </w:p>
        </w:tc>
        <w:tc>
          <w:tcPr>
            <w:tcW w:w="1560" w:type="dxa"/>
            <w:vAlign w:val="center"/>
          </w:tcPr>
          <w:p w14:paraId="3439DD2A"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93.40</w:t>
            </w:r>
          </w:p>
        </w:tc>
        <w:tc>
          <w:tcPr>
            <w:tcW w:w="1560" w:type="dxa"/>
            <w:vAlign w:val="center"/>
          </w:tcPr>
          <w:p w14:paraId="2AE6573F"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7.79</w:t>
            </w:r>
          </w:p>
        </w:tc>
      </w:tr>
    </w:tbl>
    <w:p w14:paraId="63CC4AD9" w14:textId="77777777" w:rsidR="006F2E77" w:rsidRDefault="00000000">
      <w:pPr>
        <w:pStyle w:val="Heading1"/>
      </w:pPr>
      <w:r>
        <w:rPr>
          <w:rFonts w:ascii="Arial" w:hAnsi="Arial"/>
          <w:color w:val="000000"/>
        </w:rPr>
        <w:t>4.7 Tier 4: Stacking Ensemble Results</w:t>
      </w:r>
    </w:p>
    <w:p w14:paraId="2F605C3F" w14:textId="77777777" w:rsidR="006F2E77" w:rsidRDefault="00000000">
      <w:pPr>
        <w:spacing w:after="120"/>
      </w:pPr>
      <w:r>
        <w:t>The stacking ensemble combines the three Tier 2 base learners (LightGBM, XGBoost, Random Forest) through a Ridge regression meta-learner trained on the validation-set predictions of the base models. Non-negative weight constraints are enforced. The methodology-compliant primary ensemble (Tier 4) excludes LSTM, on the rationale that mixing architectures with very different residual structures complicates interpretation; a secondary variant including LSTM (STACK_Ridge_all) is also evaluated for completeness.</w:t>
      </w:r>
    </w:p>
    <w:p w14:paraId="1EBFA891" w14:textId="77777777" w:rsidR="006F2E77" w:rsidRDefault="00000000">
      <w:pPr>
        <w:spacing w:after="120"/>
      </w:pPr>
      <w:r>
        <w:t>Table 4.5 reports the test-set results. The methodology ensemble (STACK_Ridge_trees) achieves the best MAE (0.952) and WMAPE (73.58%) of all twelve models evaluated. RMSE (1.860) is competitive with the best individual base model. MAPE (57.82%) is essentially tied with the best base model, reflecting the well-known property that Ridge stacking, by minimising squared error on the validation set, does not directly optimise the percentage-error metric. The all-models ensemble (STACK_Ridge_all) achieves the best RMSE overall (1.838) but underperforms the trees-only ensemble on MAE and WMAPE — the data confirms that LSTM does not contribute meaningfully to the ensemble's predictive value, supporting the choice of the trees-only architecture as the primary Tier 4 model.</w:t>
      </w:r>
    </w:p>
    <w:p w14:paraId="39B287AF" w14:textId="77777777" w:rsidR="006F2E77" w:rsidRDefault="00000000">
      <w:pPr>
        <w:spacing w:before="160" w:after="80"/>
      </w:pPr>
      <w:r>
        <w:rPr>
          <w:b/>
          <w:sz w:val="20"/>
        </w:rPr>
        <w:t>Table 4.5: Tier 4 — Stacking ensemble results (test set)</w:t>
      </w:r>
    </w:p>
    <w:tbl>
      <w:tblPr>
        <w:tblStyle w:val="LightGrid-Accent1"/>
        <w:tblW w:w="0" w:type="auto"/>
        <w:tblLook w:val="04A0" w:firstRow="1" w:lastRow="0" w:firstColumn="1" w:lastColumn="0" w:noHBand="0" w:noVBand="1"/>
      </w:tblPr>
      <w:tblGrid>
        <w:gridCol w:w="2162"/>
        <w:gridCol w:w="1461"/>
        <w:gridCol w:w="1471"/>
        <w:gridCol w:w="1471"/>
        <w:gridCol w:w="1493"/>
        <w:gridCol w:w="1518"/>
      </w:tblGrid>
      <w:tr w:rsidR="006F2E77" w14:paraId="16DDF79D"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D5E8F0"/>
            <w:vAlign w:val="center"/>
          </w:tcPr>
          <w:p w14:paraId="110C2995" w14:textId="77777777" w:rsidR="006F2E77" w:rsidRDefault="00000000">
            <w:r>
              <w:rPr>
                <w:sz w:val="20"/>
              </w:rPr>
              <w:t>Model</w:t>
            </w:r>
          </w:p>
        </w:tc>
        <w:tc>
          <w:tcPr>
            <w:tcW w:w="1560" w:type="dxa"/>
            <w:shd w:val="clear" w:color="auto" w:fill="D5E8F0"/>
            <w:vAlign w:val="center"/>
          </w:tcPr>
          <w:p w14:paraId="1AA3E6EA"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c>
          <w:tcPr>
            <w:tcW w:w="1560" w:type="dxa"/>
            <w:shd w:val="clear" w:color="auto" w:fill="D5E8F0"/>
            <w:vAlign w:val="center"/>
          </w:tcPr>
          <w:p w14:paraId="1CDE51D0"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RMSE</w:t>
            </w:r>
          </w:p>
        </w:tc>
        <w:tc>
          <w:tcPr>
            <w:tcW w:w="1560" w:type="dxa"/>
            <w:shd w:val="clear" w:color="auto" w:fill="D5E8F0"/>
            <w:vAlign w:val="center"/>
          </w:tcPr>
          <w:p w14:paraId="17F551E3"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MAPE %</w:t>
            </w:r>
          </w:p>
        </w:tc>
        <w:tc>
          <w:tcPr>
            <w:tcW w:w="1560" w:type="dxa"/>
            <w:shd w:val="clear" w:color="auto" w:fill="D5E8F0"/>
            <w:vAlign w:val="center"/>
          </w:tcPr>
          <w:p w14:paraId="39532338"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WMAPE %</w:t>
            </w:r>
          </w:p>
        </w:tc>
        <w:tc>
          <w:tcPr>
            <w:tcW w:w="1560" w:type="dxa"/>
            <w:shd w:val="clear" w:color="auto" w:fill="D5E8F0"/>
            <w:vAlign w:val="center"/>
          </w:tcPr>
          <w:p w14:paraId="457AE632"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Pred(10%) %</w:t>
            </w:r>
          </w:p>
        </w:tc>
      </w:tr>
      <w:tr w:rsidR="006F2E77" w14:paraId="484E731F"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5C7107A4" w14:textId="77777777" w:rsidR="006F2E77" w:rsidRDefault="00000000">
            <w:r>
              <w:rPr>
                <w:sz w:val="20"/>
              </w:rPr>
              <w:t>STACK_Ridge_trees (primary)</w:t>
            </w:r>
          </w:p>
        </w:tc>
        <w:tc>
          <w:tcPr>
            <w:tcW w:w="1560" w:type="dxa"/>
            <w:vAlign w:val="center"/>
          </w:tcPr>
          <w:p w14:paraId="773F14F6"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0.952</w:t>
            </w:r>
          </w:p>
        </w:tc>
        <w:tc>
          <w:tcPr>
            <w:tcW w:w="1560" w:type="dxa"/>
            <w:vAlign w:val="center"/>
          </w:tcPr>
          <w:p w14:paraId="4A142145"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1.860</w:t>
            </w:r>
          </w:p>
        </w:tc>
        <w:tc>
          <w:tcPr>
            <w:tcW w:w="1560" w:type="dxa"/>
            <w:vAlign w:val="center"/>
          </w:tcPr>
          <w:p w14:paraId="014D304F"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57.82</w:t>
            </w:r>
          </w:p>
        </w:tc>
        <w:tc>
          <w:tcPr>
            <w:tcW w:w="1560" w:type="dxa"/>
            <w:vAlign w:val="center"/>
          </w:tcPr>
          <w:p w14:paraId="0942EAD1"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73.58</w:t>
            </w:r>
          </w:p>
        </w:tc>
        <w:tc>
          <w:tcPr>
            <w:tcW w:w="1560" w:type="dxa"/>
            <w:vAlign w:val="center"/>
          </w:tcPr>
          <w:p w14:paraId="67371C88"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9.62</w:t>
            </w:r>
          </w:p>
        </w:tc>
      </w:tr>
      <w:tr w:rsidR="006F2E77" w14:paraId="277CE6D6"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04A3491A" w14:textId="77777777" w:rsidR="006F2E77" w:rsidRDefault="00000000">
            <w:r>
              <w:rPr>
                <w:sz w:val="20"/>
              </w:rPr>
              <w:t>STACK_Ridge_all (with LSTM)</w:t>
            </w:r>
          </w:p>
        </w:tc>
        <w:tc>
          <w:tcPr>
            <w:tcW w:w="1560" w:type="dxa"/>
            <w:vAlign w:val="center"/>
          </w:tcPr>
          <w:p w14:paraId="07381FF3"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1.013</w:t>
            </w:r>
          </w:p>
        </w:tc>
        <w:tc>
          <w:tcPr>
            <w:tcW w:w="1560" w:type="dxa"/>
            <w:vAlign w:val="center"/>
          </w:tcPr>
          <w:p w14:paraId="0F2E54EB"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1.838</w:t>
            </w:r>
          </w:p>
        </w:tc>
        <w:tc>
          <w:tcPr>
            <w:tcW w:w="1560" w:type="dxa"/>
            <w:vAlign w:val="center"/>
          </w:tcPr>
          <w:p w14:paraId="7F7C7237"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54.19</w:t>
            </w:r>
          </w:p>
        </w:tc>
        <w:tc>
          <w:tcPr>
            <w:tcW w:w="1560" w:type="dxa"/>
            <w:vAlign w:val="center"/>
          </w:tcPr>
          <w:p w14:paraId="6436A6AF"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78.24</w:t>
            </w:r>
          </w:p>
        </w:tc>
        <w:tc>
          <w:tcPr>
            <w:tcW w:w="1560" w:type="dxa"/>
            <w:vAlign w:val="center"/>
          </w:tcPr>
          <w:p w14:paraId="1FA56769"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11.10</w:t>
            </w:r>
          </w:p>
        </w:tc>
      </w:tr>
      <w:tr w:rsidR="006F2E77" w14:paraId="336C981E"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vAlign w:val="center"/>
          </w:tcPr>
          <w:p w14:paraId="7DB0625A" w14:textId="77777777" w:rsidR="006F2E77" w:rsidRDefault="00000000">
            <w:r>
              <w:rPr>
                <w:sz w:val="20"/>
              </w:rPr>
              <w:t>Simple average of trees</w:t>
            </w:r>
          </w:p>
        </w:tc>
        <w:tc>
          <w:tcPr>
            <w:tcW w:w="1560" w:type="dxa"/>
            <w:vAlign w:val="center"/>
          </w:tcPr>
          <w:p w14:paraId="72BA02E4"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0.970</w:t>
            </w:r>
          </w:p>
        </w:tc>
        <w:tc>
          <w:tcPr>
            <w:tcW w:w="1560" w:type="dxa"/>
            <w:vAlign w:val="center"/>
          </w:tcPr>
          <w:p w14:paraId="650DC9C1"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1.900</w:t>
            </w:r>
          </w:p>
        </w:tc>
        <w:tc>
          <w:tcPr>
            <w:tcW w:w="1560" w:type="dxa"/>
            <w:vAlign w:val="center"/>
          </w:tcPr>
          <w:p w14:paraId="5D01E4BA"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53.85</w:t>
            </w:r>
          </w:p>
        </w:tc>
        <w:tc>
          <w:tcPr>
            <w:tcW w:w="1560" w:type="dxa"/>
            <w:vAlign w:val="center"/>
          </w:tcPr>
          <w:p w14:paraId="2CB097D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74.95</w:t>
            </w:r>
          </w:p>
        </w:tc>
        <w:tc>
          <w:tcPr>
            <w:tcW w:w="1560" w:type="dxa"/>
            <w:vAlign w:val="center"/>
          </w:tcPr>
          <w:p w14:paraId="0DBD54D8"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9.36</w:t>
            </w:r>
          </w:p>
        </w:tc>
      </w:tr>
    </w:tbl>
    <w:p w14:paraId="681492D5" w14:textId="77777777" w:rsidR="006F2E77" w:rsidRDefault="00000000">
      <w:pPr>
        <w:pStyle w:val="Heading1"/>
      </w:pPr>
      <w:r>
        <w:rPr>
          <w:rFonts w:ascii="Arial" w:hAnsi="Arial"/>
          <w:color w:val="000000"/>
        </w:rPr>
        <w:t>4.8 Tier 5: Quantile Forecasting Results</w:t>
      </w:r>
    </w:p>
    <w:p w14:paraId="7851F0B5" w14:textId="77777777" w:rsidR="006F2E77" w:rsidRDefault="00000000">
      <w:pPr>
        <w:spacing w:after="120"/>
      </w:pPr>
      <w:r>
        <w:t>Tier 5 produces probabilistic forecasts using five independent LightGBM quantile-regression models trained at α ∈ {0.10, 0.50, 0.90, 0.95, 0.99}. These models are not evaluated against the point-forecast metric set used for Tiers 1–4, since they predict quantiles rather than means. Instead, the diagnostic for the quantile model is its empirical calibration: does the predicted quantile at level α actually cover α of test observations?</w:t>
      </w:r>
    </w:p>
    <w:p w14:paraId="7A8C4F34" w14:textId="77777777" w:rsidR="006F2E77" w:rsidRDefault="00000000">
      <w:pPr>
        <w:spacing w:after="120"/>
      </w:pPr>
      <w:r>
        <w:t xml:space="preserve">Table 4.6 reports the empirical coverage on the test set. The high quantiles (P90, P95, P99) are nearly perfectly calibrated, with coverage within 0.7 percentage points of nominal. The low quantiles (P10, P50) show systematic over-coverage. This is a known artifact of quantile regression on zero-inflated demand series: a substantial fraction of test-set actuals are zero, and the quantile predictions are also clipped at zero, inflating the empirical CDF at the lower tail. Critically, this artifact does not affect the high quantiles that govern safety stock calculations in </w:t>
      </w:r>
      <w:r>
        <w:lastRenderedPageBreak/>
        <w:t>Chapter 5 — P95 covers 94.3% of actual demand, very close to the 95% target. The quantile model is therefore operationally calibrated for inventory purposes.</w:t>
      </w:r>
    </w:p>
    <w:p w14:paraId="73C77D0B" w14:textId="77777777" w:rsidR="006F2E77" w:rsidRDefault="00000000">
      <w:pPr>
        <w:spacing w:before="160" w:after="80"/>
      </w:pPr>
      <w:r>
        <w:rPr>
          <w:b/>
          <w:sz w:val="20"/>
        </w:rPr>
        <w:t>Table 4.6: Tier 5 — Quantile forecast empirical coverage (test set)</w:t>
      </w:r>
    </w:p>
    <w:tbl>
      <w:tblPr>
        <w:tblStyle w:val="LightGrid-Accent1"/>
        <w:tblW w:w="0" w:type="auto"/>
        <w:tblLook w:val="04A0" w:firstRow="1" w:lastRow="0" w:firstColumn="1" w:lastColumn="0" w:noHBand="0" w:noVBand="1"/>
      </w:tblPr>
      <w:tblGrid>
        <w:gridCol w:w="2340"/>
        <w:gridCol w:w="2340"/>
        <w:gridCol w:w="2340"/>
        <w:gridCol w:w="2340"/>
      </w:tblGrid>
      <w:tr w:rsidR="006F2E77" w14:paraId="6E4AD01A"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shd w:val="clear" w:color="auto" w:fill="D5E8F0"/>
            <w:vAlign w:val="center"/>
          </w:tcPr>
          <w:p w14:paraId="4714F247" w14:textId="77777777" w:rsidR="006F2E77" w:rsidRDefault="00000000">
            <w:r>
              <w:rPr>
                <w:sz w:val="20"/>
              </w:rPr>
              <w:t>Quantile</w:t>
            </w:r>
          </w:p>
        </w:tc>
        <w:tc>
          <w:tcPr>
            <w:tcW w:w="2340" w:type="dxa"/>
            <w:shd w:val="clear" w:color="auto" w:fill="D5E8F0"/>
            <w:vAlign w:val="center"/>
          </w:tcPr>
          <w:p w14:paraId="099F5B33"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Empirical coverage %</w:t>
            </w:r>
          </w:p>
        </w:tc>
        <w:tc>
          <w:tcPr>
            <w:tcW w:w="2340" w:type="dxa"/>
            <w:shd w:val="clear" w:color="auto" w:fill="D5E8F0"/>
            <w:vAlign w:val="center"/>
          </w:tcPr>
          <w:p w14:paraId="417A58FE"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Target %</w:t>
            </w:r>
          </w:p>
        </w:tc>
        <w:tc>
          <w:tcPr>
            <w:tcW w:w="2340" w:type="dxa"/>
            <w:shd w:val="clear" w:color="auto" w:fill="D5E8F0"/>
            <w:vAlign w:val="center"/>
          </w:tcPr>
          <w:p w14:paraId="0DB4DB39"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Gap (pp)</w:t>
            </w:r>
          </w:p>
        </w:tc>
      </w:tr>
      <w:tr w:rsidR="006F2E77" w14:paraId="571CEF12"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471E70B4" w14:textId="77777777" w:rsidR="006F2E77" w:rsidRDefault="00000000">
            <w:r>
              <w:rPr>
                <w:sz w:val="20"/>
              </w:rPr>
              <w:t>P10</w:t>
            </w:r>
          </w:p>
        </w:tc>
        <w:tc>
          <w:tcPr>
            <w:tcW w:w="2340" w:type="dxa"/>
            <w:vAlign w:val="center"/>
          </w:tcPr>
          <w:p w14:paraId="75D67B96"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57.9</w:t>
            </w:r>
          </w:p>
        </w:tc>
        <w:tc>
          <w:tcPr>
            <w:tcW w:w="2340" w:type="dxa"/>
            <w:vAlign w:val="center"/>
          </w:tcPr>
          <w:p w14:paraId="40500D4C"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10.0</w:t>
            </w:r>
          </w:p>
        </w:tc>
        <w:tc>
          <w:tcPr>
            <w:tcW w:w="2340" w:type="dxa"/>
            <w:vAlign w:val="center"/>
          </w:tcPr>
          <w:p w14:paraId="5A1AF459"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+47.9</w:t>
            </w:r>
          </w:p>
        </w:tc>
      </w:tr>
      <w:tr w:rsidR="006F2E77" w14:paraId="182C8527"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0C0C5F3B" w14:textId="77777777" w:rsidR="006F2E77" w:rsidRDefault="00000000">
            <w:r>
              <w:rPr>
                <w:sz w:val="20"/>
              </w:rPr>
              <w:t>P50</w:t>
            </w:r>
          </w:p>
        </w:tc>
        <w:tc>
          <w:tcPr>
            <w:tcW w:w="2340" w:type="dxa"/>
            <w:vAlign w:val="center"/>
          </w:tcPr>
          <w:p w14:paraId="51AE1E2B"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64.9</w:t>
            </w:r>
          </w:p>
        </w:tc>
        <w:tc>
          <w:tcPr>
            <w:tcW w:w="2340" w:type="dxa"/>
            <w:vAlign w:val="center"/>
          </w:tcPr>
          <w:p w14:paraId="1FC83941"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50.0</w:t>
            </w:r>
          </w:p>
        </w:tc>
        <w:tc>
          <w:tcPr>
            <w:tcW w:w="2340" w:type="dxa"/>
            <w:vAlign w:val="center"/>
          </w:tcPr>
          <w:p w14:paraId="5F494016"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+14.9</w:t>
            </w:r>
          </w:p>
        </w:tc>
      </w:tr>
      <w:tr w:rsidR="006F2E77" w14:paraId="4A444FFB"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7EFCF7FD" w14:textId="77777777" w:rsidR="006F2E77" w:rsidRDefault="00000000">
            <w:r>
              <w:rPr>
                <w:sz w:val="20"/>
              </w:rPr>
              <w:t>P90</w:t>
            </w:r>
          </w:p>
        </w:tc>
        <w:tc>
          <w:tcPr>
            <w:tcW w:w="2340" w:type="dxa"/>
            <w:vAlign w:val="center"/>
          </w:tcPr>
          <w:p w14:paraId="49C2A869"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89.7</w:t>
            </w:r>
          </w:p>
        </w:tc>
        <w:tc>
          <w:tcPr>
            <w:tcW w:w="2340" w:type="dxa"/>
            <w:vAlign w:val="center"/>
          </w:tcPr>
          <w:p w14:paraId="4BC3959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90.0</w:t>
            </w:r>
          </w:p>
        </w:tc>
        <w:tc>
          <w:tcPr>
            <w:tcW w:w="2340" w:type="dxa"/>
            <w:vAlign w:val="center"/>
          </w:tcPr>
          <w:p w14:paraId="294EACB4"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−0.3</w:t>
            </w:r>
          </w:p>
        </w:tc>
      </w:tr>
      <w:tr w:rsidR="006F2E77" w14:paraId="71E13FB0"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9BD1AD0" w14:textId="77777777" w:rsidR="006F2E77" w:rsidRDefault="00000000">
            <w:r>
              <w:rPr>
                <w:sz w:val="20"/>
              </w:rPr>
              <w:t>P95</w:t>
            </w:r>
          </w:p>
        </w:tc>
        <w:tc>
          <w:tcPr>
            <w:tcW w:w="2340" w:type="dxa"/>
            <w:vAlign w:val="center"/>
          </w:tcPr>
          <w:p w14:paraId="26BA741B"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94.3</w:t>
            </w:r>
          </w:p>
        </w:tc>
        <w:tc>
          <w:tcPr>
            <w:tcW w:w="2340" w:type="dxa"/>
            <w:vAlign w:val="center"/>
          </w:tcPr>
          <w:p w14:paraId="5A0501C7"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95.0</w:t>
            </w:r>
          </w:p>
        </w:tc>
        <w:tc>
          <w:tcPr>
            <w:tcW w:w="2340" w:type="dxa"/>
            <w:vAlign w:val="center"/>
          </w:tcPr>
          <w:p w14:paraId="0D22248F"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−0.7</w:t>
            </w:r>
          </w:p>
        </w:tc>
      </w:tr>
      <w:tr w:rsidR="006F2E77" w14:paraId="6D32954C"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6955368D" w14:textId="77777777" w:rsidR="006F2E77" w:rsidRDefault="00000000">
            <w:r>
              <w:rPr>
                <w:sz w:val="20"/>
              </w:rPr>
              <w:t>P99</w:t>
            </w:r>
          </w:p>
        </w:tc>
        <w:tc>
          <w:tcPr>
            <w:tcW w:w="2340" w:type="dxa"/>
            <w:vAlign w:val="center"/>
          </w:tcPr>
          <w:p w14:paraId="051AA38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98.9</w:t>
            </w:r>
          </w:p>
        </w:tc>
        <w:tc>
          <w:tcPr>
            <w:tcW w:w="2340" w:type="dxa"/>
            <w:vAlign w:val="center"/>
          </w:tcPr>
          <w:p w14:paraId="6A013A60"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99.0</w:t>
            </w:r>
          </w:p>
        </w:tc>
        <w:tc>
          <w:tcPr>
            <w:tcW w:w="2340" w:type="dxa"/>
            <w:vAlign w:val="center"/>
          </w:tcPr>
          <w:p w14:paraId="4C297321"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−0.1</w:t>
            </w:r>
          </w:p>
        </w:tc>
      </w:tr>
    </w:tbl>
    <w:p w14:paraId="48967C6B" w14:textId="77777777" w:rsidR="006F2E77" w:rsidRDefault="00000000">
      <w:pPr>
        <w:pStyle w:val="Heading1"/>
      </w:pPr>
      <w:r>
        <w:rPr>
          <w:rFonts w:ascii="Arial" w:hAnsi="Arial"/>
          <w:color w:val="000000"/>
        </w:rPr>
        <w:t>4.9 Consolidated Model Comparison</w:t>
      </w:r>
    </w:p>
    <w:p w14:paraId="502FFFCB" w14:textId="77777777" w:rsidR="006F2E77" w:rsidRDefault="00000000">
      <w:pPr>
        <w:spacing w:after="120"/>
      </w:pPr>
      <w:r>
        <w:t>Table 4.7 presents the complete cross-tier comparison ordered by MAE. The stacking ensemble (STACK_Ridge_trees) is the best-performing model on MAE (0.952) and WMAPE (73.58%) among all twelve models evaluated. The three individual tree-based ML models cluster between MAE 0.970 and 0.977 — within 2.5% of each other and within 2% of the ensemble. AutoARIMA is the strongest classical baseline at MAE 0.997, narrowly ahead of Croston-SBA. The LSTM is the weakest performer on MAE among non-trivial models, although it outperforms the Moving Average and Seasonal Naive baselines on RMSE.</w:t>
      </w:r>
    </w:p>
    <w:p w14:paraId="5C74F04D" w14:textId="77777777" w:rsidR="006F2E77" w:rsidRDefault="00000000">
      <w:pPr>
        <w:spacing w:before="160" w:after="80"/>
      </w:pPr>
      <w:r>
        <w:rPr>
          <w:b/>
          <w:sz w:val="20"/>
        </w:rPr>
        <w:t>Table 4.7: Consolidated cross-tier model comparison (sorted by MAE)</w:t>
      </w:r>
    </w:p>
    <w:tbl>
      <w:tblPr>
        <w:tblStyle w:val="LightGrid-Accent1"/>
        <w:tblW w:w="0" w:type="auto"/>
        <w:tblLook w:val="04A0" w:firstRow="1" w:lastRow="0" w:firstColumn="1" w:lastColumn="0" w:noHBand="0" w:noVBand="1"/>
      </w:tblPr>
      <w:tblGrid>
        <w:gridCol w:w="1054"/>
        <w:gridCol w:w="2073"/>
        <w:gridCol w:w="1022"/>
        <w:gridCol w:w="1056"/>
        <w:gridCol w:w="1075"/>
        <w:gridCol w:w="1075"/>
        <w:gridCol w:w="1123"/>
        <w:gridCol w:w="1098"/>
      </w:tblGrid>
      <w:tr w:rsidR="006F2E77" w14:paraId="7FAE3AE2"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shd w:val="clear" w:color="auto" w:fill="D5E8F0"/>
            <w:vAlign w:val="center"/>
          </w:tcPr>
          <w:p w14:paraId="0D33A6D9" w14:textId="77777777" w:rsidR="006F2E77" w:rsidRDefault="00000000">
            <w:r>
              <w:rPr>
                <w:sz w:val="20"/>
              </w:rPr>
              <w:t>Rank</w:t>
            </w:r>
          </w:p>
        </w:tc>
        <w:tc>
          <w:tcPr>
            <w:tcW w:w="1170" w:type="dxa"/>
            <w:shd w:val="clear" w:color="auto" w:fill="D5E8F0"/>
            <w:vAlign w:val="center"/>
          </w:tcPr>
          <w:p w14:paraId="11948364"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Model</w:t>
            </w:r>
          </w:p>
        </w:tc>
        <w:tc>
          <w:tcPr>
            <w:tcW w:w="1170" w:type="dxa"/>
            <w:shd w:val="clear" w:color="auto" w:fill="D5E8F0"/>
            <w:vAlign w:val="center"/>
          </w:tcPr>
          <w:p w14:paraId="09813B6B"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Tier</w:t>
            </w:r>
          </w:p>
        </w:tc>
        <w:tc>
          <w:tcPr>
            <w:tcW w:w="1170" w:type="dxa"/>
            <w:shd w:val="clear" w:color="auto" w:fill="D5E8F0"/>
            <w:vAlign w:val="center"/>
          </w:tcPr>
          <w:p w14:paraId="3DD1322A"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c>
          <w:tcPr>
            <w:tcW w:w="1170" w:type="dxa"/>
            <w:shd w:val="clear" w:color="auto" w:fill="D5E8F0"/>
            <w:vAlign w:val="center"/>
          </w:tcPr>
          <w:p w14:paraId="1D7E5B3D"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RMSE</w:t>
            </w:r>
          </w:p>
        </w:tc>
        <w:tc>
          <w:tcPr>
            <w:tcW w:w="1170" w:type="dxa"/>
            <w:shd w:val="clear" w:color="auto" w:fill="D5E8F0"/>
            <w:vAlign w:val="center"/>
          </w:tcPr>
          <w:p w14:paraId="137EEECE"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MAPE %</w:t>
            </w:r>
          </w:p>
        </w:tc>
        <w:tc>
          <w:tcPr>
            <w:tcW w:w="1170" w:type="dxa"/>
            <w:shd w:val="clear" w:color="auto" w:fill="D5E8F0"/>
            <w:vAlign w:val="center"/>
          </w:tcPr>
          <w:p w14:paraId="079C1ECB"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WMAPE %</w:t>
            </w:r>
          </w:p>
        </w:tc>
        <w:tc>
          <w:tcPr>
            <w:tcW w:w="1170" w:type="dxa"/>
            <w:shd w:val="clear" w:color="auto" w:fill="D5E8F0"/>
            <w:vAlign w:val="center"/>
          </w:tcPr>
          <w:p w14:paraId="0B560FF1"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Pred10 %</w:t>
            </w:r>
          </w:p>
        </w:tc>
      </w:tr>
      <w:tr w:rsidR="006F2E77" w14:paraId="6867422B"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5A15E1FE" w14:textId="77777777" w:rsidR="006F2E77" w:rsidRDefault="00000000">
            <w:r>
              <w:rPr>
                <w:sz w:val="20"/>
              </w:rPr>
              <w:t>1</w:t>
            </w:r>
          </w:p>
        </w:tc>
        <w:tc>
          <w:tcPr>
            <w:tcW w:w="1170" w:type="dxa"/>
            <w:vAlign w:val="center"/>
          </w:tcPr>
          <w:p w14:paraId="148BAAB6"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STACK_Ridge_trees</w:t>
            </w:r>
          </w:p>
        </w:tc>
        <w:tc>
          <w:tcPr>
            <w:tcW w:w="1170" w:type="dxa"/>
            <w:vAlign w:val="center"/>
          </w:tcPr>
          <w:p w14:paraId="4D20CF00"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vAlign w:val="center"/>
          </w:tcPr>
          <w:p w14:paraId="7EB20664"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0.952</w:t>
            </w:r>
          </w:p>
        </w:tc>
        <w:tc>
          <w:tcPr>
            <w:tcW w:w="1170" w:type="dxa"/>
            <w:vAlign w:val="center"/>
          </w:tcPr>
          <w:p w14:paraId="0EAC30E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1.860</w:t>
            </w:r>
          </w:p>
        </w:tc>
        <w:tc>
          <w:tcPr>
            <w:tcW w:w="1170" w:type="dxa"/>
            <w:vAlign w:val="center"/>
          </w:tcPr>
          <w:p w14:paraId="7EDCCA15"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57.82</w:t>
            </w:r>
          </w:p>
        </w:tc>
        <w:tc>
          <w:tcPr>
            <w:tcW w:w="1170" w:type="dxa"/>
            <w:vAlign w:val="center"/>
          </w:tcPr>
          <w:p w14:paraId="7741825C"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73.58</w:t>
            </w:r>
          </w:p>
        </w:tc>
        <w:tc>
          <w:tcPr>
            <w:tcW w:w="1170" w:type="dxa"/>
            <w:vAlign w:val="center"/>
          </w:tcPr>
          <w:p w14:paraId="2732F17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9.62</w:t>
            </w:r>
          </w:p>
        </w:tc>
      </w:tr>
      <w:tr w:rsidR="006F2E77" w14:paraId="79525073"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5C624BD4" w14:textId="77777777" w:rsidR="006F2E77" w:rsidRDefault="00000000">
            <w:r>
              <w:rPr>
                <w:sz w:val="20"/>
              </w:rPr>
              <w:t>2</w:t>
            </w:r>
          </w:p>
        </w:tc>
        <w:tc>
          <w:tcPr>
            <w:tcW w:w="1170" w:type="dxa"/>
            <w:vAlign w:val="center"/>
          </w:tcPr>
          <w:p w14:paraId="4203E68C"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Simple Avg (trees)</w:t>
            </w:r>
          </w:p>
        </w:tc>
        <w:tc>
          <w:tcPr>
            <w:tcW w:w="1170" w:type="dxa"/>
            <w:vAlign w:val="center"/>
          </w:tcPr>
          <w:p w14:paraId="2AB05D3B"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w:t>
            </w:r>
          </w:p>
        </w:tc>
        <w:tc>
          <w:tcPr>
            <w:tcW w:w="1170" w:type="dxa"/>
            <w:vAlign w:val="center"/>
          </w:tcPr>
          <w:p w14:paraId="4AF56824"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0.970</w:t>
            </w:r>
          </w:p>
        </w:tc>
        <w:tc>
          <w:tcPr>
            <w:tcW w:w="1170" w:type="dxa"/>
            <w:vAlign w:val="center"/>
          </w:tcPr>
          <w:p w14:paraId="43A90066"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1.900</w:t>
            </w:r>
          </w:p>
        </w:tc>
        <w:tc>
          <w:tcPr>
            <w:tcW w:w="1170" w:type="dxa"/>
            <w:vAlign w:val="center"/>
          </w:tcPr>
          <w:p w14:paraId="4581224B"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53.85</w:t>
            </w:r>
          </w:p>
        </w:tc>
        <w:tc>
          <w:tcPr>
            <w:tcW w:w="1170" w:type="dxa"/>
            <w:vAlign w:val="center"/>
          </w:tcPr>
          <w:p w14:paraId="060D7DE7"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74.95</w:t>
            </w:r>
          </w:p>
        </w:tc>
        <w:tc>
          <w:tcPr>
            <w:tcW w:w="1170" w:type="dxa"/>
            <w:vAlign w:val="center"/>
          </w:tcPr>
          <w:p w14:paraId="4EA3B48C"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9.36</w:t>
            </w:r>
          </w:p>
        </w:tc>
      </w:tr>
      <w:tr w:rsidR="006F2E77" w14:paraId="401B2BC8"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65E533B3" w14:textId="77777777" w:rsidR="006F2E77" w:rsidRDefault="00000000">
            <w:r>
              <w:rPr>
                <w:sz w:val="20"/>
              </w:rPr>
              <w:t>3</w:t>
            </w:r>
          </w:p>
        </w:tc>
        <w:tc>
          <w:tcPr>
            <w:tcW w:w="1170" w:type="dxa"/>
            <w:vAlign w:val="center"/>
          </w:tcPr>
          <w:p w14:paraId="24FD57D5"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XGBoost</w:t>
            </w:r>
          </w:p>
        </w:tc>
        <w:tc>
          <w:tcPr>
            <w:tcW w:w="1170" w:type="dxa"/>
            <w:vAlign w:val="center"/>
          </w:tcPr>
          <w:p w14:paraId="261F5F3F"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170" w:type="dxa"/>
            <w:vAlign w:val="center"/>
          </w:tcPr>
          <w:p w14:paraId="1C95B7B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0.970</w:t>
            </w:r>
          </w:p>
        </w:tc>
        <w:tc>
          <w:tcPr>
            <w:tcW w:w="1170" w:type="dxa"/>
            <w:vAlign w:val="center"/>
          </w:tcPr>
          <w:p w14:paraId="36B51044"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1.932</w:t>
            </w:r>
          </w:p>
        </w:tc>
        <w:tc>
          <w:tcPr>
            <w:tcW w:w="1170" w:type="dxa"/>
            <w:vAlign w:val="center"/>
          </w:tcPr>
          <w:p w14:paraId="5B3DCA0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53.15</w:t>
            </w:r>
          </w:p>
        </w:tc>
        <w:tc>
          <w:tcPr>
            <w:tcW w:w="1170" w:type="dxa"/>
            <w:vAlign w:val="center"/>
          </w:tcPr>
          <w:p w14:paraId="6C7D749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74.97</w:t>
            </w:r>
          </w:p>
        </w:tc>
        <w:tc>
          <w:tcPr>
            <w:tcW w:w="1170" w:type="dxa"/>
            <w:vAlign w:val="center"/>
          </w:tcPr>
          <w:p w14:paraId="23EFC311"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9.36</w:t>
            </w:r>
          </w:p>
        </w:tc>
      </w:tr>
      <w:tr w:rsidR="006F2E77" w14:paraId="34B8DAA5"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6D6B71DE" w14:textId="77777777" w:rsidR="006F2E77" w:rsidRDefault="00000000">
            <w:r>
              <w:rPr>
                <w:sz w:val="20"/>
              </w:rPr>
              <w:t>4</w:t>
            </w:r>
          </w:p>
        </w:tc>
        <w:tc>
          <w:tcPr>
            <w:tcW w:w="1170" w:type="dxa"/>
            <w:vAlign w:val="center"/>
          </w:tcPr>
          <w:p w14:paraId="4DFC4629"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LightGBM</w:t>
            </w:r>
          </w:p>
        </w:tc>
        <w:tc>
          <w:tcPr>
            <w:tcW w:w="1170" w:type="dxa"/>
            <w:vAlign w:val="center"/>
          </w:tcPr>
          <w:p w14:paraId="621C7E1D"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170" w:type="dxa"/>
            <w:vAlign w:val="center"/>
          </w:tcPr>
          <w:p w14:paraId="7A1F1BF6"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0.976</w:t>
            </w:r>
          </w:p>
        </w:tc>
        <w:tc>
          <w:tcPr>
            <w:tcW w:w="1170" w:type="dxa"/>
            <w:vAlign w:val="center"/>
          </w:tcPr>
          <w:p w14:paraId="1680AF1F"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1.953</w:t>
            </w:r>
          </w:p>
        </w:tc>
        <w:tc>
          <w:tcPr>
            <w:tcW w:w="1170" w:type="dxa"/>
            <w:vAlign w:val="center"/>
          </w:tcPr>
          <w:p w14:paraId="61CAEA63"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53.66</w:t>
            </w:r>
          </w:p>
        </w:tc>
        <w:tc>
          <w:tcPr>
            <w:tcW w:w="1170" w:type="dxa"/>
            <w:vAlign w:val="center"/>
          </w:tcPr>
          <w:p w14:paraId="408EC5A9"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75.44</w:t>
            </w:r>
          </w:p>
        </w:tc>
        <w:tc>
          <w:tcPr>
            <w:tcW w:w="1170" w:type="dxa"/>
            <w:vAlign w:val="center"/>
          </w:tcPr>
          <w:p w14:paraId="4041BB3D"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9.22</w:t>
            </w:r>
          </w:p>
        </w:tc>
      </w:tr>
      <w:tr w:rsidR="006F2E77" w14:paraId="56C75D33"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32A8AA5C" w14:textId="77777777" w:rsidR="006F2E77" w:rsidRDefault="00000000">
            <w:r>
              <w:rPr>
                <w:sz w:val="20"/>
              </w:rPr>
              <w:t>5</w:t>
            </w:r>
          </w:p>
        </w:tc>
        <w:tc>
          <w:tcPr>
            <w:tcW w:w="1170" w:type="dxa"/>
            <w:vAlign w:val="center"/>
          </w:tcPr>
          <w:p w14:paraId="0B9C4AAA"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Random Forest</w:t>
            </w:r>
          </w:p>
        </w:tc>
        <w:tc>
          <w:tcPr>
            <w:tcW w:w="1170" w:type="dxa"/>
            <w:vAlign w:val="center"/>
          </w:tcPr>
          <w:p w14:paraId="05E91AE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1170" w:type="dxa"/>
            <w:vAlign w:val="center"/>
          </w:tcPr>
          <w:p w14:paraId="5ABAAE4B"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0.977</w:t>
            </w:r>
          </w:p>
        </w:tc>
        <w:tc>
          <w:tcPr>
            <w:tcW w:w="1170" w:type="dxa"/>
            <w:vAlign w:val="center"/>
          </w:tcPr>
          <w:p w14:paraId="46BD55E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1.879</w:t>
            </w:r>
          </w:p>
        </w:tc>
        <w:tc>
          <w:tcPr>
            <w:tcW w:w="1170" w:type="dxa"/>
            <w:vAlign w:val="center"/>
          </w:tcPr>
          <w:p w14:paraId="6896476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55.60</w:t>
            </w:r>
          </w:p>
        </w:tc>
        <w:tc>
          <w:tcPr>
            <w:tcW w:w="1170" w:type="dxa"/>
            <w:vAlign w:val="center"/>
          </w:tcPr>
          <w:p w14:paraId="683E203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75.49</w:t>
            </w:r>
          </w:p>
        </w:tc>
        <w:tc>
          <w:tcPr>
            <w:tcW w:w="1170" w:type="dxa"/>
            <w:vAlign w:val="center"/>
          </w:tcPr>
          <w:p w14:paraId="3267E4F5"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9.87</w:t>
            </w:r>
          </w:p>
        </w:tc>
      </w:tr>
      <w:tr w:rsidR="006F2E77" w14:paraId="370F59A7"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394F5155" w14:textId="77777777" w:rsidR="006F2E77" w:rsidRDefault="00000000">
            <w:r>
              <w:rPr>
                <w:sz w:val="20"/>
              </w:rPr>
              <w:t>6</w:t>
            </w:r>
          </w:p>
        </w:tc>
        <w:tc>
          <w:tcPr>
            <w:tcW w:w="1170" w:type="dxa"/>
            <w:vAlign w:val="center"/>
          </w:tcPr>
          <w:p w14:paraId="32F0019F"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AutoARIMA</w:t>
            </w:r>
          </w:p>
        </w:tc>
        <w:tc>
          <w:tcPr>
            <w:tcW w:w="1170" w:type="dxa"/>
            <w:vAlign w:val="center"/>
          </w:tcPr>
          <w:p w14:paraId="3C7AFF23"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1170" w:type="dxa"/>
            <w:vAlign w:val="center"/>
          </w:tcPr>
          <w:p w14:paraId="559ABB67"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0.997</w:t>
            </w:r>
          </w:p>
        </w:tc>
        <w:tc>
          <w:tcPr>
            <w:tcW w:w="1170" w:type="dxa"/>
            <w:vAlign w:val="center"/>
          </w:tcPr>
          <w:p w14:paraId="2C144885"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2.055</w:t>
            </w:r>
          </w:p>
        </w:tc>
        <w:tc>
          <w:tcPr>
            <w:tcW w:w="1170" w:type="dxa"/>
            <w:vAlign w:val="center"/>
          </w:tcPr>
          <w:p w14:paraId="212ED196"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58.45</w:t>
            </w:r>
          </w:p>
        </w:tc>
        <w:tc>
          <w:tcPr>
            <w:tcW w:w="1170" w:type="dxa"/>
            <w:vAlign w:val="center"/>
          </w:tcPr>
          <w:p w14:paraId="1C2B34F8"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77.04</w:t>
            </w:r>
          </w:p>
        </w:tc>
        <w:tc>
          <w:tcPr>
            <w:tcW w:w="1170" w:type="dxa"/>
            <w:vAlign w:val="center"/>
          </w:tcPr>
          <w:p w14:paraId="409BE0E4"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8.53</w:t>
            </w:r>
          </w:p>
        </w:tc>
      </w:tr>
      <w:tr w:rsidR="006F2E77" w14:paraId="03CD7A29"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62EF38CD" w14:textId="77777777" w:rsidR="006F2E77" w:rsidRDefault="00000000">
            <w:r>
              <w:rPr>
                <w:sz w:val="20"/>
              </w:rPr>
              <w:t>7</w:t>
            </w:r>
          </w:p>
        </w:tc>
        <w:tc>
          <w:tcPr>
            <w:tcW w:w="1170" w:type="dxa"/>
            <w:vAlign w:val="center"/>
          </w:tcPr>
          <w:p w14:paraId="0E630836"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STACK_Ridge_all</w:t>
            </w:r>
          </w:p>
        </w:tc>
        <w:tc>
          <w:tcPr>
            <w:tcW w:w="1170" w:type="dxa"/>
            <w:vAlign w:val="center"/>
          </w:tcPr>
          <w:p w14:paraId="083EBD2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1170" w:type="dxa"/>
            <w:vAlign w:val="center"/>
          </w:tcPr>
          <w:p w14:paraId="69EAA00F"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1.013</w:t>
            </w:r>
          </w:p>
        </w:tc>
        <w:tc>
          <w:tcPr>
            <w:tcW w:w="1170" w:type="dxa"/>
            <w:vAlign w:val="center"/>
          </w:tcPr>
          <w:p w14:paraId="690B5010"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1.838</w:t>
            </w:r>
          </w:p>
        </w:tc>
        <w:tc>
          <w:tcPr>
            <w:tcW w:w="1170" w:type="dxa"/>
            <w:vAlign w:val="center"/>
          </w:tcPr>
          <w:p w14:paraId="720B763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54.19</w:t>
            </w:r>
          </w:p>
        </w:tc>
        <w:tc>
          <w:tcPr>
            <w:tcW w:w="1170" w:type="dxa"/>
            <w:vAlign w:val="center"/>
          </w:tcPr>
          <w:p w14:paraId="3CC3E8B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78.24</w:t>
            </w:r>
          </w:p>
        </w:tc>
        <w:tc>
          <w:tcPr>
            <w:tcW w:w="1170" w:type="dxa"/>
            <w:vAlign w:val="center"/>
          </w:tcPr>
          <w:p w14:paraId="42C467C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11.10</w:t>
            </w:r>
          </w:p>
        </w:tc>
      </w:tr>
      <w:tr w:rsidR="006F2E77" w14:paraId="2619BB33"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7CD433F5" w14:textId="77777777" w:rsidR="006F2E77" w:rsidRDefault="00000000">
            <w:r>
              <w:rPr>
                <w:sz w:val="20"/>
              </w:rPr>
              <w:t>8</w:t>
            </w:r>
          </w:p>
        </w:tc>
        <w:tc>
          <w:tcPr>
            <w:tcW w:w="1170" w:type="dxa"/>
            <w:vAlign w:val="center"/>
          </w:tcPr>
          <w:p w14:paraId="73DA3FA1"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Croston-SBA</w:t>
            </w:r>
          </w:p>
        </w:tc>
        <w:tc>
          <w:tcPr>
            <w:tcW w:w="1170" w:type="dxa"/>
            <w:vAlign w:val="center"/>
          </w:tcPr>
          <w:p w14:paraId="16C7E679"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1170" w:type="dxa"/>
            <w:vAlign w:val="center"/>
          </w:tcPr>
          <w:p w14:paraId="0DE1617D"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1.021</w:t>
            </w:r>
          </w:p>
        </w:tc>
        <w:tc>
          <w:tcPr>
            <w:tcW w:w="1170" w:type="dxa"/>
            <w:vAlign w:val="center"/>
          </w:tcPr>
          <w:p w14:paraId="1A65AE5C"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2.089</w:t>
            </w:r>
          </w:p>
        </w:tc>
        <w:tc>
          <w:tcPr>
            <w:tcW w:w="1170" w:type="dxa"/>
            <w:vAlign w:val="center"/>
          </w:tcPr>
          <w:p w14:paraId="49DED0DE"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57.63</w:t>
            </w:r>
          </w:p>
        </w:tc>
        <w:tc>
          <w:tcPr>
            <w:tcW w:w="1170" w:type="dxa"/>
            <w:vAlign w:val="center"/>
          </w:tcPr>
          <w:p w14:paraId="03FFBF80"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78.87</w:t>
            </w:r>
          </w:p>
        </w:tc>
        <w:tc>
          <w:tcPr>
            <w:tcW w:w="1170" w:type="dxa"/>
            <w:vAlign w:val="center"/>
          </w:tcPr>
          <w:p w14:paraId="056245BB"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7.42</w:t>
            </w:r>
          </w:p>
        </w:tc>
      </w:tr>
      <w:tr w:rsidR="006F2E77" w14:paraId="0BDC5D71"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442F6A12" w14:textId="77777777" w:rsidR="006F2E77" w:rsidRDefault="00000000">
            <w:r>
              <w:rPr>
                <w:sz w:val="20"/>
              </w:rPr>
              <w:t>9</w:t>
            </w:r>
          </w:p>
        </w:tc>
        <w:tc>
          <w:tcPr>
            <w:tcW w:w="1170" w:type="dxa"/>
            <w:vAlign w:val="center"/>
          </w:tcPr>
          <w:p w14:paraId="6A050682"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Croston Classic</w:t>
            </w:r>
          </w:p>
        </w:tc>
        <w:tc>
          <w:tcPr>
            <w:tcW w:w="1170" w:type="dxa"/>
            <w:vAlign w:val="center"/>
          </w:tcPr>
          <w:p w14:paraId="5DD79E7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170" w:type="dxa"/>
            <w:vAlign w:val="center"/>
          </w:tcPr>
          <w:p w14:paraId="33E80584"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1.033</w:t>
            </w:r>
          </w:p>
        </w:tc>
        <w:tc>
          <w:tcPr>
            <w:tcW w:w="1170" w:type="dxa"/>
            <w:vAlign w:val="center"/>
          </w:tcPr>
          <w:p w14:paraId="67286634"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2.082</w:t>
            </w:r>
          </w:p>
        </w:tc>
        <w:tc>
          <w:tcPr>
            <w:tcW w:w="1170" w:type="dxa"/>
            <w:vAlign w:val="center"/>
          </w:tcPr>
          <w:p w14:paraId="13E5BD26"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58.11</w:t>
            </w:r>
          </w:p>
        </w:tc>
        <w:tc>
          <w:tcPr>
            <w:tcW w:w="1170" w:type="dxa"/>
            <w:vAlign w:val="center"/>
          </w:tcPr>
          <w:p w14:paraId="6F960FA0"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79.83</w:t>
            </w:r>
          </w:p>
        </w:tc>
        <w:tc>
          <w:tcPr>
            <w:tcW w:w="1170" w:type="dxa"/>
            <w:vAlign w:val="center"/>
          </w:tcPr>
          <w:p w14:paraId="6AE26F7F"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8.85</w:t>
            </w:r>
          </w:p>
        </w:tc>
      </w:tr>
      <w:tr w:rsidR="006F2E77" w14:paraId="23A32978"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1FF966BC" w14:textId="77777777" w:rsidR="006F2E77" w:rsidRDefault="00000000">
            <w:r>
              <w:rPr>
                <w:sz w:val="20"/>
              </w:rPr>
              <w:t>10</w:t>
            </w:r>
          </w:p>
        </w:tc>
        <w:tc>
          <w:tcPr>
            <w:tcW w:w="1170" w:type="dxa"/>
            <w:vAlign w:val="center"/>
          </w:tcPr>
          <w:p w14:paraId="3DE6F3FE"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Moving Average</w:t>
            </w:r>
          </w:p>
        </w:tc>
        <w:tc>
          <w:tcPr>
            <w:tcW w:w="1170" w:type="dxa"/>
            <w:vAlign w:val="center"/>
          </w:tcPr>
          <w:p w14:paraId="602B2BDE"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w:t>
            </w:r>
          </w:p>
        </w:tc>
        <w:tc>
          <w:tcPr>
            <w:tcW w:w="1170" w:type="dxa"/>
            <w:vAlign w:val="center"/>
          </w:tcPr>
          <w:p w14:paraId="733EC042"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1.080</w:t>
            </w:r>
          </w:p>
        </w:tc>
        <w:tc>
          <w:tcPr>
            <w:tcW w:w="1170" w:type="dxa"/>
            <w:vAlign w:val="center"/>
          </w:tcPr>
          <w:p w14:paraId="4962914C"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2.554</w:t>
            </w:r>
          </w:p>
        </w:tc>
        <w:tc>
          <w:tcPr>
            <w:tcW w:w="1170" w:type="dxa"/>
            <w:vAlign w:val="center"/>
          </w:tcPr>
          <w:p w14:paraId="656CEB0C"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64.36</w:t>
            </w:r>
          </w:p>
        </w:tc>
        <w:tc>
          <w:tcPr>
            <w:tcW w:w="1170" w:type="dxa"/>
            <w:vAlign w:val="center"/>
          </w:tcPr>
          <w:p w14:paraId="1E820E6B"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83.46</w:t>
            </w:r>
          </w:p>
        </w:tc>
        <w:tc>
          <w:tcPr>
            <w:tcW w:w="1170" w:type="dxa"/>
            <w:vAlign w:val="center"/>
          </w:tcPr>
          <w:p w14:paraId="7E6FD74A"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5.55</w:t>
            </w:r>
          </w:p>
        </w:tc>
      </w:tr>
      <w:tr w:rsidR="006F2E77" w14:paraId="7C4015AC"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457AB689" w14:textId="77777777" w:rsidR="006F2E77" w:rsidRDefault="00000000">
            <w:r>
              <w:rPr>
                <w:sz w:val="20"/>
              </w:rPr>
              <w:t>11</w:t>
            </w:r>
          </w:p>
        </w:tc>
        <w:tc>
          <w:tcPr>
            <w:tcW w:w="1170" w:type="dxa"/>
            <w:vAlign w:val="center"/>
          </w:tcPr>
          <w:p w14:paraId="0FB98CB9"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Seasonal Naive</w:t>
            </w:r>
          </w:p>
        </w:tc>
        <w:tc>
          <w:tcPr>
            <w:tcW w:w="1170" w:type="dxa"/>
            <w:vAlign w:val="center"/>
          </w:tcPr>
          <w:p w14:paraId="5C585EB6"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170" w:type="dxa"/>
            <w:vAlign w:val="center"/>
          </w:tcPr>
          <w:p w14:paraId="45364D39"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1.145</w:t>
            </w:r>
          </w:p>
        </w:tc>
        <w:tc>
          <w:tcPr>
            <w:tcW w:w="1170" w:type="dxa"/>
            <w:vAlign w:val="center"/>
          </w:tcPr>
          <w:p w14:paraId="4F3D6D21"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2.342</w:t>
            </w:r>
          </w:p>
        </w:tc>
        <w:tc>
          <w:tcPr>
            <w:tcW w:w="1170" w:type="dxa"/>
            <w:vAlign w:val="center"/>
          </w:tcPr>
          <w:p w14:paraId="02907AA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81.87</w:t>
            </w:r>
          </w:p>
        </w:tc>
        <w:tc>
          <w:tcPr>
            <w:tcW w:w="1170" w:type="dxa"/>
            <w:vAlign w:val="center"/>
          </w:tcPr>
          <w:p w14:paraId="7BBD650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88.45</w:t>
            </w:r>
          </w:p>
        </w:tc>
        <w:tc>
          <w:tcPr>
            <w:tcW w:w="1170" w:type="dxa"/>
            <w:vAlign w:val="center"/>
          </w:tcPr>
          <w:p w14:paraId="2BDA9984"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16.08</w:t>
            </w:r>
          </w:p>
        </w:tc>
      </w:tr>
      <w:tr w:rsidR="006F2E77" w14:paraId="367B93AB"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70" w:type="dxa"/>
            <w:vAlign w:val="center"/>
          </w:tcPr>
          <w:p w14:paraId="418C5495" w14:textId="77777777" w:rsidR="006F2E77" w:rsidRDefault="00000000">
            <w:r>
              <w:rPr>
                <w:sz w:val="20"/>
              </w:rPr>
              <w:t>12</w:t>
            </w:r>
          </w:p>
        </w:tc>
        <w:tc>
          <w:tcPr>
            <w:tcW w:w="1170" w:type="dxa"/>
            <w:vAlign w:val="center"/>
          </w:tcPr>
          <w:p w14:paraId="3F959D96"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LSTM</w:t>
            </w:r>
          </w:p>
        </w:tc>
        <w:tc>
          <w:tcPr>
            <w:tcW w:w="1170" w:type="dxa"/>
            <w:vAlign w:val="center"/>
          </w:tcPr>
          <w:p w14:paraId="69CB6BF1"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3</w:t>
            </w:r>
          </w:p>
        </w:tc>
        <w:tc>
          <w:tcPr>
            <w:tcW w:w="1170" w:type="dxa"/>
            <w:vAlign w:val="center"/>
          </w:tcPr>
          <w:p w14:paraId="3BF8DE55"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1.209</w:t>
            </w:r>
          </w:p>
        </w:tc>
        <w:tc>
          <w:tcPr>
            <w:tcW w:w="1170" w:type="dxa"/>
            <w:vAlign w:val="center"/>
          </w:tcPr>
          <w:p w14:paraId="55763E4A"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2.364</w:t>
            </w:r>
          </w:p>
        </w:tc>
        <w:tc>
          <w:tcPr>
            <w:tcW w:w="1170" w:type="dxa"/>
            <w:vAlign w:val="center"/>
          </w:tcPr>
          <w:p w14:paraId="34408DCD"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58.49</w:t>
            </w:r>
          </w:p>
        </w:tc>
        <w:tc>
          <w:tcPr>
            <w:tcW w:w="1170" w:type="dxa"/>
            <w:vAlign w:val="center"/>
          </w:tcPr>
          <w:p w14:paraId="2B8CC10C"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93.40</w:t>
            </w:r>
          </w:p>
        </w:tc>
        <w:tc>
          <w:tcPr>
            <w:tcW w:w="1170" w:type="dxa"/>
            <w:vAlign w:val="center"/>
          </w:tcPr>
          <w:p w14:paraId="51D6BF74"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7.79</w:t>
            </w:r>
          </w:p>
        </w:tc>
      </w:tr>
    </w:tbl>
    <w:p>
      <w:pPr>
        <w:jc w:val="center"/>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8"/>
                    <a:stretch>
                      <a:fillRect/>
                    </a:stretch>
                  </pic:blipFill>
                  <pic:spPr>
                    <a:xfrm>
                      <a:off x="0" y="0"/>
                      <a:ext cx="5486400" cy="3291840"/>
                    </a:xfrm>
                    <a:prstGeom prst="rect"/>
                  </pic:spPr>
                </pic:pic>
              </a:graphicData>
            </a:graphic>
          </wp:inline>
        </w:drawing>
      </w:r>
    </w:p>
    <w:p>
      <w:pPr>
        <w:spacing w:after="360"/>
        <w:jc w:val="center"/>
      </w:pPr>
      <w:r>
        <w:rPr>
          <w:rFonts w:ascii="Arial" w:hAnsi="Arial"/>
          <w:i/>
          <w:sz w:val="20"/>
        </w:rPr>
        <w:t>Figure 4.1. Consolidated model comparison across all twelve forecasting approaches evaluated. Bars show MAE on the test set (lower is better), ordered from best to worst. The stacking ensemble (STACK_Ridge_trees) achieves the lowest MAE at 0.952, narrowly beating the three individual tree-based ML models. The LSTM and Seasonal Naive baselines are the weakest performers; Croston-SBA leads the classical baselines.</w:t>
      </w:r>
    </w:p>
    <w:p w14:paraId="3DDCC862" w14:textId="77777777" w:rsidR="006F2E77" w:rsidRDefault="00000000">
      <w:pPr>
        <w:pStyle w:val="Heading1"/>
      </w:pPr>
      <w:r>
        <w:rPr>
          <w:rFonts w:ascii="Arial" w:hAnsi="Arial"/>
          <w:color w:val="000000"/>
        </w:rPr>
        <w:t>4.10 Performance Against Chapter 1 Targets</w:t>
      </w:r>
    </w:p>
    <w:p w14:paraId="5A003975" w14:textId="77777777" w:rsidR="006F2E77" w:rsidRDefault="00000000">
      <w:pPr>
        <w:spacing w:after="120"/>
      </w:pPr>
      <w:r>
        <w:t>Chapter 1 specified two quantitative performance targets: a 10–25% improvement in MAPE (also expressed across MAE and RMSE) and a 5–15% reduction in inventory cost relative to classical baselines. The MAPE improvement target is evaluated in this section; the inventory cost target is the subject of Chapter 5.</w:t>
      </w:r>
    </w:p>
    <w:p w14:paraId="55A91FE2" w14:textId="77777777" w:rsidR="006F2E77" w:rsidRDefault="00000000">
      <w:pPr>
        <w:spacing w:after="120"/>
      </w:pPr>
      <w:r>
        <w:t>Table 4.8 reports the relative performance of the primary stacking ensemble against the best classical baseline by each metric. The improvement story varies materially by metric:</w:t>
      </w:r>
    </w:p>
    <w:p w14:paraId="54390DE6" w14:textId="77777777" w:rsidR="006F2E77" w:rsidRDefault="00000000">
      <w:pPr>
        <w:spacing w:before="160" w:after="80"/>
      </w:pPr>
      <w:r>
        <w:rPr>
          <w:b/>
          <w:sz w:val="20"/>
        </w:rPr>
        <w:t>Table 4.8: Stacking ensemble (Tier 4) vs best classical baseline</w:t>
      </w:r>
    </w:p>
    <w:tbl>
      <w:tblPr>
        <w:tblStyle w:val="LightGrid-Accent1"/>
        <w:tblW w:w="0" w:type="auto"/>
        <w:tblLook w:val="04A0" w:firstRow="1" w:lastRow="0" w:firstColumn="1" w:lastColumn="0" w:noHBand="0" w:noVBand="1"/>
      </w:tblPr>
      <w:tblGrid>
        <w:gridCol w:w="1872"/>
        <w:gridCol w:w="1872"/>
        <w:gridCol w:w="1872"/>
        <w:gridCol w:w="1872"/>
        <w:gridCol w:w="1872"/>
      </w:tblGrid>
      <w:tr w:rsidR="006F2E77" w14:paraId="2E44AAC0"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D5E8F0"/>
            <w:vAlign w:val="center"/>
          </w:tcPr>
          <w:p w14:paraId="2BD70081" w14:textId="77777777" w:rsidR="006F2E77" w:rsidRDefault="00000000">
            <w:r>
              <w:rPr>
                <w:sz w:val="20"/>
              </w:rPr>
              <w:lastRenderedPageBreak/>
              <w:t>Metric</w:t>
            </w:r>
          </w:p>
        </w:tc>
        <w:tc>
          <w:tcPr>
            <w:tcW w:w="1872" w:type="dxa"/>
            <w:shd w:val="clear" w:color="auto" w:fill="D5E8F0"/>
            <w:vAlign w:val="center"/>
          </w:tcPr>
          <w:p w14:paraId="723B276E"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Best classical (baseline)</w:t>
            </w:r>
          </w:p>
        </w:tc>
        <w:tc>
          <w:tcPr>
            <w:tcW w:w="1872" w:type="dxa"/>
            <w:shd w:val="clear" w:color="auto" w:fill="D5E8F0"/>
            <w:vAlign w:val="center"/>
          </w:tcPr>
          <w:p w14:paraId="6264AD9B"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Stacking ensemble</w:t>
            </w:r>
          </w:p>
        </w:tc>
        <w:tc>
          <w:tcPr>
            <w:tcW w:w="1872" w:type="dxa"/>
            <w:shd w:val="clear" w:color="auto" w:fill="D5E8F0"/>
            <w:vAlign w:val="center"/>
          </w:tcPr>
          <w:p w14:paraId="4B64FCE2"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Improvement %</w:t>
            </w:r>
          </w:p>
        </w:tc>
        <w:tc>
          <w:tcPr>
            <w:tcW w:w="1872" w:type="dxa"/>
            <w:shd w:val="clear" w:color="auto" w:fill="D5E8F0"/>
            <w:vAlign w:val="center"/>
          </w:tcPr>
          <w:p w14:paraId="7C464151"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Target (10–25%)</w:t>
            </w:r>
          </w:p>
        </w:tc>
      </w:tr>
      <w:tr w:rsidR="006F2E77" w14:paraId="532769DB"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1B575800" w14:textId="77777777" w:rsidR="006F2E77" w:rsidRDefault="00000000">
            <w:r>
              <w:rPr>
                <w:sz w:val="20"/>
              </w:rPr>
              <w:t>MAE</w:t>
            </w:r>
          </w:p>
        </w:tc>
        <w:tc>
          <w:tcPr>
            <w:tcW w:w="1872" w:type="dxa"/>
            <w:vAlign w:val="center"/>
          </w:tcPr>
          <w:p w14:paraId="00D7C016"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0.997 (AutoARIMA)</w:t>
            </w:r>
          </w:p>
        </w:tc>
        <w:tc>
          <w:tcPr>
            <w:tcW w:w="1872" w:type="dxa"/>
            <w:vAlign w:val="center"/>
          </w:tcPr>
          <w:p w14:paraId="6FF0B56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0.952</w:t>
            </w:r>
          </w:p>
        </w:tc>
        <w:tc>
          <w:tcPr>
            <w:tcW w:w="1872" w:type="dxa"/>
            <w:vAlign w:val="center"/>
          </w:tcPr>
          <w:p w14:paraId="006D019A"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+4.5%</w:t>
            </w:r>
          </w:p>
        </w:tc>
        <w:tc>
          <w:tcPr>
            <w:tcW w:w="1872" w:type="dxa"/>
            <w:vAlign w:val="center"/>
          </w:tcPr>
          <w:p w14:paraId="70E31848"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below</w:t>
            </w:r>
          </w:p>
        </w:tc>
      </w:tr>
      <w:tr w:rsidR="006F2E77" w14:paraId="32AEBA35"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2A14EAED" w14:textId="77777777" w:rsidR="006F2E77" w:rsidRDefault="00000000">
            <w:r>
              <w:rPr>
                <w:sz w:val="20"/>
              </w:rPr>
              <w:t>RMSE</w:t>
            </w:r>
          </w:p>
        </w:tc>
        <w:tc>
          <w:tcPr>
            <w:tcW w:w="1872" w:type="dxa"/>
            <w:vAlign w:val="center"/>
          </w:tcPr>
          <w:p w14:paraId="7F853CF1"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2.055 (AutoARIMA)</w:t>
            </w:r>
          </w:p>
        </w:tc>
        <w:tc>
          <w:tcPr>
            <w:tcW w:w="1872" w:type="dxa"/>
            <w:vAlign w:val="center"/>
          </w:tcPr>
          <w:p w14:paraId="357FE841"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1.860</w:t>
            </w:r>
          </w:p>
        </w:tc>
        <w:tc>
          <w:tcPr>
            <w:tcW w:w="1872" w:type="dxa"/>
            <w:vAlign w:val="center"/>
          </w:tcPr>
          <w:p w14:paraId="06FDE573"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+9.5%</w:t>
            </w:r>
          </w:p>
        </w:tc>
        <w:tc>
          <w:tcPr>
            <w:tcW w:w="1872" w:type="dxa"/>
            <w:vAlign w:val="center"/>
          </w:tcPr>
          <w:p w14:paraId="55582C77"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below (close)</w:t>
            </w:r>
          </w:p>
        </w:tc>
      </w:tr>
      <w:tr w:rsidR="006F2E77" w14:paraId="63E64C68"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42A4916" w14:textId="77777777" w:rsidR="006F2E77" w:rsidRDefault="00000000">
            <w:r>
              <w:rPr>
                <w:sz w:val="20"/>
              </w:rPr>
              <w:t>MAPE %</w:t>
            </w:r>
          </w:p>
        </w:tc>
        <w:tc>
          <w:tcPr>
            <w:tcW w:w="1872" w:type="dxa"/>
            <w:vAlign w:val="center"/>
          </w:tcPr>
          <w:p w14:paraId="1542B5EC"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57.63 (Croston-SBA)</w:t>
            </w:r>
          </w:p>
        </w:tc>
        <w:tc>
          <w:tcPr>
            <w:tcW w:w="1872" w:type="dxa"/>
            <w:vAlign w:val="center"/>
          </w:tcPr>
          <w:p w14:paraId="3B49EBFC"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57.82</w:t>
            </w:r>
          </w:p>
        </w:tc>
        <w:tc>
          <w:tcPr>
            <w:tcW w:w="1872" w:type="dxa"/>
            <w:vAlign w:val="center"/>
          </w:tcPr>
          <w:p w14:paraId="1DEF06C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−0.3%</w:t>
            </w:r>
          </w:p>
        </w:tc>
        <w:tc>
          <w:tcPr>
            <w:tcW w:w="1872" w:type="dxa"/>
            <w:vAlign w:val="center"/>
          </w:tcPr>
          <w:p w14:paraId="75E4C1A8"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below</w:t>
            </w:r>
          </w:p>
        </w:tc>
      </w:tr>
      <w:tr w:rsidR="006F2E77" w14:paraId="5C26CC95"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150E0DB9" w14:textId="77777777" w:rsidR="006F2E77" w:rsidRDefault="00000000">
            <w:r>
              <w:rPr>
                <w:sz w:val="20"/>
              </w:rPr>
              <w:t>WMAPE %</w:t>
            </w:r>
          </w:p>
        </w:tc>
        <w:tc>
          <w:tcPr>
            <w:tcW w:w="1872" w:type="dxa"/>
            <w:vAlign w:val="center"/>
          </w:tcPr>
          <w:p w14:paraId="573120D0"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77.04 (AutoARIMA)</w:t>
            </w:r>
          </w:p>
        </w:tc>
        <w:tc>
          <w:tcPr>
            <w:tcW w:w="1872" w:type="dxa"/>
            <w:vAlign w:val="center"/>
          </w:tcPr>
          <w:p w14:paraId="12C4A4A8"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73.58</w:t>
            </w:r>
          </w:p>
        </w:tc>
        <w:tc>
          <w:tcPr>
            <w:tcW w:w="1872" w:type="dxa"/>
            <w:vAlign w:val="center"/>
          </w:tcPr>
          <w:p w14:paraId="1CED7363"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+4.5%</w:t>
            </w:r>
          </w:p>
        </w:tc>
        <w:tc>
          <w:tcPr>
            <w:tcW w:w="1872" w:type="dxa"/>
            <w:vAlign w:val="center"/>
          </w:tcPr>
          <w:p w14:paraId="5C7052D6"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below</w:t>
            </w:r>
          </w:p>
        </w:tc>
      </w:tr>
      <w:tr w:rsidR="006F2E77" w14:paraId="4B6F4337"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57835F19" w14:textId="77777777" w:rsidR="006F2E77" w:rsidRDefault="00000000">
            <w:r>
              <w:rPr>
                <w:sz w:val="20"/>
              </w:rPr>
              <w:t>Pred10 %</w:t>
            </w:r>
          </w:p>
        </w:tc>
        <w:tc>
          <w:tcPr>
            <w:tcW w:w="1872" w:type="dxa"/>
            <w:vAlign w:val="center"/>
          </w:tcPr>
          <w:p w14:paraId="65E41C4B"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16.08 (SeasonalNaive)</w:t>
            </w:r>
          </w:p>
        </w:tc>
        <w:tc>
          <w:tcPr>
            <w:tcW w:w="1872" w:type="dxa"/>
            <w:vAlign w:val="center"/>
          </w:tcPr>
          <w:p w14:paraId="7B1E5DC2"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9.62</w:t>
            </w:r>
          </w:p>
        </w:tc>
        <w:tc>
          <w:tcPr>
            <w:tcW w:w="1872" w:type="dxa"/>
            <w:vAlign w:val="center"/>
          </w:tcPr>
          <w:p w14:paraId="56FFC69F"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(see note)</w:t>
            </w:r>
          </w:p>
        </w:tc>
        <w:tc>
          <w:tcPr>
            <w:tcW w:w="1872" w:type="dxa"/>
            <w:vAlign w:val="center"/>
          </w:tcPr>
          <w:p w14:paraId="2D73B83A"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w:t>
            </w:r>
          </w:p>
        </w:tc>
      </w:tr>
    </w:tbl>
    <w:p w14:paraId="06726D06" w14:textId="77777777" w:rsidR="006F2E77" w:rsidRDefault="00000000">
      <w:pPr>
        <w:spacing w:after="120"/>
      </w:pPr>
      <w:r>
        <w:t>Three observations follow. First, the RMSE improvement (9.5%) is closest to the lower bound of the target range, reflecting that large errors — driven by promotional spikes and high-demand outliers — are substantially better-controlled by the ensemble than by ARIMA. Second, the MAE and WMAPE improvements (both ~4.5%) sit below the target range. Third, the MAPE result is essentially flat (−0.3%), which is the most challenging finding and warrants explicit discussion.</w:t>
      </w:r>
    </w:p>
    <w:p w14:paraId="6ECD4310" w14:textId="77777777" w:rsidR="006F2E77" w:rsidRDefault="00000000">
      <w:pPr>
        <w:spacing w:after="120"/>
      </w:pPr>
      <w:r>
        <w:t>The MAPE result reflects a structural property of intermittent retail demand at SKU-daily granularity that is documented in the M5 retrospective literature but not always made explicit in the comparative-modelling papers cited in Chapter 2. At this level of granularity, the residual standard deviation per series is bounded below by the inherent demand intermittence — many days have zero or near-zero sales, against which percentage-error metrics behave erratically. The literature targets of 10–25% MAPE improvement (Barghi, 2025; Seyedan et al., 2023) are typically achieved at weekly or category-level aggregation, where averaging reduces the relative weight of zero-actual rows. At the granularity used in this study, the MAE and RMSE improvements of 4.5% and 9.5% respectively are the more meaningful indicators of forecast quality, and these translate into operational value through the inventory analysis presented in Chapter 5, where total inventory cost reductions exceed the 5–15% Chapter 1 target.</w:t>
      </w:r>
    </w:p>
    <w:p w14:paraId="5392AC61" w14:textId="77777777" w:rsidR="006F2E77" w:rsidRDefault="00000000">
      <w:pPr>
        <w:spacing w:after="120"/>
      </w:pPr>
      <w:r>
        <w:t>On the Pred(10%) metric, Seasonal Naive's headline figure (16.08%) is misleading: the model achieves it by predicting the same value (last week's actual) for every observation, which by chance falls within 10% of demand for a substantial number of stable series, but at the cost of severe MAPE (81.87%) on volatile series. Pred(10%) should be interpreted alongside MAPE, not in isolation. The ensemble's 9.62% Pred(10%) is competitive with the ML base learners and operationally indistinguishable from them.</w:t>
      </w:r>
    </w:p>
    <w:p w14:paraId="3CEBF0E9" w14:textId="77777777" w:rsidR="006F2E77" w:rsidRDefault="00000000">
      <w:pPr>
        <w:pStyle w:val="Heading1"/>
      </w:pPr>
      <w:r>
        <w:rPr>
          <w:rFonts w:ascii="Arial" w:hAnsi="Arial"/>
          <w:color w:val="000000"/>
        </w:rPr>
        <w:t>4.11 Model Interpretability — SHAP Analysis</w:t>
      </w:r>
    </w:p>
    <w:p w14:paraId="4285F528" w14:textId="77777777" w:rsidR="006F2E77" w:rsidRDefault="00000000">
      <w:pPr>
        <w:spacing w:after="120"/>
      </w:pPr>
      <w:r>
        <w:t>Per the methodology specification in §3.10, feature importance for the best-performing individual tree model (LightGBM) is computed using SHAP (SHapley Additive exPlanations) values via the shap.TreeExplainer implementation. The analysis is performed on a 5,000-row stratified sample of the test set, yielding stable estimates of mean absolute SHAP value per feature.</w:t>
      </w:r>
    </w:p>
    <w:p w14:paraId="281AE98E" w14:textId="77777777" w:rsidR="006F2E77" w:rsidRDefault="00000000">
      <w:pPr>
        <w:spacing w:after="120"/>
      </w:pPr>
      <w:r>
        <w:t xml:space="preserve">Table 4.9 presents the top fifteen features ranked by mean absolute SHAP value. Two findings dominate. First, the top five features account for 78.6% of the model's predictive contribution — a high concentration that confirms the feature engineering strategy described in §3.5 </w:t>
      </w:r>
      <w:r>
        <w:lastRenderedPageBreak/>
        <w:t>successfully identified the principal demand drivers. Second, the top drivers are dominated by recent trend signals (rolling_mean_7 at 29.9%, rolling_mean_28 at 20.4%) and target-encoded item-level patterns (item_month_mean at 15.3%, item_dow_mean at 5.3%), confirming the literature consensus that historical sales statistics and item-specific seasonality together constitute the core feature set for retail demand forecasting (Barghi, 2025; Nasseri et al., 2023; Obi, 2024).</w:t>
      </w:r>
    </w:p>
    <w:p>
      <w:pPr>
        <w:jc w:val="center"/>
      </w:pPr>
      <w:r>
        <w:drawing>
          <wp:inline xmlns:a="http://schemas.openxmlformats.org/drawingml/2006/main" xmlns:pic="http://schemas.openxmlformats.org/drawingml/2006/picture">
            <wp:extent cx="5486400" cy="6522334"/>
            <wp:docPr id="2" name="Picture 2"/>
            <wp:cNvGraphicFramePr>
              <a:graphicFrameLocks noChangeAspect="1"/>
            </wp:cNvGraphicFramePr>
            <a:graphic>
              <a:graphicData uri="http://schemas.openxmlformats.org/drawingml/2006/picture">
                <pic:pic>
                  <pic:nvPicPr>
                    <pic:cNvPr id="0" name="shap_importance.png"/>
                    <pic:cNvPicPr/>
                  </pic:nvPicPr>
                  <pic:blipFill>
                    <a:blip r:embed="rId9"/>
                    <a:stretch>
                      <a:fillRect/>
                    </a:stretch>
                  </pic:blipFill>
                  <pic:spPr>
                    <a:xfrm>
                      <a:off x="0" y="0"/>
                      <a:ext cx="5486400" cy="6522334"/>
                    </a:xfrm>
                    <a:prstGeom prst="rect"/>
                  </pic:spPr>
                </pic:pic>
              </a:graphicData>
            </a:graphic>
          </wp:inline>
        </w:drawing>
      </w:r>
    </w:p>
    <w:p>
      <w:pPr>
        <w:spacing w:after="360"/>
        <w:jc w:val="center"/>
      </w:pPr>
      <w:r>
        <w:rPr>
          <w:rFonts w:ascii="Arial" w:hAnsi="Arial"/>
          <w:i/>
          <w:sz w:val="20"/>
        </w:rPr>
        <w:t>Figure 4.2. SHAP feature importance ranking for the LightGBM model (mean absolute SHAP values, computed on a 5,000-row stratified sample of the test set). The top five features — rolling_mean_7, rolling_mean_28, item_month_mean, rolling_std_7, and item_dow_mean — together account for 78.6% of model behaviour, confirming that engineered temporal statistics and target-encoded item-level seasonality are the dominant predictive drivers.</w:t>
      </w:r>
    </w:p>
    <w:p>
      <w:pPr>
        <w:jc w:val="center"/>
      </w:pPr>
      <w:r>
        <w:drawing>
          <wp:inline xmlns:a="http://schemas.openxmlformats.org/drawingml/2006/main" xmlns:pic="http://schemas.openxmlformats.org/drawingml/2006/picture">
            <wp:extent cx="5486400" cy="5272180"/>
            <wp:docPr id="3" name="Picture 3"/>
            <wp:cNvGraphicFramePr>
              <a:graphicFrameLocks noChangeAspect="1"/>
            </wp:cNvGraphicFramePr>
            <a:graphic>
              <a:graphicData uri="http://schemas.openxmlformats.org/drawingml/2006/picture">
                <pic:pic>
                  <pic:nvPicPr>
                    <pic:cNvPr id="0" name="shap_beeswarm.png"/>
                    <pic:cNvPicPr/>
                  </pic:nvPicPr>
                  <pic:blipFill>
                    <a:blip r:embed="rId10"/>
                    <a:stretch>
                      <a:fillRect/>
                    </a:stretch>
                  </pic:blipFill>
                  <pic:spPr>
                    <a:xfrm>
                      <a:off x="0" y="0"/>
                      <a:ext cx="5486400" cy="5272180"/>
                    </a:xfrm>
                    <a:prstGeom prst="rect"/>
                  </pic:spPr>
                </pic:pic>
              </a:graphicData>
            </a:graphic>
          </wp:inline>
        </w:drawing>
      </w:r>
    </w:p>
    <w:p>
      <w:pPr>
        <w:spacing w:after="360"/>
        <w:jc w:val="center"/>
      </w:pPr>
      <w:r>
        <w:rPr>
          <w:rFonts w:ascii="Arial" w:hAnsi="Arial"/>
          <w:i/>
          <w:sz w:val="20"/>
        </w:rPr>
        <w:t>Figure 4.3. SHAP beeswarm plot showing the directional effect of each feature on individual predictions. Each point represents one observation; horizontal position shows the SHAP value (positive = higher predicted demand) and colour encodes the feature value (red = high, blue = low). The plot reveals that high recent demand (rolling_mean_7) and high item-specific historical levels push predictions upward, while is_snap_day and weekend indicators contribute meaningful but smaller signals.</w:t>
      </w:r>
    </w:p>
    <w:p w14:paraId="2B7EC740" w14:textId="77777777" w:rsidR="006F2E77" w:rsidRDefault="00000000">
      <w:pPr>
        <w:spacing w:before="160" w:after="80"/>
      </w:pPr>
      <w:r>
        <w:rPr>
          <w:b/>
          <w:sz w:val="20"/>
        </w:rPr>
        <w:t>Table 4.9: Top 15 features by mean absolute SHAP value</w:t>
      </w:r>
    </w:p>
    <w:tbl>
      <w:tblPr>
        <w:tblStyle w:val="LightGrid-Accent1"/>
        <w:tblW w:w="0" w:type="auto"/>
        <w:tblLook w:val="04A0" w:firstRow="1" w:lastRow="0" w:firstColumn="1" w:lastColumn="0" w:noHBand="0" w:noVBand="1"/>
      </w:tblPr>
      <w:tblGrid>
        <w:gridCol w:w="1872"/>
        <w:gridCol w:w="1873"/>
        <w:gridCol w:w="1872"/>
        <w:gridCol w:w="1872"/>
        <w:gridCol w:w="1872"/>
      </w:tblGrid>
      <w:tr w:rsidR="006F2E77" w14:paraId="1738A47C"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shd w:val="clear" w:color="auto" w:fill="D5E8F0"/>
            <w:vAlign w:val="center"/>
          </w:tcPr>
          <w:p w14:paraId="39AEB3D9" w14:textId="77777777" w:rsidR="006F2E77" w:rsidRDefault="00000000">
            <w:r>
              <w:rPr>
                <w:sz w:val="20"/>
              </w:rPr>
              <w:t>Rank</w:t>
            </w:r>
          </w:p>
        </w:tc>
        <w:tc>
          <w:tcPr>
            <w:tcW w:w="1872" w:type="dxa"/>
            <w:shd w:val="clear" w:color="auto" w:fill="D5E8F0"/>
            <w:vAlign w:val="center"/>
          </w:tcPr>
          <w:p w14:paraId="7E365E40"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c>
          <w:tcPr>
            <w:tcW w:w="1872" w:type="dxa"/>
            <w:shd w:val="clear" w:color="auto" w:fill="D5E8F0"/>
            <w:vAlign w:val="center"/>
          </w:tcPr>
          <w:p w14:paraId="06CAB5F7"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Mean |SHAP|</w:t>
            </w:r>
          </w:p>
        </w:tc>
        <w:tc>
          <w:tcPr>
            <w:tcW w:w="1872" w:type="dxa"/>
            <w:shd w:val="clear" w:color="auto" w:fill="D5E8F0"/>
            <w:vAlign w:val="center"/>
          </w:tcPr>
          <w:p w14:paraId="29B369D2"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 of total</w:t>
            </w:r>
          </w:p>
        </w:tc>
        <w:tc>
          <w:tcPr>
            <w:tcW w:w="1872" w:type="dxa"/>
            <w:shd w:val="clear" w:color="auto" w:fill="D5E8F0"/>
            <w:vAlign w:val="center"/>
          </w:tcPr>
          <w:p w14:paraId="62EF73C1"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Cumulative %</w:t>
            </w:r>
          </w:p>
        </w:tc>
      </w:tr>
      <w:tr w:rsidR="006F2E77" w14:paraId="0BD58514"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30AD5B4" w14:textId="77777777" w:rsidR="006F2E77" w:rsidRDefault="00000000">
            <w:r>
              <w:rPr>
                <w:sz w:val="20"/>
              </w:rPr>
              <w:t>1</w:t>
            </w:r>
          </w:p>
        </w:tc>
        <w:tc>
          <w:tcPr>
            <w:tcW w:w="1872" w:type="dxa"/>
            <w:vAlign w:val="center"/>
          </w:tcPr>
          <w:p w14:paraId="01B53E20"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rolling_mean_7</w:t>
            </w:r>
          </w:p>
        </w:tc>
        <w:tc>
          <w:tcPr>
            <w:tcW w:w="1872" w:type="dxa"/>
            <w:vAlign w:val="center"/>
          </w:tcPr>
          <w:p w14:paraId="211CFC1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0.413</w:t>
            </w:r>
          </w:p>
        </w:tc>
        <w:tc>
          <w:tcPr>
            <w:tcW w:w="1872" w:type="dxa"/>
            <w:vAlign w:val="center"/>
          </w:tcPr>
          <w:p w14:paraId="700097A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29.9</w:t>
            </w:r>
          </w:p>
        </w:tc>
        <w:tc>
          <w:tcPr>
            <w:tcW w:w="1872" w:type="dxa"/>
            <w:vAlign w:val="center"/>
          </w:tcPr>
          <w:p w14:paraId="61C63469"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29.9</w:t>
            </w:r>
          </w:p>
        </w:tc>
      </w:tr>
      <w:tr w:rsidR="006F2E77" w14:paraId="1EB3C8B8"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195EF715" w14:textId="77777777" w:rsidR="006F2E77" w:rsidRDefault="00000000">
            <w:r>
              <w:rPr>
                <w:sz w:val="20"/>
              </w:rPr>
              <w:t>2</w:t>
            </w:r>
          </w:p>
        </w:tc>
        <w:tc>
          <w:tcPr>
            <w:tcW w:w="1872" w:type="dxa"/>
            <w:vAlign w:val="center"/>
          </w:tcPr>
          <w:p w14:paraId="6B39978D"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rolling_mean_28</w:t>
            </w:r>
          </w:p>
        </w:tc>
        <w:tc>
          <w:tcPr>
            <w:tcW w:w="1872" w:type="dxa"/>
            <w:vAlign w:val="center"/>
          </w:tcPr>
          <w:p w14:paraId="1B77DB89"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0.282</w:t>
            </w:r>
          </w:p>
        </w:tc>
        <w:tc>
          <w:tcPr>
            <w:tcW w:w="1872" w:type="dxa"/>
            <w:vAlign w:val="center"/>
          </w:tcPr>
          <w:p w14:paraId="602DCC0B"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20.4</w:t>
            </w:r>
          </w:p>
        </w:tc>
        <w:tc>
          <w:tcPr>
            <w:tcW w:w="1872" w:type="dxa"/>
            <w:vAlign w:val="center"/>
          </w:tcPr>
          <w:p w14:paraId="57F9A174"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50.3</w:t>
            </w:r>
          </w:p>
        </w:tc>
      </w:tr>
      <w:tr w:rsidR="006F2E77" w14:paraId="4C1CC59C"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227EBB2" w14:textId="77777777" w:rsidR="006F2E77" w:rsidRDefault="00000000">
            <w:r>
              <w:rPr>
                <w:sz w:val="20"/>
              </w:rPr>
              <w:t>3</w:t>
            </w:r>
          </w:p>
        </w:tc>
        <w:tc>
          <w:tcPr>
            <w:tcW w:w="1872" w:type="dxa"/>
            <w:vAlign w:val="center"/>
          </w:tcPr>
          <w:p w14:paraId="0089F5F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item_month_mean</w:t>
            </w:r>
          </w:p>
        </w:tc>
        <w:tc>
          <w:tcPr>
            <w:tcW w:w="1872" w:type="dxa"/>
            <w:vAlign w:val="center"/>
          </w:tcPr>
          <w:p w14:paraId="47AEBB29"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0.211</w:t>
            </w:r>
          </w:p>
        </w:tc>
        <w:tc>
          <w:tcPr>
            <w:tcW w:w="1872" w:type="dxa"/>
            <w:vAlign w:val="center"/>
          </w:tcPr>
          <w:p w14:paraId="154EDBFB"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15.3</w:t>
            </w:r>
          </w:p>
        </w:tc>
        <w:tc>
          <w:tcPr>
            <w:tcW w:w="1872" w:type="dxa"/>
            <w:vAlign w:val="center"/>
          </w:tcPr>
          <w:p w14:paraId="0D59E116"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65.6</w:t>
            </w:r>
          </w:p>
        </w:tc>
      </w:tr>
      <w:tr w:rsidR="006F2E77" w14:paraId="25FE82CF"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06D5C97E" w14:textId="77777777" w:rsidR="006F2E77" w:rsidRDefault="00000000">
            <w:r>
              <w:rPr>
                <w:sz w:val="20"/>
              </w:rPr>
              <w:t>4</w:t>
            </w:r>
          </w:p>
        </w:tc>
        <w:tc>
          <w:tcPr>
            <w:tcW w:w="1872" w:type="dxa"/>
            <w:vAlign w:val="center"/>
          </w:tcPr>
          <w:p w14:paraId="529F95C1"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rolling_std_7</w:t>
            </w:r>
          </w:p>
        </w:tc>
        <w:tc>
          <w:tcPr>
            <w:tcW w:w="1872" w:type="dxa"/>
            <w:vAlign w:val="center"/>
          </w:tcPr>
          <w:p w14:paraId="4F40E2AE"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0.107</w:t>
            </w:r>
          </w:p>
        </w:tc>
        <w:tc>
          <w:tcPr>
            <w:tcW w:w="1872" w:type="dxa"/>
            <w:vAlign w:val="center"/>
          </w:tcPr>
          <w:p w14:paraId="074517B0"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7.7</w:t>
            </w:r>
          </w:p>
        </w:tc>
        <w:tc>
          <w:tcPr>
            <w:tcW w:w="1872" w:type="dxa"/>
            <w:vAlign w:val="center"/>
          </w:tcPr>
          <w:p w14:paraId="00AA72B0"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73.3</w:t>
            </w:r>
          </w:p>
        </w:tc>
      </w:tr>
      <w:tr w:rsidR="006F2E77" w14:paraId="5EEC95E5"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2FED13DF" w14:textId="77777777" w:rsidR="006F2E77" w:rsidRDefault="00000000">
            <w:r>
              <w:rPr>
                <w:sz w:val="20"/>
              </w:rPr>
              <w:t>5</w:t>
            </w:r>
          </w:p>
        </w:tc>
        <w:tc>
          <w:tcPr>
            <w:tcW w:w="1872" w:type="dxa"/>
            <w:vAlign w:val="center"/>
          </w:tcPr>
          <w:p w14:paraId="35201ABB"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item_dow_mean</w:t>
            </w:r>
          </w:p>
        </w:tc>
        <w:tc>
          <w:tcPr>
            <w:tcW w:w="1872" w:type="dxa"/>
            <w:vAlign w:val="center"/>
          </w:tcPr>
          <w:p w14:paraId="2BAE496B"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0.073</w:t>
            </w:r>
          </w:p>
        </w:tc>
        <w:tc>
          <w:tcPr>
            <w:tcW w:w="1872" w:type="dxa"/>
            <w:vAlign w:val="center"/>
          </w:tcPr>
          <w:p w14:paraId="58436905"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5.3</w:t>
            </w:r>
          </w:p>
        </w:tc>
        <w:tc>
          <w:tcPr>
            <w:tcW w:w="1872" w:type="dxa"/>
            <w:vAlign w:val="center"/>
          </w:tcPr>
          <w:p w14:paraId="2D20D08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78.6</w:t>
            </w:r>
          </w:p>
        </w:tc>
      </w:tr>
      <w:tr w:rsidR="006F2E77" w14:paraId="501D834B"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353F5DA4" w14:textId="77777777" w:rsidR="006F2E77" w:rsidRDefault="00000000">
            <w:r>
              <w:rPr>
                <w:sz w:val="20"/>
              </w:rPr>
              <w:t>6</w:t>
            </w:r>
          </w:p>
        </w:tc>
        <w:tc>
          <w:tcPr>
            <w:tcW w:w="1872" w:type="dxa"/>
            <w:vAlign w:val="center"/>
          </w:tcPr>
          <w:p w14:paraId="5AF8222F"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year</w:t>
            </w:r>
          </w:p>
        </w:tc>
        <w:tc>
          <w:tcPr>
            <w:tcW w:w="1872" w:type="dxa"/>
            <w:vAlign w:val="center"/>
          </w:tcPr>
          <w:p w14:paraId="7C445B75"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0.067</w:t>
            </w:r>
          </w:p>
        </w:tc>
        <w:tc>
          <w:tcPr>
            <w:tcW w:w="1872" w:type="dxa"/>
            <w:vAlign w:val="center"/>
          </w:tcPr>
          <w:p w14:paraId="65759768"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4.9</w:t>
            </w:r>
          </w:p>
        </w:tc>
        <w:tc>
          <w:tcPr>
            <w:tcW w:w="1872" w:type="dxa"/>
            <w:vAlign w:val="center"/>
          </w:tcPr>
          <w:p w14:paraId="6B3E4D04"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83.4</w:t>
            </w:r>
          </w:p>
        </w:tc>
      </w:tr>
      <w:tr w:rsidR="006F2E77" w14:paraId="75CF64E0"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1742C338" w14:textId="77777777" w:rsidR="006F2E77" w:rsidRDefault="00000000">
            <w:r>
              <w:rPr>
                <w:sz w:val="20"/>
              </w:rPr>
              <w:t>7</w:t>
            </w:r>
          </w:p>
        </w:tc>
        <w:tc>
          <w:tcPr>
            <w:tcW w:w="1872" w:type="dxa"/>
            <w:vAlign w:val="center"/>
          </w:tcPr>
          <w:p w14:paraId="7747EF31"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lag_14</w:t>
            </w:r>
          </w:p>
        </w:tc>
        <w:tc>
          <w:tcPr>
            <w:tcW w:w="1872" w:type="dxa"/>
            <w:vAlign w:val="center"/>
          </w:tcPr>
          <w:p w14:paraId="1DB01F51"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0.060</w:t>
            </w:r>
          </w:p>
        </w:tc>
        <w:tc>
          <w:tcPr>
            <w:tcW w:w="1872" w:type="dxa"/>
            <w:vAlign w:val="center"/>
          </w:tcPr>
          <w:p w14:paraId="08AE2B4A"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4.3</w:t>
            </w:r>
          </w:p>
        </w:tc>
        <w:tc>
          <w:tcPr>
            <w:tcW w:w="1872" w:type="dxa"/>
            <w:vAlign w:val="center"/>
          </w:tcPr>
          <w:p w14:paraId="1CBF669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87.7</w:t>
            </w:r>
          </w:p>
        </w:tc>
      </w:tr>
      <w:tr w:rsidR="006F2E77" w14:paraId="57E337CC"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305DE428" w14:textId="77777777" w:rsidR="006F2E77" w:rsidRDefault="00000000">
            <w:r>
              <w:rPr>
                <w:sz w:val="20"/>
              </w:rPr>
              <w:t>8</w:t>
            </w:r>
          </w:p>
        </w:tc>
        <w:tc>
          <w:tcPr>
            <w:tcW w:w="1872" w:type="dxa"/>
            <w:vAlign w:val="center"/>
          </w:tcPr>
          <w:p w14:paraId="1D0692E6"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lag_7</w:t>
            </w:r>
          </w:p>
        </w:tc>
        <w:tc>
          <w:tcPr>
            <w:tcW w:w="1872" w:type="dxa"/>
            <w:vAlign w:val="center"/>
          </w:tcPr>
          <w:p w14:paraId="203E3628"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0.032</w:t>
            </w:r>
          </w:p>
        </w:tc>
        <w:tc>
          <w:tcPr>
            <w:tcW w:w="1872" w:type="dxa"/>
            <w:vAlign w:val="center"/>
          </w:tcPr>
          <w:p w14:paraId="0DB063A4"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2.4</w:t>
            </w:r>
          </w:p>
        </w:tc>
        <w:tc>
          <w:tcPr>
            <w:tcW w:w="1872" w:type="dxa"/>
            <w:vAlign w:val="center"/>
          </w:tcPr>
          <w:p w14:paraId="42EB4C84"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90.1</w:t>
            </w:r>
          </w:p>
        </w:tc>
      </w:tr>
      <w:tr w:rsidR="006F2E77" w14:paraId="4B340319"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42E070C4" w14:textId="77777777" w:rsidR="006F2E77" w:rsidRDefault="00000000">
            <w:r>
              <w:rPr>
                <w:sz w:val="20"/>
              </w:rPr>
              <w:t>9</w:t>
            </w:r>
          </w:p>
        </w:tc>
        <w:tc>
          <w:tcPr>
            <w:tcW w:w="1872" w:type="dxa"/>
            <w:vAlign w:val="center"/>
          </w:tcPr>
          <w:p w14:paraId="3752D902"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day_of_week</w:t>
            </w:r>
          </w:p>
        </w:tc>
        <w:tc>
          <w:tcPr>
            <w:tcW w:w="1872" w:type="dxa"/>
            <w:vAlign w:val="center"/>
          </w:tcPr>
          <w:p w14:paraId="005BF859"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0.028</w:t>
            </w:r>
          </w:p>
        </w:tc>
        <w:tc>
          <w:tcPr>
            <w:tcW w:w="1872" w:type="dxa"/>
            <w:vAlign w:val="center"/>
          </w:tcPr>
          <w:p w14:paraId="635320E8"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c>
          <w:tcPr>
            <w:tcW w:w="1872" w:type="dxa"/>
            <w:vAlign w:val="center"/>
          </w:tcPr>
          <w:p w14:paraId="0722556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92.1</w:t>
            </w:r>
          </w:p>
        </w:tc>
      </w:tr>
      <w:tr w:rsidR="006F2E77" w14:paraId="0708E790"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2567C162" w14:textId="77777777" w:rsidR="006F2E77" w:rsidRDefault="00000000">
            <w:r>
              <w:rPr>
                <w:sz w:val="20"/>
              </w:rPr>
              <w:t>10</w:t>
            </w:r>
          </w:p>
        </w:tc>
        <w:tc>
          <w:tcPr>
            <w:tcW w:w="1872" w:type="dxa"/>
            <w:vAlign w:val="center"/>
          </w:tcPr>
          <w:p w14:paraId="18728447"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item_mean</w:t>
            </w:r>
          </w:p>
        </w:tc>
        <w:tc>
          <w:tcPr>
            <w:tcW w:w="1872" w:type="dxa"/>
            <w:vAlign w:val="center"/>
          </w:tcPr>
          <w:p w14:paraId="7C4949B1"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0.023</w:t>
            </w:r>
          </w:p>
        </w:tc>
        <w:tc>
          <w:tcPr>
            <w:tcW w:w="1872" w:type="dxa"/>
            <w:vAlign w:val="center"/>
          </w:tcPr>
          <w:p w14:paraId="229D0A75"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1.7</w:t>
            </w:r>
          </w:p>
        </w:tc>
        <w:tc>
          <w:tcPr>
            <w:tcW w:w="1872" w:type="dxa"/>
            <w:vAlign w:val="center"/>
          </w:tcPr>
          <w:p w14:paraId="7DA6E76B"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93.8</w:t>
            </w:r>
          </w:p>
        </w:tc>
      </w:tr>
      <w:tr w:rsidR="006F2E77" w14:paraId="4B0FC085"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BA8442B" w14:textId="77777777" w:rsidR="006F2E77" w:rsidRDefault="00000000">
            <w:r>
              <w:rPr>
                <w:sz w:val="20"/>
              </w:rPr>
              <w:t>11</w:t>
            </w:r>
          </w:p>
        </w:tc>
        <w:tc>
          <w:tcPr>
            <w:tcW w:w="1872" w:type="dxa"/>
            <w:vAlign w:val="center"/>
          </w:tcPr>
          <w:p w14:paraId="014C230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lag_28</w:t>
            </w:r>
          </w:p>
        </w:tc>
        <w:tc>
          <w:tcPr>
            <w:tcW w:w="1872" w:type="dxa"/>
            <w:vAlign w:val="center"/>
          </w:tcPr>
          <w:p w14:paraId="60E9861C"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0.022</w:t>
            </w:r>
          </w:p>
        </w:tc>
        <w:tc>
          <w:tcPr>
            <w:tcW w:w="1872" w:type="dxa"/>
            <w:vAlign w:val="center"/>
          </w:tcPr>
          <w:p w14:paraId="79CAB896"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1.6</w:t>
            </w:r>
          </w:p>
        </w:tc>
        <w:tc>
          <w:tcPr>
            <w:tcW w:w="1872" w:type="dxa"/>
            <w:vAlign w:val="center"/>
          </w:tcPr>
          <w:p w14:paraId="711844AE"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95.4</w:t>
            </w:r>
          </w:p>
        </w:tc>
      </w:tr>
      <w:tr w:rsidR="006F2E77" w14:paraId="7166D65E"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36598B27" w14:textId="77777777" w:rsidR="006F2E77" w:rsidRDefault="00000000">
            <w:r>
              <w:rPr>
                <w:sz w:val="20"/>
              </w:rPr>
              <w:t>12</w:t>
            </w:r>
          </w:p>
        </w:tc>
        <w:tc>
          <w:tcPr>
            <w:tcW w:w="1872" w:type="dxa"/>
            <w:vAlign w:val="center"/>
          </w:tcPr>
          <w:p w14:paraId="243C3308"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is_snap_day</w:t>
            </w:r>
          </w:p>
        </w:tc>
        <w:tc>
          <w:tcPr>
            <w:tcW w:w="1872" w:type="dxa"/>
            <w:vAlign w:val="center"/>
          </w:tcPr>
          <w:p w14:paraId="347E87E8"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0.017</w:t>
            </w:r>
          </w:p>
        </w:tc>
        <w:tc>
          <w:tcPr>
            <w:tcW w:w="1872" w:type="dxa"/>
            <w:vAlign w:val="center"/>
          </w:tcPr>
          <w:p w14:paraId="7530AC7D"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1.3</w:t>
            </w:r>
          </w:p>
        </w:tc>
        <w:tc>
          <w:tcPr>
            <w:tcW w:w="1872" w:type="dxa"/>
            <w:vAlign w:val="center"/>
          </w:tcPr>
          <w:p w14:paraId="6756361D"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96.6</w:t>
            </w:r>
          </w:p>
        </w:tc>
      </w:tr>
      <w:tr w:rsidR="006F2E77" w14:paraId="00876DFB"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113ABA34" w14:textId="77777777" w:rsidR="006F2E77" w:rsidRDefault="00000000">
            <w:r>
              <w:rPr>
                <w:sz w:val="20"/>
              </w:rPr>
              <w:t>13</w:t>
            </w:r>
          </w:p>
        </w:tc>
        <w:tc>
          <w:tcPr>
            <w:tcW w:w="1872" w:type="dxa"/>
            <w:vAlign w:val="center"/>
          </w:tcPr>
          <w:p w14:paraId="15061F81"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sell_price</w:t>
            </w:r>
          </w:p>
        </w:tc>
        <w:tc>
          <w:tcPr>
            <w:tcW w:w="1872" w:type="dxa"/>
            <w:vAlign w:val="center"/>
          </w:tcPr>
          <w:p w14:paraId="26F35DB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0.011</w:t>
            </w:r>
          </w:p>
        </w:tc>
        <w:tc>
          <w:tcPr>
            <w:tcW w:w="1872" w:type="dxa"/>
            <w:vAlign w:val="center"/>
          </w:tcPr>
          <w:p w14:paraId="615E5A9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0.8</w:t>
            </w:r>
          </w:p>
        </w:tc>
        <w:tc>
          <w:tcPr>
            <w:tcW w:w="1872" w:type="dxa"/>
            <w:vAlign w:val="center"/>
          </w:tcPr>
          <w:p w14:paraId="7BC64664"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97.4</w:t>
            </w:r>
          </w:p>
        </w:tc>
      </w:tr>
      <w:tr w:rsidR="006F2E77" w14:paraId="56FFA88F"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6692EF34" w14:textId="77777777" w:rsidR="006F2E77" w:rsidRDefault="00000000">
            <w:r>
              <w:rPr>
                <w:sz w:val="20"/>
              </w:rPr>
              <w:t>14</w:t>
            </w:r>
          </w:p>
        </w:tc>
        <w:tc>
          <w:tcPr>
            <w:tcW w:w="1872" w:type="dxa"/>
            <w:vAlign w:val="center"/>
          </w:tcPr>
          <w:p w14:paraId="2DEF8080"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is_weekend</w:t>
            </w:r>
          </w:p>
        </w:tc>
        <w:tc>
          <w:tcPr>
            <w:tcW w:w="1872" w:type="dxa"/>
            <w:vAlign w:val="center"/>
          </w:tcPr>
          <w:p w14:paraId="58216EF0"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0.009</w:t>
            </w:r>
          </w:p>
        </w:tc>
        <w:tc>
          <w:tcPr>
            <w:tcW w:w="1872" w:type="dxa"/>
            <w:vAlign w:val="center"/>
          </w:tcPr>
          <w:p w14:paraId="15A9CF1F"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0.6</w:t>
            </w:r>
          </w:p>
        </w:tc>
        <w:tc>
          <w:tcPr>
            <w:tcW w:w="1872" w:type="dxa"/>
            <w:vAlign w:val="center"/>
          </w:tcPr>
          <w:p w14:paraId="2E7B9B40"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98.1</w:t>
            </w:r>
          </w:p>
        </w:tc>
      </w:tr>
      <w:tr w:rsidR="006F2E77" w14:paraId="1F5EC9FF"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28F26CA3" w14:textId="77777777" w:rsidR="006F2E77" w:rsidRDefault="00000000">
            <w:r>
              <w:rPr>
                <w:sz w:val="20"/>
              </w:rPr>
              <w:t>15</w:t>
            </w:r>
          </w:p>
        </w:tc>
        <w:tc>
          <w:tcPr>
            <w:tcW w:w="1872" w:type="dxa"/>
            <w:vAlign w:val="center"/>
          </w:tcPr>
          <w:p w14:paraId="773E784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item_id</w:t>
            </w:r>
          </w:p>
        </w:tc>
        <w:tc>
          <w:tcPr>
            <w:tcW w:w="1872" w:type="dxa"/>
            <w:vAlign w:val="center"/>
          </w:tcPr>
          <w:p w14:paraId="32989462"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0.004</w:t>
            </w:r>
          </w:p>
        </w:tc>
        <w:tc>
          <w:tcPr>
            <w:tcW w:w="1872" w:type="dxa"/>
            <w:vAlign w:val="center"/>
          </w:tcPr>
          <w:p w14:paraId="2281389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0.3</w:t>
            </w:r>
          </w:p>
        </w:tc>
        <w:tc>
          <w:tcPr>
            <w:tcW w:w="1872" w:type="dxa"/>
            <w:vAlign w:val="center"/>
          </w:tcPr>
          <w:p w14:paraId="52659DA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98.4</w:t>
            </w:r>
          </w:p>
        </w:tc>
      </w:tr>
    </w:tbl>
    <w:p w14:paraId="1277EE71" w14:textId="77777777" w:rsidR="006F2E77" w:rsidRDefault="00000000">
      <w:pPr>
        <w:spacing w:after="120"/>
      </w:pPr>
      <w:r>
        <w:t>Three further observations support the validity of the feature design. The presence of rolling_std_7 in the top tier (7.7%) confirms that demand volatility is itself a useful predictor, justifying its inclusion as a safety-stock-relevant feature. The is_snap_day indicator appears in the top twelve, consistent with the methodology's explicit treatment of SNAP eligibility as a demand driver for the Foods category. Finally, identifier features (item_id, store_id) contribute marginally on their own (each &lt;0.5%) because the target-encoded mean features carry the cross-sectional signal more efficiently — supporting the methodological choice in §3.4.6 to add target encoding to the feature set.</w:t>
      </w:r>
    </w:p>
    <w:p>
      <w:pPr>
        <w:jc w:val="center"/>
      </w:pPr>
      <w:r>
        <w:drawing>
          <wp:inline xmlns:a="http://schemas.openxmlformats.org/drawingml/2006/main" xmlns:pic="http://schemas.openxmlformats.org/drawingml/2006/picture">
            <wp:extent cx="5486400" cy="1959429"/>
            <wp:docPr id="4" name="Picture 4"/>
            <wp:cNvGraphicFramePr>
              <a:graphicFrameLocks noChangeAspect="1"/>
            </wp:cNvGraphicFramePr>
            <a:graphic>
              <a:graphicData uri="http://schemas.openxmlformats.org/drawingml/2006/picture">
                <pic:pic>
                  <pic:nvPicPr>
                    <pic:cNvPr id="0" name="fairness_check.png"/>
                    <pic:cNvPicPr/>
                  </pic:nvPicPr>
                  <pic:blipFill>
                    <a:blip r:embed="rId11"/>
                    <a:stretch>
                      <a:fillRect/>
                    </a:stretch>
                  </pic:blipFill>
                  <pic:spPr>
                    <a:xfrm>
                      <a:off x="0" y="0"/>
                      <a:ext cx="5486400" cy="1959429"/>
                    </a:xfrm>
                    <a:prstGeom prst="rect"/>
                  </pic:spPr>
                </pic:pic>
              </a:graphicData>
            </a:graphic>
          </wp:inline>
        </w:drawing>
      </w:r>
    </w:p>
    <w:p>
      <w:pPr>
        <w:spacing w:after="360"/>
        <w:jc w:val="center"/>
      </w:pPr>
      <w:r>
        <w:rPr>
          <w:rFonts w:ascii="Arial" w:hAnsi="Arial"/>
          <w:i/>
          <w:sz w:val="20"/>
        </w:rPr>
        <w:t>Figure 4.4. Performance fairness analysis. WMAPE is reported by product category (left) and by state (right). Variation across categories (26.8% coefficient of variation) and across states (19.8%) reflects underlying demand structure (intermittence levels, demand volumes) rather than systematic algorithmic bias: no category or state performs more than 2× worse than another on any metric. Foods, the highest-volume category, has the highest absolute MAE but the best WMAPE and Pred(10%).</w:t>
      </w:r>
    </w:p>
    <w:p w14:paraId="1E031E60" w14:textId="77777777" w:rsidR="006F2E77" w:rsidRDefault="00000000">
      <w:pPr>
        <w:pStyle w:val="Heading1"/>
      </w:pPr>
      <w:r>
        <w:rPr>
          <w:rFonts w:ascii="Arial" w:hAnsi="Arial"/>
          <w:color w:val="000000"/>
        </w:rPr>
        <w:t>4.12 Performance Fairness Across Categories and States</w:t>
      </w:r>
    </w:p>
    <w:p w14:paraId="78B0FAA0" w14:textId="77777777" w:rsidR="006F2E77" w:rsidRDefault="00000000">
      <w:pPr>
        <w:spacing w:after="120"/>
      </w:pPr>
      <w:r>
        <w:t>Per methodology §3.10, ensemble forecast metrics are recomputed disaggregated by product category and by state to verify the absence of systematic disparate performance. Tables 4.10 and 4.11 present the per-group results.</w:t>
      </w:r>
    </w:p>
    <w:p w14:paraId="388BBD58" w14:textId="77777777" w:rsidR="006F2E77" w:rsidRDefault="00000000">
      <w:pPr>
        <w:spacing w:before="160" w:after="80"/>
      </w:pPr>
      <w:r>
        <w:rPr>
          <w:b/>
          <w:sz w:val="20"/>
        </w:rPr>
        <w:t>Table 4.10: Ensemble metrics by product category</w:t>
      </w:r>
    </w:p>
    <w:tbl>
      <w:tblPr>
        <w:tblStyle w:val="LightGrid-Accent1"/>
        <w:tblW w:w="0" w:type="auto"/>
        <w:tblLook w:val="04A0" w:firstRow="1" w:lastRow="0" w:firstColumn="1" w:lastColumn="0" w:noHBand="0" w:noVBand="1"/>
      </w:tblPr>
      <w:tblGrid>
        <w:gridCol w:w="1337"/>
        <w:gridCol w:w="1337"/>
        <w:gridCol w:w="1337"/>
        <w:gridCol w:w="1337"/>
        <w:gridCol w:w="1337"/>
        <w:gridCol w:w="1337"/>
        <w:gridCol w:w="1337"/>
      </w:tblGrid>
      <w:tr w:rsidR="006F2E77" w14:paraId="5853B480"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shd w:val="clear" w:color="auto" w:fill="D5E8F0"/>
            <w:vAlign w:val="center"/>
          </w:tcPr>
          <w:p w14:paraId="63EB9E20" w14:textId="77777777" w:rsidR="006F2E77" w:rsidRDefault="00000000">
            <w:r>
              <w:rPr>
                <w:sz w:val="20"/>
              </w:rPr>
              <w:t>Category</w:t>
            </w:r>
          </w:p>
        </w:tc>
        <w:tc>
          <w:tcPr>
            <w:tcW w:w="1337" w:type="dxa"/>
            <w:shd w:val="clear" w:color="auto" w:fill="D5E8F0"/>
            <w:vAlign w:val="center"/>
          </w:tcPr>
          <w:p w14:paraId="611E2490"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n rows</w:t>
            </w:r>
          </w:p>
        </w:tc>
        <w:tc>
          <w:tcPr>
            <w:tcW w:w="1337" w:type="dxa"/>
            <w:shd w:val="clear" w:color="auto" w:fill="D5E8F0"/>
            <w:vAlign w:val="center"/>
          </w:tcPr>
          <w:p w14:paraId="5C6D9A94"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c>
          <w:tcPr>
            <w:tcW w:w="1337" w:type="dxa"/>
            <w:shd w:val="clear" w:color="auto" w:fill="D5E8F0"/>
            <w:vAlign w:val="center"/>
          </w:tcPr>
          <w:p w14:paraId="73CFF9AD"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RMSE</w:t>
            </w:r>
          </w:p>
        </w:tc>
        <w:tc>
          <w:tcPr>
            <w:tcW w:w="1337" w:type="dxa"/>
            <w:shd w:val="clear" w:color="auto" w:fill="D5E8F0"/>
            <w:vAlign w:val="center"/>
          </w:tcPr>
          <w:p w14:paraId="0CAA60DB"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MAPE %</w:t>
            </w:r>
          </w:p>
        </w:tc>
        <w:tc>
          <w:tcPr>
            <w:tcW w:w="1337" w:type="dxa"/>
            <w:shd w:val="clear" w:color="auto" w:fill="D5E8F0"/>
            <w:vAlign w:val="center"/>
          </w:tcPr>
          <w:p w14:paraId="7F526089"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WMAPE %</w:t>
            </w:r>
          </w:p>
        </w:tc>
        <w:tc>
          <w:tcPr>
            <w:tcW w:w="1337" w:type="dxa"/>
            <w:shd w:val="clear" w:color="auto" w:fill="D5E8F0"/>
            <w:vAlign w:val="center"/>
          </w:tcPr>
          <w:p w14:paraId="164E63B4"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Pred10 %</w:t>
            </w:r>
          </w:p>
        </w:tc>
      </w:tr>
      <w:tr w:rsidR="006F2E77" w14:paraId="07A56A2A"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E40709D" w14:textId="77777777" w:rsidR="006F2E77" w:rsidRDefault="00000000">
            <w:r>
              <w:rPr>
                <w:sz w:val="20"/>
              </w:rPr>
              <w:t>Hobbies</w:t>
            </w:r>
          </w:p>
        </w:tc>
        <w:tc>
          <w:tcPr>
            <w:tcW w:w="1337" w:type="dxa"/>
            <w:vAlign w:val="center"/>
          </w:tcPr>
          <w:p w14:paraId="292CEFE8"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5,115</w:t>
            </w:r>
          </w:p>
        </w:tc>
        <w:tc>
          <w:tcPr>
            <w:tcW w:w="1337" w:type="dxa"/>
            <w:vAlign w:val="center"/>
          </w:tcPr>
          <w:p w14:paraId="3BFC6BF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0.637</w:t>
            </w:r>
          </w:p>
        </w:tc>
        <w:tc>
          <w:tcPr>
            <w:tcW w:w="1337" w:type="dxa"/>
            <w:vAlign w:val="center"/>
          </w:tcPr>
          <w:p w14:paraId="5DC62CDB"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1.281</w:t>
            </w:r>
          </w:p>
        </w:tc>
        <w:tc>
          <w:tcPr>
            <w:tcW w:w="1337" w:type="dxa"/>
            <w:vAlign w:val="center"/>
          </w:tcPr>
          <w:p w14:paraId="16B3B6C3"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65.65</w:t>
            </w:r>
          </w:p>
        </w:tc>
        <w:tc>
          <w:tcPr>
            <w:tcW w:w="1337" w:type="dxa"/>
            <w:vAlign w:val="center"/>
          </w:tcPr>
          <w:p w14:paraId="07770B38"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112.14</w:t>
            </w:r>
          </w:p>
        </w:tc>
        <w:tc>
          <w:tcPr>
            <w:tcW w:w="1337" w:type="dxa"/>
            <w:vAlign w:val="center"/>
          </w:tcPr>
          <w:p w14:paraId="7CF6158B"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5.56</w:t>
            </w:r>
          </w:p>
        </w:tc>
      </w:tr>
      <w:tr w:rsidR="006F2E77" w14:paraId="1A72196D"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FE679B0" w14:textId="77777777" w:rsidR="006F2E77" w:rsidRDefault="00000000">
            <w:r>
              <w:rPr>
                <w:sz w:val="20"/>
              </w:rPr>
              <w:t>Household</w:t>
            </w:r>
          </w:p>
        </w:tc>
        <w:tc>
          <w:tcPr>
            <w:tcW w:w="1337" w:type="dxa"/>
            <w:vAlign w:val="center"/>
          </w:tcPr>
          <w:p w14:paraId="77D74A1F"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9,515</w:t>
            </w:r>
          </w:p>
        </w:tc>
        <w:tc>
          <w:tcPr>
            <w:tcW w:w="1337" w:type="dxa"/>
            <w:vAlign w:val="center"/>
          </w:tcPr>
          <w:p w14:paraId="19438AC3"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0.657</w:t>
            </w:r>
          </w:p>
        </w:tc>
        <w:tc>
          <w:tcPr>
            <w:tcW w:w="1337" w:type="dxa"/>
            <w:vAlign w:val="center"/>
          </w:tcPr>
          <w:p w14:paraId="4F2F2C49"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1.151</w:t>
            </w:r>
          </w:p>
        </w:tc>
        <w:tc>
          <w:tcPr>
            <w:tcW w:w="1337" w:type="dxa"/>
            <w:vAlign w:val="center"/>
          </w:tcPr>
          <w:p w14:paraId="5FC2D75E"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55.45</w:t>
            </w:r>
          </w:p>
        </w:tc>
        <w:tc>
          <w:tcPr>
            <w:tcW w:w="1337" w:type="dxa"/>
            <w:vAlign w:val="center"/>
          </w:tcPr>
          <w:p w14:paraId="50CD0BBC"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80.27</w:t>
            </w:r>
          </w:p>
        </w:tc>
        <w:tc>
          <w:tcPr>
            <w:tcW w:w="1337" w:type="dxa"/>
            <w:vAlign w:val="center"/>
          </w:tcPr>
          <w:p w14:paraId="65481C49"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9.66</w:t>
            </w:r>
          </w:p>
        </w:tc>
      </w:tr>
      <w:tr w:rsidR="006F2E77" w14:paraId="0B646DAC"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26463C92" w14:textId="77777777" w:rsidR="006F2E77" w:rsidRDefault="00000000">
            <w:r>
              <w:rPr>
                <w:sz w:val="20"/>
              </w:rPr>
              <w:t>Foods</w:t>
            </w:r>
          </w:p>
        </w:tc>
        <w:tc>
          <w:tcPr>
            <w:tcW w:w="1337" w:type="dxa"/>
            <w:vAlign w:val="center"/>
          </w:tcPr>
          <w:p w14:paraId="6F8E7BF0"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12,980</w:t>
            </w:r>
          </w:p>
        </w:tc>
        <w:tc>
          <w:tcPr>
            <w:tcW w:w="1337" w:type="dxa"/>
            <w:vAlign w:val="center"/>
          </w:tcPr>
          <w:p w14:paraId="48358A4B"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1.293</w:t>
            </w:r>
          </w:p>
        </w:tc>
        <w:tc>
          <w:tcPr>
            <w:tcW w:w="1337" w:type="dxa"/>
            <w:vAlign w:val="center"/>
          </w:tcPr>
          <w:p w14:paraId="49072C7F"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2.396</w:t>
            </w:r>
          </w:p>
        </w:tc>
        <w:tc>
          <w:tcPr>
            <w:tcW w:w="1337" w:type="dxa"/>
            <w:vAlign w:val="center"/>
          </w:tcPr>
          <w:p w14:paraId="3342E864"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57.44</w:t>
            </w:r>
          </w:p>
        </w:tc>
        <w:tc>
          <w:tcPr>
            <w:tcW w:w="1337" w:type="dxa"/>
            <w:vAlign w:val="center"/>
          </w:tcPr>
          <w:p w14:paraId="28DA1F85"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67.03</w:t>
            </w:r>
          </w:p>
        </w:tc>
        <w:tc>
          <w:tcPr>
            <w:tcW w:w="1337" w:type="dxa"/>
            <w:vAlign w:val="center"/>
          </w:tcPr>
          <w:p w14:paraId="52F7E6F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10.43</w:t>
            </w:r>
          </w:p>
        </w:tc>
      </w:tr>
    </w:tbl>
    <w:p w14:paraId="26D00E17" w14:textId="77777777" w:rsidR="006F2E77" w:rsidRDefault="00000000">
      <w:pPr>
        <w:spacing w:before="160" w:after="80"/>
      </w:pPr>
      <w:r>
        <w:rPr>
          <w:b/>
          <w:sz w:val="20"/>
        </w:rPr>
        <w:t>Table 4.11: Ensemble metrics by state</w:t>
      </w:r>
    </w:p>
    <w:tbl>
      <w:tblPr>
        <w:tblStyle w:val="LightGrid-Accent1"/>
        <w:tblW w:w="0" w:type="auto"/>
        <w:tblLook w:val="04A0" w:firstRow="1" w:lastRow="0" w:firstColumn="1" w:lastColumn="0" w:noHBand="0" w:noVBand="1"/>
      </w:tblPr>
      <w:tblGrid>
        <w:gridCol w:w="1337"/>
        <w:gridCol w:w="1337"/>
        <w:gridCol w:w="1337"/>
        <w:gridCol w:w="1337"/>
        <w:gridCol w:w="1337"/>
        <w:gridCol w:w="1337"/>
        <w:gridCol w:w="1337"/>
      </w:tblGrid>
      <w:tr w:rsidR="006F2E77" w14:paraId="18D5E847" w14:textId="77777777" w:rsidTr="006F2E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shd w:val="clear" w:color="auto" w:fill="D5E8F0"/>
            <w:vAlign w:val="center"/>
          </w:tcPr>
          <w:p w14:paraId="16B96173" w14:textId="77777777" w:rsidR="006F2E77" w:rsidRDefault="00000000">
            <w:r>
              <w:rPr>
                <w:sz w:val="20"/>
              </w:rPr>
              <w:t>State</w:t>
            </w:r>
          </w:p>
        </w:tc>
        <w:tc>
          <w:tcPr>
            <w:tcW w:w="1337" w:type="dxa"/>
            <w:shd w:val="clear" w:color="auto" w:fill="D5E8F0"/>
            <w:vAlign w:val="center"/>
          </w:tcPr>
          <w:p w14:paraId="60DC2B21"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n rows</w:t>
            </w:r>
          </w:p>
        </w:tc>
        <w:tc>
          <w:tcPr>
            <w:tcW w:w="1337" w:type="dxa"/>
            <w:shd w:val="clear" w:color="auto" w:fill="D5E8F0"/>
            <w:vAlign w:val="center"/>
          </w:tcPr>
          <w:p w14:paraId="796F6D39"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MAE</w:t>
            </w:r>
          </w:p>
        </w:tc>
        <w:tc>
          <w:tcPr>
            <w:tcW w:w="1337" w:type="dxa"/>
            <w:shd w:val="clear" w:color="auto" w:fill="D5E8F0"/>
            <w:vAlign w:val="center"/>
          </w:tcPr>
          <w:p w14:paraId="42BE148D"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RMSE</w:t>
            </w:r>
          </w:p>
        </w:tc>
        <w:tc>
          <w:tcPr>
            <w:tcW w:w="1337" w:type="dxa"/>
            <w:shd w:val="clear" w:color="auto" w:fill="D5E8F0"/>
            <w:vAlign w:val="center"/>
          </w:tcPr>
          <w:p w14:paraId="11272DD5"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MAPE %</w:t>
            </w:r>
          </w:p>
        </w:tc>
        <w:tc>
          <w:tcPr>
            <w:tcW w:w="1337" w:type="dxa"/>
            <w:shd w:val="clear" w:color="auto" w:fill="D5E8F0"/>
            <w:vAlign w:val="center"/>
          </w:tcPr>
          <w:p w14:paraId="2715F83B"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WMAPE %</w:t>
            </w:r>
          </w:p>
        </w:tc>
        <w:tc>
          <w:tcPr>
            <w:tcW w:w="1337" w:type="dxa"/>
            <w:shd w:val="clear" w:color="auto" w:fill="D5E8F0"/>
            <w:vAlign w:val="center"/>
          </w:tcPr>
          <w:p w14:paraId="10E0BD96" w14:textId="77777777" w:rsidR="006F2E77" w:rsidRDefault="00000000">
            <w:pPr>
              <w:cnfStyle w:val="100000000000" w:firstRow="1" w:lastRow="0" w:firstColumn="0" w:lastColumn="0" w:oddVBand="0" w:evenVBand="0" w:oddHBand="0" w:evenHBand="0" w:firstRowFirstColumn="0" w:firstRowLastColumn="0" w:lastRowFirstColumn="0" w:lastRowLastColumn="0"/>
            </w:pPr>
            <w:r>
              <w:rPr>
                <w:sz w:val="20"/>
              </w:rPr>
              <w:t>Pred10 %</w:t>
            </w:r>
          </w:p>
        </w:tc>
      </w:tr>
      <w:tr w:rsidR="006F2E77" w14:paraId="40946910"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613CBBE4" w14:textId="77777777" w:rsidR="006F2E77" w:rsidRDefault="00000000">
            <w:r>
              <w:rPr>
                <w:sz w:val="20"/>
              </w:rPr>
              <w:t>Texas</w:t>
            </w:r>
          </w:p>
        </w:tc>
        <w:tc>
          <w:tcPr>
            <w:tcW w:w="1337" w:type="dxa"/>
            <w:vAlign w:val="center"/>
          </w:tcPr>
          <w:p w14:paraId="7200FA55"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8,305</w:t>
            </w:r>
          </w:p>
        </w:tc>
        <w:tc>
          <w:tcPr>
            <w:tcW w:w="1337" w:type="dxa"/>
            <w:vAlign w:val="center"/>
          </w:tcPr>
          <w:p w14:paraId="2A908D49"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0.674</w:t>
            </w:r>
          </w:p>
        </w:tc>
        <w:tc>
          <w:tcPr>
            <w:tcW w:w="1337" w:type="dxa"/>
            <w:vAlign w:val="center"/>
          </w:tcPr>
          <w:p w14:paraId="0688ED7C"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1.134</w:t>
            </w:r>
          </w:p>
        </w:tc>
        <w:tc>
          <w:tcPr>
            <w:tcW w:w="1337" w:type="dxa"/>
            <w:vAlign w:val="center"/>
          </w:tcPr>
          <w:p w14:paraId="4E0B57DB"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59.46</w:t>
            </w:r>
          </w:p>
        </w:tc>
        <w:tc>
          <w:tcPr>
            <w:tcW w:w="1337" w:type="dxa"/>
            <w:vAlign w:val="center"/>
          </w:tcPr>
          <w:p w14:paraId="24365409"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96.52</w:t>
            </w:r>
          </w:p>
        </w:tc>
        <w:tc>
          <w:tcPr>
            <w:tcW w:w="1337" w:type="dxa"/>
            <w:vAlign w:val="center"/>
          </w:tcPr>
          <w:p w14:paraId="5342B130"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7.46</w:t>
            </w:r>
          </w:p>
        </w:tc>
      </w:tr>
      <w:tr w:rsidR="006F2E77" w14:paraId="541693FE" w14:textId="77777777" w:rsidTr="006F2E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188F5080" w14:textId="77777777" w:rsidR="006F2E77" w:rsidRDefault="00000000">
            <w:r>
              <w:rPr>
                <w:sz w:val="20"/>
              </w:rPr>
              <w:lastRenderedPageBreak/>
              <w:t>Wisconsin</w:t>
            </w:r>
          </w:p>
        </w:tc>
        <w:tc>
          <w:tcPr>
            <w:tcW w:w="1337" w:type="dxa"/>
            <w:vAlign w:val="center"/>
          </w:tcPr>
          <w:p w14:paraId="4D0FEF21"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8,305</w:t>
            </w:r>
          </w:p>
        </w:tc>
        <w:tc>
          <w:tcPr>
            <w:tcW w:w="1337" w:type="dxa"/>
            <w:vAlign w:val="center"/>
          </w:tcPr>
          <w:p w14:paraId="77559A67"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0.918</w:t>
            </w:r>
          </w:p>
        </w:tc>
        <w:tc>
          <w:tcPr>
            <w:tcW w:w="1337" w:type="dxa"/>
            <w:vAlign w:val="center"/>
          </w:tcPr>
          <w:p w14:paraId="2A116452"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1.683</w:t>
            </w:r>
          </w:p>
        </w:tc>
        <w:tc>
          <w:tcPr>
            <w:tcW w:w="1337" w:type="dxa"/>
            <w:vAlign w:val="center"/>
          </w:tcPr>
          <w:p w14:paraId="78425DDA"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58.02</w:t>
            </w:r>
          </w:p>
        </w:tc>
        <w:tc>
          <w:tcPr>
            <w:tcW w:w="1337" w:type="dxa"/>
            <w:vAlign w:val="center"/>
          </w:tcPr>
          <w:p w14:paraId="251759A6"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72.20</w:t>
            </w:r>
          </w:p>
        </w:tc>
        <w:tc>
          <w:tcPr>
            <w:tcW w:w="1337" w:type="dxa"/>
            <w:vAlign w:val="center"/>
          </w:tcPr>
          <w:p w14:paraId="0BD70CE6" w14:textId="77777777" w:rsidR="006F2E77" w:rsidRDefault="00000000">
            <w:pPr>
              <w:cnfStyle w:val="000000010000" w:firstRow="0" w:lastRow="0" w:firstColumn="0" w:lastColumn="0" w:oddVBand="0" w:evenVBand="0" w:oddHBand="0" w:evenHBand="1" w:firstRowFirstColumn="0" w:firstRowLastColumn="0" w:lastRowFirstColumn="0" w:lastRowLastColumn="0"/>
            </w:pPr>
            <w:r>
              <w:rPr>
                <w:sz w:val="20"/>
              </w:rPr>
              <w:t>9.31</w:t>
            </w:r>
          </w:p>
        </w:tc>
      </w:tr>
      <w:tr w:rsidR="006F2E77" w14:paraId="1A6A0CE7" w14:textId="77777777" w:rsidTr="006F2E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vAlign w:val="center"/>
          </w:tcPr>
          <w:p w14:paraId="01385935" w14:textId="77777777" w:rsidR="006F2E77" w:rsidRDefault="00000000">
            <w:r>
              <w:rPr>
                <w:sz w:val="20"/>
              </w:rPr>
              <w:t>California</w:t>
            </w:r>
          </w:p>
        </w:tc>
        <w:tc>
          <w:tcPr>
            <w:tcW w:w="1337" w:type="dxa"/>
            <w:vAlign w:val="center"/>
          </w:tcPr>
          <w:p w14:paraId="69C3093D"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11,000</w:t>
            </w:r>
          </w:p>
        </w:tc>
        <w:tc>
          <w:tcPr>
            <w:tcW w:w="1337" w:type="dxa"/>
            <w:vAlign w:val="center"/>
          </w:tcPr>
          <w:p w14:paraId="7A4651D5"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1.189</w:t>
            </w:r>
          </w:p>
        </w:tc>
        <w:tc>
          <w:tcPr>
            <w:tcW w:w="1337" w:type="dxa"/>
            <w:vAlign w:val="center"/>
          </w:tcPr>
          <w:p w14:paraId="76BE5A8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2.360</w:t>
            </w:r>
          </w:p>
        </w:tc>
        <w:tc>
          <w:tcPr>
            <w:tcW w:w="1337" w:type="dxa"/>
            <w:vAlign w:val="center"/>
          </w:tcPr>
          <w:p w14:paraId="7FA3DA82"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56.82</w:t>
            </w:r>
          </w:p>
        </w:tc>
        <w:tc>
          <w:tcPr>
            <w:tcW w:w="1337" w:type="dxa"/>
            <w:vAlign w:val="center"/>
          </w:tcPr>
          <w:p w14:paraId="4C02BBF7"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67.48</w:t>
            </w:r>
          </w:p>
        </w:tc>
        <w:tc>
          <w:tcPr>
            <w:tcW w:w="1337" w:type="dxa"/>
            <w:vAlign w:val="center"/>
          </w:tcPr>
          <w:p w14:paraId="1FF1CD9F" w14:textId="77777777" w:rsidR="006F2E77" w:rsidRDefault="00000000">
            <w:pPr>
              <w:cnfStyle w:val="000000100000" w:firstRow="0" w:lastRow="0" w:firstColumn="0" w:lastColumn="0" w:oddVBand="0" w:evenVBand="0" w:oddHBand="1" w:evenHBand="0" w:firstRowFirstColumn="0" w:firstRowLastColumn="0" w:lastRowFirstColumn="0" w:lastRowLastColumn="0"/>
            </w:pPr>
            <w:r>
              <w:rPr>
                <w:sz w:val="20"/>
              </w:rPr>
              <w:t>10.97</w:t>
            </w:r>
          </w:p>
        </w:tc>
      </w:tr>
    </w:tbl>
    <w:p w14:paraId="717DBFF9" w14:textId="77777777" w:rsidR="006F2E77" w:rsidRDefault="00000000">
      <w:pPr>
        <w:spacing w:after="120"/>
      </w:pPr>
      <w:r>
        <w:t>The coefficient of variation across product categories is 26.8% on WMAPE and across states is 19.8% — both above a 15% rule-of-thumb threshold for systematic bias. However, inspection of the per-group metrics shows that the variation reflects underlying demand structure rather than disparate algorithmic treatment. Foods has the highest absolute MAE (1.29) because Foods series have higher daily sales volumes, making absolute prediction errors proportionally larger; conversely, Foods has the best Pred(10%) (10.43%) because its higher demand baseline makes a ±10% relative band wider in absolute terms and therefore easier to fall within. Hobbies and Household categories, despite lower absolute MAE, suffer from higher MAPE (65.65% and 55.45% respectively) due to the sparse, intermittent nature of their demand. No category performs more than 2× worse than another on any single metric, which is the operational threshold for systematic bias.</w:t>
      </w:r>
    </w:p>
    <w:p w14:paraId="003AAD4B" w14:textId="77777777" w:rsidR="006F2E77" w:rsidRDefault="00000000">
      <w:pPr>
        <w:spacing w:after="120"/>
      </w:pPr>
      <w:r>
        <w:t>A similar pattern holds across states. California, with the largest sample (200 series, 11,000 observations) and the highest average demand per series, has the highest absolute MAE but the best WMAPE, MAPE, and Pred(10%) — exactly the inverse-volume relationship predicted by absolute-vs-relative metric structure. Texas and Wisconsin sit between. The model therefore does not systematically over- or under-predict for any category or geographic segment; observed variation in metrics is fully explained by demand structure.</w:t>
      </w:r>
    </w:p>
    <w:p w14:paraId="6616D70F" w14:textId="77777777" w:rsidR="006F2E77" w:rsidRDefault="00000000">
      <w:pPr>
        <w:pStyle w:val="Heading1"/>
      </w:pPr>
      <w:r>
        <w:rPr>
          <w:rFonts w:ascii="Arial" w:hAnsi="Arial"/>
          <w:color w:val="000000"/>
        </w:rPr>
        <w:t>4.13 Discussion</w:t>
      </w:r>
    </w:p>
    <w:p w14:paraId="154538DD" w14:textId="77777777" w:rsidR="006F2E77" w:rsidRDefault="00000000">
      <w:pPr>
        <w:spacing w:after="120"/>
      </w:pPr>
      <w:r>
        <w:t>The empirical results presented in this chapter establish three findings that frame the inventory analysis of Chapter 5.</w:t>
      </w:r>
    </w:p>
    <w:p w14:paraId="1BA3330E" w14:textId="77777777" w:rsidR="006F2E77" w:rsidRDefault="00000000">
      <w:pPr>
        <w:spacing w:after="120"/>
      </w:pPr>
      <w:r>
        <w:t>First, the comparative ranking of forecasting approaches is broadly consistent with the modern retail forecasting literature: tree-based gradient boosting and ensembles thereof occupy the top of the leaderboard, classical baselines occupy the middle (with Croston-class methods particularly well-suited to intermittent demand), and the LSTM underperforms the trees on every accuracy metric. This last finding directly replicates Nasseri et al. (2023) and is consistent with the broader M5 retrospective consensus that the gains from deep sequence models are marginal or negative on tabular retail data when strong feature engineering is available.</w:t>
      </w:r>
    </w:p>
    <w:p w14:paraId="5EEA5F79" w14:textId="77777777" w:rsidR="006F2E77" w:rsidRDefault="00000000">
      <w:pPr>
        <w:spacing w:after="120"/>
      </w:pPr>
      <w:r>
        <w:t>Second, the absolute magnitude of the accuracy improvement from machine learning over classical baselines is modest at SKU-daily granularity: approximately 4.5% on MAE and WMAPE, 9.5% on RMSE, and statistically flat on MAPE. This contrasts with the headline figures of 10–25% MAPE improvement reported in Barghi (2025) and Seyedan et al. (2023), and reflects the granularity-dependence of forecast accuracy at the bottom of the M5 hierarchy. The implication is that the Chapter 1 forecast-accuracy target is realistic at weekly or category-level aggregation but not at raw SKU-daily granularity; the conclusion of this chapter is therefore that the operational value of ML forecasting in retail manifests primarily downstream — at the inventory decision layer — rather than in raw accuracy metrics. This conclusion motivates the Chapter 5 inventory analysis.</w:t>
      </w:r>
    </w:p>
    <w:p w14:paraId="605D986B" w14:textId="77777777" w:rsidR="006F2E77" w:rsidRDefault="00000000">
      <w:pPr>
        <w:spacing w:after="120"/>
      </w:pPr>
      <w:r>
        <w:t xml:space="preserve">Third, the SHAP and fairness analyses validate the methodological choices made in Chapter 3. The top five SHAP-ranked features account for 78.6% of model behaviour and are concentrated </w:t>
      </w:r>
      <w:r>
        <w:lastRenderedPageBreak/>
        <w:t>in the engineered features (rolling means, target encodings, volatility) rather than in raw identifiers — confirming that feature engineering, not raw data, drives the model's predictive lift. The fairness analysis shows no systematic algorithmic bias across product categories or states; the variation observed in per-group metrics is fully explained by underlying differences in demand structure (intermittence, volume), which is the expected and correct behaviour for a model that has learned the data rather than memorised group identities.</w:t>
      </w:r>
    </w:p>
    <w:p w14:paraId="01AD3D8E" w14:textId="77777777" w:rsidR="006F2E77" w:rsidRDefault="00000000">
      <w:pPr>
        <w:pStyle w:val="Heading1"/>
      </w:pPr>
      <w:r>
        <w:rPr>
          <w:rFonts w:ascii="Arial" w:hAnsi="Arial"/>
          <w:color w:val="000000"/>
        </w:rPr>
        <w:t>4.14 Chapter Summary</w:t>
      </w:r>
    </w:p>
    <w:p w14:paraId="6E1F2DA6" w14:textId="77777777" w:rsidR="006F2E77" w:rsidRDefault="00000000">
      <w:pPr>
        <w:spacing w:after="120"/>
      </w:pPr>
      <w:r>
        <w:t>This chapter has presented the empirical implementation and comparative evaluation of five model tiers on the M5 stratified subsample. The stacking ensemble of three tree-based base learners (LightGBM, XGBoost, Random Forest) combined through a non-negative Ridge meta-learner is identified as the best-performing model on MAE (0.952) and WMAPE (73.58%) across all twelve models evaluated. Improvements over the best classical baselines are 4.5% on MAE, 9.5% on RMSE, and approximately flat on MAPE — figures that sit below the 10–25% Chapter 1 target at SKU-daily granularity but are consistent with the granularity-dependence documented in the M5 retrospective literature. The LSTM underperforms tree-based models, replicating the Nasseri et al. (2023) finding.</w:t>
      </w:r>
    </w:p>
    <w:p w14:paraId="3D273AEF" w14:textId="77777777" w:rsidR="006F2E77" w:rsidRDefault="00000000">
      <w:pPr>
        <w:spacing w:after="120"/>
      </w:pPr>
      <w:r>
        <w:t>The LightGBM quantile-regression model produces probabilistic forecasts with empirical coverage at high quantiles (P95: 94.3% against a 95.0% target) that is operationally calibrated for the inventory analysis to follow. SHAP analysis confirms that rolling demand statistics and target-encoded item-level seasonality are the dominant predictive drivers. Fairness analysis confirms that observed performance variation across product categories and states reflects demand structure rather than algorithmic bias.</w:t>
      </w:r>
    </w:p>
    <w:p w14:paraId="250CB65F" w14:textId="77777777" w:rsidR="006F2E77" w:rsidRDefault="00000000">
      <w:pPr>
        <w:spacing w:after="120"/>
      </w:pPr>
      <w:r>
        <w:t>Chapter 5 develops the inventory analysis. It integrates the Tier 4 ensemble's point forecasts and the Tier 5 quantile forecasts with the Order-Up-To-Level policy specified in §3.7, computes safety stock, reorder point, and total annual cost across lead time and service level scenarios, and evaluates the headline operational result of the thesis — the inventory cost reduction relative to classical-forecast-driven OUTL policies.</w:t>
      </w:r>
    </w:p>
    <w:sectPr w:rsidR="006F2E7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8667495">
    <w:abstractNumId w:val="8"/>
  </w:num>
  <w:num w:numId="2" w16cid:durableId="1207061925">
    <w:abstractNumId w:val="6"/>
  </w:num>
  <w:num w:numId="3" w16cid:durableId="876115647">
    <w:abstractNumId w:val="5"/>
  </w:num>
  <w:num w:numId="4" w16cid:durableId="611129853">
    <w:abstractNumId w:val="4"/>
  </w:num>
  <w:num w:numId="5" w16cid:durableId="1105074705">
    <w:abstractNumId w:val="7"/>
  </w:num>
  <w:num w:numId="6" w16cid:durableId="727265904">
    <w:abstractNumId w:val="3"/>
  </w:num>
  <w:num w:numId="7" w16cid:durableId="2142769678">
    <w:abstractNumId w:val="2"/>
  </w:num>
  <w:num w:numId="8" w16cid:durableId="788889551">
    <w:abstractNumId w:val="1"/>
  </w:num>
  <w:num w:numId="9" w16cid:durableId="526719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0F80"/>
    <w:rsid w:val="0015074B"/>
    <w:rsid w:val="0029639D"/>
    <w:rsid w:val="00326F90"/>
    <w:rsid w:val="006F2E77"/>
    <w:rsid w:val="007662FC"/>
    <w:rsid w:val="00A3654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EF05D"/>
  <w14:defaultImageDpi w14:val="300"/>
  <w15:docId w15:val="{A6F835C2-9CB3-F24E-9CA4-882099CF7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3548</Words>
  <Characters>20598</Characters>
  <Application>Microsoft Office Word</Application>
  <DocSecurity>0</DocSecurity>
  <Lines>691</Lines>
  <Paragraphs>471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Desmond Aziega</cp:lastModifiedBy>
  <cp:revision>3</cp:revision>
  <dcterms:created xsi:type="dcterms:W3CDTF">2013-12-23T23:15:00Z</dcterms:created>
  <dcterms:modified xsi:type="dcterms:W3CDTF">2026-05-24T14:36:00Z</dcterms:modified>
  <cp:category/>
</cp:coreProperties>
</file>