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jdxwwmmw27z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Xác định mối quan hệ giữa các hoạt động (Activity Dependencies)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xp1sze31p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LÝ THUYẾT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ole2wvvi4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Khái niệm chính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lập lịch dự án, ta cần xác định </w:t>
      </w:r>
      <w:r w:rsidDel="00000000" w:rsidR="00000000" w:rsidRPr="00000000">
        <w:rPr>
          <w:b w:val="1"/>
          <w:bCs w:val="1"/>
          <w:rtl w:val="0"/>
        </w:rPr>
        <w:t xml:space="preserve">mối quan hệ (dependencies)</w:t>
      </w:r>
      <w:r w:rsidDel="00000000" w:rsidR="00000000" w:rsidRPr="00000000">
        <w:rPr>
          <w:rtl w:val="0"/>
        </w:rPr>
        <w:t xml:space="preserve"> giữa các </w:t>
      </w:r>
      <w:r w:rsidDel="00000000" w:rsidR="00000000" w:rsidRPr="00000000">
        <w:rPr>
          <w:b w:val="1"/>
          <w:bCs w:val="1"/>
          <w:rtl w:val="0"/>
        </w:rPr>
        <w:t xml:space="preserve">hoạt động (activities)</w:t>
      </w:r>
      <w:r w:rsidDel="00000000" w:rsidR="00000000" w:rsidRPr="00000000">
        <w:rPr>
          <w:rtl w:val="0"/>
        </w:rPr>
        <w:t xml:space="preserve">. Mỗi hoạt động sẽ có: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Thứ tự thực hiện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thực hiện song song (parallel) hay không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Kiểu quan hệ (relationship type)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99v38ywze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Các kiểu mối quan hệ phổ biến (Activity Relationship Types)</w:t>
      </w:r>
    </w:p>
    <w:tbl>
      <w:tblPr>
        <w:tblStyle w:val="Table1"/>
        <w:tblW w:w="9045.0" w:type="dxa"/>
        <w:jc w:val="left"/>
        <w:tblInd w:w="-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65"/>
        <w:gridCol w:w="975"/>
        <w:gridCol w:w="6405"/>
        <w:tblGridChange w:id="0">
          <w:tblGrid>
            <w:gridCol w:w="1665"/>
            <w:gridCol w:w="975"/>
            <w:gridCol w:w="64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gọi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Ký 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Finish-to-Start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Hoạt động sau bắt đầu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sau khi</w:t>
            </w:r>
            <w:r w:rsidDel="00000000" w:rsidR="00000000" w:rsidRPr="00000000">
              <w:rPr>
                <w:rtl w:val="0"/>
              </w:rPr>
              <w:t xml:space="preserve"> hoạt động trước kết thúc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(phổ biến nhất)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Start-to-Start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Hai hoạt động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bắt đầu cùng lúc hoặc sau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Finish-to-Finish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Hai hoạt động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kết thúc cùng lúc hoặc sau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Start-to-Finish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Hiếm</w:t>
            </w:r>
            <w:r w:rsidDel="00000000" w:rsidR="00000000" w:rsidRPr="00000000">
              <w:rPr>
                <w:rtl w:val="0"/>
              </w:rPr>
              <w:t xml:space="preserve"> – Hoạt động sau kết thúc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sau khi</w:t>
            </w:r>
            <w:r w:rsidDel="00000000" w:rsidR="00000000" w:rsidRPr="00000000">
              <w:rPr>
                <w:rtl w:val="0"/>
              </w:rPr>
              <w:t xml:space="preserve"> hoạt động trước bắt đầu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FS: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Xây móng → Xây tường -&gt; Trát tường -&gt; Sơn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Viết nội dung → Thiết kế bản trình bày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Lập kế hoạch sự kiện ↔ Đặt dịch vụ ăn uống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Viết bài báo ↔ Tìm hình ảnh minh họa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Thiết kế slide &lt;-&gt; Tìm hình ảnh minh họa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FF: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Duyệt lại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slide ↔ Luyện tập thuyết trình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Kiểm tra sản phẩm ↔ Cập nhật báo cáo chất lượng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Trực ca đêm kết thúc khi ca sáng bắt đầu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Tắt dịch vụ cũ khi dịch vụ mới bắt đầu hoạt động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/>
      </w:pPr>
      <w:bookmarkStart w:colFirst="0" w:colLast="0" w:name="_lxjfl8ba6e2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BÀI GIẢI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21.7477733316125"/>
        <w:gridCol w:w="1918.8460049051246"/>
        <w:gridCol w:w="1627.5513101845877"/>
        <w:gridCol w:w="1294.6430876468312"/>
        <w:gridCol w:w="2362.723634955467"/>
        <w:tblGridChange w:id="0">
          <w:tblGrid>
            <w:gridCol w:w="1821.7477733316125"/>
            <w:gridCol w:w="1918.8460049051246"/>
            <w:gridCol w:w="1627.5513101845877"/>
            <w:gridCol w:w="1294.6430876468312"/>
            <w:gridCol w:w="2362.7236349554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Predecessor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Successor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it be parallel?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1. Requirements gathering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2. Wireframe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Finish-to-Start (FS)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Wireframes depend on confirmed requirements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2. Wireframe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3. UI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Finish-to-Start (FS)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UI coding follows design approval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3. UI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6. Frontend-backend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Finish-to-Start (FS)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Integration begins after the frontend is ready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4. Backend API setup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6. Frontend-backend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Finish-to-Start (FS)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Integration also requires backend readiness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5. Database schema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4. Backend API setup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Finish-to-Start (FS)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Backend depends on the DB structure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6.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7. Testing &amp; bug fixing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Finish-to-Start (FS)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Testing starts after full integration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7.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8. Client demo preparation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Finish-to-Start (FS)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Demo happens after the stable version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7.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10. Post-deployment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Finish-to-Finish (FF)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Testing and deployment support end together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8. Demo preparation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9. Deployment to the internal server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Finish-to-Start (FS)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Demo approval leads to deployment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